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A951B2" w:rsidRDefault="00A951B2" w:rsidP="00A951B2">
      <w:pPr>
        <w:jc w:val="center"/>
        <w:rPr>
          <w:b/>
          <w:lang w:val="es-PE"/>
        </w:rPr>
      </w:pPr>
      <w:r w:rsidRPr="00A951B2">
        <w:rPr>
          <w:b/>
          <w:lang w:val="es-PE"/>
        </w:rPr>
        <w:t>ADMINITRAR MATRIZ DE TRATAMIENTO POR PRODUCTO Y PROCESO</w:t>
      </w:r>
    </w:p>
    <w:p w:rsidR="00A951B2" w:rsidRPr="00A951B2" w:rsidRDefault="00A951B2" w:rsidP="00A951B2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val="es-PE" w:eastAsia="es-PE"/>
        </w:rPr>
      </w:pPr>
      <w:r w:rsidRPr="00A951B2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Se solicita que se administren las matrices de tratamiento por producto y proceso a través de las funcionalidades buscar, registrar, modificar, </w:t>
      </w:r>
      <w:r w:rsidRPr="00A951B2">
        <w:rPr>
          <w:rFonts w:ascii="Arial" w:eastAsia="Times New Roman" w:hAnsi="Arial" w:cs="Arial"/>
          <w:sz w:val="20"/>
          <w:szCs w:val="20"/>
          <w:lang w:val="es-PE" w:eastAsia="es-PE"/>
        </w:rPr>
        <w:t>activar, desactivar y cancelar</w:t>
      </w:r>
      <w:r w:rsidRPr="00A951B2">
        <w:rPr>
          <w:rFonts w:ascii="Arial" w:eastAsia="Times New Roman" w:hAnsi="Arial" w:cs="Arial"/>
          <w:color w:val="FF0000"/>
          <w:sz w:val="20"/>
          <w:szCs w:val="20"/>
          <w:lang w:val="es-PE" w:eastAsia="es-PE"/>
        </w:rPr>
        <w:t>.</w:t>
      </w:r>
    </w:p>
    <w:p w:rsidR="00A951B2" w:rsidRPr="00A951B2" w:rsidRDefault="00A951B2" w:rsidP="00A951B2">
      <w:pPr>
        <w:numPr>
          <w:ilvl w:val="0"/>
          <w:numId w:val="1"/>
        </w:numPr>
        <w:spacing w:after="0" w:line="240" w:lineRule="auto"/>
        <w:ind w:left="490" w:hanging="490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A951B2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Al pulsar en la pestaña Grupo tipo de ensayo, listará la funcionalidad Administrar Grupo tipo de ensayo, con la opción de búsqueda y listado de grupos de tipo de ensayo de la matriz.</w:t>
      </w:r>
    </w:p>
    <w:p w:rsidR="00A951B2" w:rsidRDefault="00A951B2">
      <w:pPr>
        <w:rPr>
          <w:lang w:val="es-PE"/>
        </w:rPr>
      </w:pPr>
    </w:p>
    <w:p w:rsidR="00A951B2" w:rsidRPr="00A951B2" w:rsidRDefault="00A951B2" w:rsidP="00A951B2">
      <w:pPr>
        <w:ind w:left="7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/>
        </w:rPr>
        <w:t>Para esta funcionalidad se mostrará una pantalla como la siguiente, con la opción de búsqueda por ID, Planta, Proceso (Activado al seleccionar la planta), Producto (Activado al seleccionar el proceso) y Nombre:</w:t>
      </w:r>
    </w:p>
    <w:p w:rsidR="00A951B2" w:rsidRPr="00DC0832" w:rsidRDefault="00A951B2" w:rsidP="00A951B2">
      <w:pPr>
        <w:ind w:left="709"/>
        <w:jc w:val="center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90975" cy="2038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87" t="25615" r="38936" b="40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>Si se pulsa el botón Registrar, se mostrará la siguiente pantalla:</w:t>
      </w:r>
    </w:p>
    <w:p w:rsidR="00A951B2" w:rsidRDefault="00A951B2" w:rsidP="00A951B2">
      <w:pPr>
        <w:ind w:left="709"/>
        <w:jc w:val="center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591050" cy="42195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b/>
          <w:sz w:val="20"/>
          <w:szCs w:val="20"/>
          <w:lang w:val="es-PE" w:eastAsia="es-PE"/>
        </w:rPr>
      </w:pPr>
      <w:r w:rsidRPr="00A951B2">
        <w:rPr>
          <w:rFonts w:ascii="Arial" w:hAnsi="Arial" w:cs="Arial"/>
          <w:b/>
          <w:sz w:val="20"/>
          <w:szCs w:val="20"/>
          <w:lang w:val="es-PE" w:eastAsia="es-PE"/>
        </w:rPr>
        <w:t>Obligatorios: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>ID (Autogenerado deshabilitado), Empresa, Planta, Proceso, Producto, Nombre.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b/>
          <w:sz w:val="20"/>
          <w:szCs w:val="20"/>
          <w:lang w:val="es-PE" w:eastAsia="es-PE"/>
        </w:rPr>
      </w:pPr>
      <w:r w:rsidRPr="00A951B2">
        <w:rPr>
          <w:rFonts w:ascii="Arial" w:hAnsi="Arial" w:cs="Arial"/>
          <w:b/>
          <w:sz w:val="20"/>
          <w:szCs w:val="20"/>
          <w:lang w:val="es-PE" w:eastAsia="es-PE"/>
        </w:rPr>
        <w:t>Opcionales: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proofErr w:type="spellStart"/>
      <w:r w:rsidRPr="00A951B2">
        <w:rPr>
          <w:rFonts w:ascii="Arial" w:hAnsi="Arial" w:cs="Arial"/>
          <w:sz w:val="20"/>
          <w:szCs w:val="20"/>
          <w:lang w:val="es-PE" w:eastAsia="es-PE"/>
        </w:rPr>
        <w:t>Flag</w:t>
      </w:r>
      <w:proofErr w:type="spellEnd"/>
      <w:r w:rsidRPr="00A951B2">
        <w:rPr>
          <w:rFonts w:ascii="Arial" w:hAnsi="Arial" w:cs="Arial"/>
          <w:sz w:val="20"/>
          <w:szCs w:val="20"/>
          <w:lang w:val="es-PE" w:eastAsia="es-PE"/>
        </w:rPr>
        <w:t xml:space="preserve"> resistencia (habilitado), Estado, Descripción.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 xml:space="preserve">Considerar que el </w:t>
      </w:r>
      <w:proofErr w:type="spellStart"/>
      <w:r w:rsidRPr="00A951B2">
        <w:rPr>
          <w:rFonts w:ascii="Arial" w:hAnsi="Arial" w:cs="Arial"/>
          <w:sz w:val="20"/>
          <w:szCs w:val="20"/>
          <w:lang w:val="es-PE" w:eastAsia="es-PE"/>
        </w:rPr>
        <w:t>flag</w:t>
      </w:r>
      <w:proofErr w:type="spellEnd"/>
      <w:r w:rsidRPr="00A951B2">
        <w:rPr>
          <w:rFonts w:ascii="Arial" w:hAnsi="Arial" w:cs="Arial"/>
          <w:sz w:val="20"/>
          <w:szCs w:val="20"/>
          <w:lang w:val="es-PE" w:eastAsia="es-PE"/>
        </w:rPr>
        <w:t xml:space="preserve"> de Resistencia sirve para indicar si en la matriz existe algún tipo de ensayo que corresponda al análisis de resistencia de premezclados o de cemento. Este campo influye en el comportamiento (forma en que se muestra) de la pantalla detalle de grupo de tipo de ensayo, porque va a mostrar los grupos de tipo de ensayo que tengan ese </w:t>
      </w:r>
      <w:proofErr w:type="spellStart"/>
      <w:r w:rsidRPr="00A951B2">
        <w:rPr>
          <w:rFonts w:ascii="Arial" w:hAnsi="Arial" w:cs="Arial"/>
          <w:sz w:val="20"/>
          <w:szCs w:val="20"/>
          <w:lang w:val="es-PE" w:eastAsia="es-PE"/>
        </w:rPr>
        <w:t>flag</w:t>
      </w:r>
      <w:proofErr w:type="spellEnd"/>
      <w:r w:rsidRPr="00A951B2">
        <w:rPr>
          <w:rFonts w:ascii="Arial" w:hAnsi="Arial" w:cs="Arial"/>
          <w:sz w:val="20"/>
          <w:szCs w:val="20"/>
          <w:lang w:val="es-PE" w:eastAsia="es-PE"/>
        </w:rPr>
        <w:t xml:space="preserve"> de resistencia.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A951B2">
        <w:rPr>
          <w:rFonts w:ascii="Arial" w:hAnsi="Arial" w:cs="Arial"/>
          <w:sz w:val="20"/>
          <w:szCs w:val="20"/>
          <w:lang w:val="es-PE"/>
        </w:rPr>
        <w:t>Para el caso del modificar, activar y desactivar, de la primera pantalla se debe haber seleccionado una matriz de tratamiento para que cargue una pantalla similar a la de registro pero con los datos completados. Se asumen los mismos campos obligatorios y opcionales.</w:t>
      </w:r>
    </w:p>
    <w:p w:rsidR="00A951B2" w:rsidRPr="00A951B2" w:rsidRDefault="00A951B2" w:rsidP="00A951B2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>Al pulsar en el botón Asignar Grupo Tipo de Ensayo, llevará a la pestaña detalle de la funcionalidad Administrar Grupo Tipo de Ensayo, presentando la siguiente pantalla:</w:t>
      </w:r>
    </w:p>
    <w:p w:rsidR="00A951B2" w:rsidRPr="00A951B2" w:rsidRDefault="00A951B2" w:rsidP="00A951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951B2" w:rsidRDefault="00A951B2" w:rsidP="00A951B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610225" cy="333375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B2" w:rsidRDefault="00A951B2" w:rsidP="00A951B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/>
        </w:rPr>
      </w:pPr>
      <w:r w:rsidRPr="00A951B2">
        <w:rPr>
          <w:rFonts w:ascii="Arial" w:hAnsi="Arial" w:cs="Arial"/>
          <w:sz w:val="20"/>
          <w:szCs w:val="20"/>
          <w:lang w:val="es-PE"/>
        </w:rPr>
        <w:t>En esta pantalla las opciones Resistencia Prefabricado, Resistencia Concreto, Color y Textura, Absorción y Granulométrico, son los tipos de los Grupos Tipos de Ensayo. Sólo uno de estos debe ser seleccionado por el usuario.</w:t>
      </w: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/>
        </w:rPr>
      </w:pPr>
      <w:r w:rsidRPr="00A951B2">
        <w:rPr>
          <w:rFonts w:ascii="Arial" w:hAnsi="Arial" w:cs="Arial"/>
          <w:sz w:val="20"/>
          <w:szCs w:val="20"/>
          <w:lang w:val="es-PE"/>
        </w:rPr>
        <w:t xml:space="preserve">En caso el usuario seleccione el tipo granulométrico, los siguientes campos deben habilitarse: Huso, el % que pasa y </w:t>
      </w:r>
      <w:proofErr w:type="spellStart"/>
      <w:r w:rsidRPr="00A951B2">
        <w:rPr>
          <w:rFonts w:ascii="Arial" w:hAnsi="Arial" w:cs="Arial"/>
          <w:sz w:val="20"/>
          <w:szCs w:val="20"/>
          <w:lang w:val="es-PE"/>
        </w:rPr>
        <w:t>el</w:t>
      </w:r>
      <w:proofErr w:type="spellEnd"/>
      <w:r w:rsidRPr="00A951B2">
        <w:rPr>
          <w:rFonts w:ascii="Arial" w:hAnsi="Arial" w:cs="Arial"/>
          <w:sz w:val="20"/>
          <w:szCs w:val="20"/>
          <w:lang w:val="es-PE"/>
        </w:rPr>
        <w:t xml:space="preserve"> % retenido parcial. De lo contrario, de no seleccionarse granulométrico, permanecerán deshabilitados los campos mencionados, y la columna "SCMGT_FLG_HUS_GRA" de la tabla Grupo Tipo de Ensayo, tendrá valor falso, ‘N’.</w:t>
      </w: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/>
        </w:rPr>
      </w:pPr>
      <w:r w:rsidRPr="00A951B2">
        <w:rPr>
          <w:rFonts w:ascii="Arial" w:hAnsi="Arial" w:cs="Arial"/>
          <w:sz w:val="20"/>
          <w:szCs w:val="20"/>
          <w:highlight w:val="yellow"/>
          <w:lang w:val="es-PE"/>
        </w:rPr>
        <w:t>Asimismo, el sistema actual tiene una restricción en la funcionalidad Administrar Muestra en la pestaña de Registro de Ensayos, debido a que cada vez que se coloca un tipo al Grupo Tipo de Ensayo, imposibilita la opción de registro en serie de los ensayos relacionados a la muestra. Se solicita corregir está restricción.</w:t>
      </w: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/>
        </w:rPr>
      </w:pPr>
      <w:r w:rsidRPr="00A951B2">
        <w:rPr>
          <w:rFonts w:ascii="Arial" w:hAnsi="Arial" w:cs="Arial"/>
          <w:sz w:val="20"/>
          <w:szCs w:val="20"/>
          <w:lang w:val="es-PE"/>
        </w:rPr>
        <w:t>Se asume que los campos Empresa, Planta, Proceso, Producto y Nombre son de la matriz de tratamiento creada en la pantalla anterior, por lo que estos campos en este registro estarán como predeterminados y deshabilitados.</w:t>
      </w:r>
    </w:p>
    <w:p w:rsidR="00A951B2" w:rsidRPr="00A951B2" w:rsidRDefault="00A951B2" w:rsidP="00A951B2">
      <w:pPr>
        <w:jc w:val="both"/>
        <w:rPr>
          <w:rFonts w:ascii="Arial" w:hAnsi="Arial" w:cs="Arial"/>
          <w:b/>
          <w:sz w:val="20"/>
          <w:szCs w:val="20"/>
          <w:lang w:val="es-PE" w:eastAsia="es-PE"/>
        </w:rPr>
      </w:pPr>
      <w:r w:rsidRPr="00A951B2">
        <w:rPr>
          <w:rFonts w:ascii="Arial" w:hAnsi="Arial" w:cs="Arial"/>
          <w:b/>
          <w:sz w:val="20"/>
          <w:szCs w:val="20"/>
          <w:lang w:val="es-PE" w:eastAsia="es-PE"/>
        </w:rPr>
        <w:t>Obligatorios:</w:t>
      </w: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>ID (Autogenerado deshabilitado), Empresa (Predeterminado deshabilitado), Proceso (Predeterminado deshabilitado), Planta (Predeterminado deshabilitado), Producto (Predeterminado deshabilitado), Nombre (Predeterminado deshabilitado), Categoría, Huso.</w:t>
      </w:r>
    </w:p>
    <w:p w:rsidR="00A951B2" w:rsidRPr="00A951B2" w:rsidRDefault="00A951B2" w:rsidP="00A951B2">
      <w:pPr>
        <w:jc w:val="both"/>
        <w:rPr>
          <w:rFonts w:ascii="Arial" w:hAnsi="Arial" w:cs="Arial"/>
          <w:b/>
          <w:sz w:val="20"/>
          <w:szCs w:val="20"/>
          <w:lang w:val="es-PE" w:eastAsia="es-PE"/>
        </w:rPr>
      </w:pPr>
      <w:r w:rsidRPr="00A951B2">
        <w:rPr>
          <w:rFonts w:ascii="Arial" w:hAnsi="Arial" w:cs="Arial"/>
          <w:b/>
          <w:sz w:val="20"/>
          <w:szCs w:val="20"/>
          <w:lang w:val="es-PE" w:eastAsia="es-PE"/>
        </w:rPr>
        <w:t>Opcionales:</w:t>
      </w:r>
    </w:p>
    <w:p w:rsidR="00A951B2" w:rsidRPr="00A951B2" w:rsidRDefault="00A951B2" w:rsidP="00A951B2">
      <w:pPr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A951B2">
        <w:rPr>
          <w:rFonts w:ascii="Arial" w:hAnsi="Arial" w:cs="Arial"/>
          <w:sz w:val="20"/>
          <w:szCs w:val="20"/>
          <w:lang w:val="es-PE" w:eastAsia="es-PE"/>
        </w:rPr>
        <w:t>% dispersión 2UM, % dispersión 3UM, Resistencia prefabricado, Resistencia concreto, Granulométrico, % que pasa (Seleccionado), % retenido parcial, Estado (Activo), Descripción.</w:t>
      </w:r>
    </w:p>
    <w:p w:rsidR="00A951B2" w:rsidRDefault="00A951B2">
      <w:pPr>
        <w:rPr>
          <w:lang w:val="es-PE"/>
        </w:rPr>
      </w:pPr>
    </w:p>
    <w:p w:rsidR="00A951B2" w:rsidRPr="00A951B2" w:rsidRDefault="00A951B2">
      <w:pPr>
        <w:rPr>
          <w:lang w:val="es-PE"/>
        </w:rPr>
      </w:pPr>
    </w:p>
    <w:sectPr w:rsidR="00A951B2" w:rsidRPr="00A951B2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C2809"/>
    <w:multiLevelType w:val="hybridMultilevel"/>
    <w:tmpl w:val="19EA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1B2"/>
    <w:rsid w:val="00165F1E"/>
    <w:rsid w:val="00A9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2012-05-15T17:59:00Z</dcterms:created>
  <dcterms:modified xsi:type="dcterms:W3CDTF">2012-05-15T18:00:00Z</dcterms:modified>
</cp:coreProperties>
</file>