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716C2E" w:rsidRDefault="00716C2E" w:rsidP="00716C2E">
      <w:pPr>
        <w:jc w:val="center"/>
        <w:rPr>
          <w:b/>
          <w:lang w:val="es-PE"/>
        </w:rPr>
      </w:pPr>
      <w:r w:rsidRPr="00716C2E">
        <w:rPr>
          <w:b/>
          <w:lang w:val="es-PE"/>
        </w:rPr>
        <w:t>CREACIÓN DE EQUIVALENCIAS DE GRUPO DE MUESTRAS QCX</w:t>
      </w:r>
    </w:p>
    <w:p w:rsidR="00716C2E" w:rsidRPr="00716C2E" w:rsidRDefault="00716C2E" w:rsidP="00716C2E">
      <w:pPr>
        <w:spacing w:after="0" w:line="240" w:lineRule="auto"/>
        <w:jc w:val="both"/>
        <w:rPr>
          <w:rFonts w:ascii="Arial" w:eastAsia="Times New Roman" w:hAnsi="Arial" w:cs="Arial"/>
          <w:color w:val="000000"/>
          <w:sz w:val="20"/>
          <w:szCs w:val="20"/>
          <w:lang w:val="es-PE" w:eastAsia="es-PE"/>
        </w:rPr>
      </w:pPr>
      <w:r w:rsidRPr="00716C2E">
        <w:rPr>
          <w:rFonts w:ascii="Arial" w:eastAsia="Times New Roman" w:hAnsi="Arial" w:cs="Arial"/>
          <w:color w:val="000000"/>
          <w:sz w:val="20"/>
          <w:szCs w:val="20"/>
          <w:lang w:val="es-PE" w:eastAsia="es-PE"/>
        </w:rPr>
        <w:t xml:space="preserve">Se solicita poder crear, modificar, eliminar y consultar los grupos de muestras que tienen una equivalencia en el QCX. Esta funcionalidad se debe incluir en la opción de Administración de Datos Maestros, que contenga el enlace Administración de Grupos de Muestras QCX. La funcionalidad no debe permitir que existan Grupos de muestras iguales; esto último está configurado en la actualidad. </w:t>
      </w:r>
    </w:p>
    <w:p w:rsidR="00716C2E" w:rsidRDefault="00716C2E">
      <w:pPr>
        <w:rPr>
          <w:lang w:val="es-PE"/>
        </w:rPr>
      </w:pPr>
    </w:p>
    <w:p w:rsidR="00716C2E" w:rsidRPr="00716C2E" w:rsidRDefault="00716C2E" w:rsidP="00716C2E">
      <w:pPr>
        <w:ind w:left="709"/>
        <w:jc w:val="both"/>
        <w:rPr>
          <w:rFonts w:ascii="Arial" w:hAnsi="Arial" w:cs="Arial"/>
          <w:sz w:val="20"/>
          <w:szCs w:val="20"/>
          <w:lang w:val="es-PE"/>
        </w:rPr>
      </w:pPr>
      <w:r w:rsidRPr="00716C2E">
        <w:rPr>
          <w:rFonts w:ascii="Arial" w:hAnsi="Arial" w:cs="Arial"/>
          <w:sz w:val="20"/>
          <w:szCs w:val="20"/>
          <w:lang w:val="es-PE"/>
        </w:rPr>
        <w:t>Requerimiento Buscar.</w:t>
      </w:r>
    </w:p>
    <w:p w:rsidR="00716C2E" w:rsidRPr="00716C2E" w:rsidRDefault="00716C2E" w:rsidP="00716C2E">
      <w:pPr>
        <w:ind w:left="709"/>
        <w:jc w:val="both"/>
        <w:rPr>
          <w:rFonts w:ascii="Arial" w:hAnsi="Arial" w:cs="Arial"/>
          <w:b/>
          <w:sz w:val="20"/>
          <w:szCs w:val="20"/>
          <w:lang w:val="es-PE"/>
        </w:rPr>
      </w:pPr>
      <w:r w:rsidRPr="00716C2E">
        <w:rPr>
          <w:rFonts w:ascii="Arial" w:hAnsi="Arial" w:cs="Arial"/>
          <w:b/>
          <w:sz w:val="20"/>
          <w:szCs w:val="20"/>
          <w:lang w:val="es-PE"/>
        </w:rPr>
        <w:t>Parámetros de entrada:</w:t>
      </w:r>
    </w:p>
    <w:p w:rsidR="00716C2E" w:rsidRPr="00E3130A" w:rsidRDefault="00716C2E" w:rsidP="00716C2E">
      <w:pPr>
        <w:numPr>
          <w:ilvl w:val="0"/>
          <w:numId w:val="1"/>
        </w:numPr>
        <w:suppressAutoHyphens/>
        <w:ind w:left="993" w:hanging="284"/>
        <w:jc w:val="both"/>
        <w:rPr>
          <w:rFonts w:ascii="Arial" w:hAnsi="Arial" w:cs="Arial"/>
          <w:b/>
          <w:sz w:val="20"/>
          <w:szCs w:val="20"/>
        </w:rPr>
      </w:pPr>
      <w:proofErr w:type="spellStart"/>
      <w:r w:rsidRPr="00E3130A">
        <w:rPr>
          <w:rFonts w:ascii="Arial" w:hAnsi="Arial" w:cs="Arial"/>
          <w:b/>
          <w:sz w:val="20"/>
          <w:szCs w:val="20"/>
        </w:rPr>
        <w:t>Obligatorios</w:t>
      </w:r>
      <w:proofErr w:type="spellEnd"/>
      <w:r w:rsidRPr="00E3130A">
        <w:rPr>
          <w:rFonts w:ascii="Arial" w:hAnsi="Arial" w:cs="Arial"/>
          <w:b/>
          <w:sz w:val="20"/>
          <w:szCs w:val="20"/>
        </w:rPr>
        <w:t>:</w:t>
      </w:r>
    </w:p>
    <w:p w:rsidR="00716C2E" w:rsidRPr="00E3130A" w:rsidRDefault="00716C2E" w:rsidP="00716C2E">
      <w:pPr>
        <w:ind w:left="709"/>
        <w:jc w:val="both"/>
        <w:rPr>
          <w:rFonts w:ascii="Arial" w:hAnsi="Arial" w:cs="Arial"/>
          <w:sz w:val="20"/>
          <w:szCs w:val="20"/>
        </w:rPr>
      </w:pPr>
      <w:proofErr w:type="spellStart"/>
      <w:r w:rsidRPr="00E3130A">
        <w:rPr>
          <w:rFonts w:ascii="Arial" w:hAnsi="Arial" w:cs="Arial"/>
          <w:sz w:val="20"/>
          <w:szCs w:val="20"/>
        </w:rPr>
        <w:t>Empresa</w:t>
      </w:r>
      <w:proofErr w:type="spellEnd"/>
      <w:r w:rsidRPr="00E3130A">
        <w:rPr>
          <w:rFonts w:ascii="Arial" w:hAnsi="Arial" w:cs="Arial"/>
          <w:sz w:val="20"/>
          <w:szCs w:val="20"/>
        </w:rPr>
        <w:t xml:space="preserve">, </w:t>
      </w:r>
      <w:proofErr w:type="spellStart"/>
      <w:r w:rsidRPr="00E3130A">
        <w:rPr>
          <w:rFonts w:ascii="Arial" w:hAnsi="Arial" w:cs="Arial"/>
          <w:sz w:val="20"/>
          <w:szCs w:val="20"/>
        </w:rPr>
        <w:t>Planta</w:t>
      </w:r>
      <w:proofErr w:type="spellEnd"/>
      <w:r w:rsidRPr="00E3130A">
        <w:rPr>
          <w:rFonts w:ascii="Arial" w:hAnsi="Arial" w:cs="Arial"/>
          <w:sz w:val="20"/>
          <w:szCs w:val="20"/>
        </w:rPr>
        <w:t xml:space="preserve">, </w:t>
      </w:r>
      <w:proofErr w:type="spellStart"/>
      <w:r w:rsidRPr="00E3130A">
        <w:rPr>
          <w:rFonts w:ascii="Arial" w:hAnsi="Arial" w:cs="Arial"/>
          <w:sz w:val="20"/>
          <w:szCs w:val="20"/>
        </w:rPr>
        <w:t>Proceso</w:t>
      </w:r>
      <w:proofErr w:type="spellEnd"/>
    </w:p>
    <w:p w:rsidR="00716C2E" w:rsidRPr="00E3130A" w:rsidRDefault="00716C2E" w:rsidP="00716C2E">
      <w:pPr>
        <w:numPr>
          <w:ilvl w:val="0"/>
          <w:numId w:val="1"/>
        </w:numPr>
        <w:suppressAutoHyphens/>
        <w:ind w:left="993" w:hanging="284"/>
        <w:jc w:val="both"/>
        <w:rPr>
          <w:rFonts w:ascii="Arial" w:hAnsi="Arial" w:cs="Arial"/>
          <w:b/>
          <w:sz w:val="20"/>
          <w:szCs w:val="20"/>
        </w:rPr>
      </w:pPr>
      <w:proofErr w:type="spellStart"/>
      <w:r w:rsidRPr="00E3130A">
        <w:rPr>
          <w:rFonts w:ascii="Arial" w:hAnsi="Arial" w:cs="Arial"/>
          <w:b/>
          <w:sz w:val="20"/>
          <w:szCs w:val="20"/>
        </w:rPr>
        <w:t>Opcionales</w:t>
      </w:r>
      <w:proofErr w:type="spellEnd"/>
      <w:r w:rsidRPr="00E3130A">
        <w:rPr>
          <w:rFonts w:ascii="Arial" w:hAnsi="Arial" w:cs="Arial"/>
          <w:b/>
          <w:sz w:val="20"/>
          <w:szCs w:val="20"/>
        </w:rPr>
        <w:t>:</w:t>
      </w:r>
    </w:p>
    <w:p w:rsidR="00716C2E" w:rsidRPr="00716C2E" w:rsidRDefault="00716C2E" w:rsidP="00716C2E">
      <w:pPr>
        <w:ind w:left="709"/>
        <w:jc w:val="both"/>
        <w:rPr>
          <w:rFonts w:ascii="Arial" w:hAnsi="Arial" w:cs="Arial"/>
          <w:sz w:val="20"/>
          <w:szCs w:val="20"/>
          <w:lang w:val="es-PE"/>
        </w:rPr>
      </w:pPr>
      <w:r w:rsidRPr="00716C2E">
        <w:rPr>
          <w:rFonts w:ascii="Arial" w:hAnsi="Arial" w:cs="Arial"/>
          <w:sz w:val="20"/>
          <w:szCs w:val="20"/>
          <w:lang w:val="es-PE"/>
        </w:rPr>
        <w:t>Programa del QCX (Código), equipo y producto.</w:t>
      </w:r>
    </w:p>
    <w:p w:rsidR="00716C2E" w:rsidRPr="00716C2E" w:rsidRDefault="00716C2E" w:rsidP="00716C2E">
      <w:pPr>
        <w:jc w:val="both"/>
        <w:rPr>
          <w:rFonts w:ascii="Arial" w:hAnsi="Arial" w:cs="Arial"/>
          <w:sz w:val="20"/>
          <w:szCs w:val="20"/>
          <w:lang w:val="es-PE"/>
        </w:rPr>
      </w:pPr>
    </w:p>
    <w:p w:rsidR="00716C2E" w:rsidRPr="00E3130A" w:rsidRDefault="00716C2E" w:rsidP="00716C2E">
      <w:pPr>
        <w:jc w:val="center"/>
        <w:rPr>
          <w:rFonts w:ascii="Arial" w:hAnsi="Arial" w:cs="Arial"/>
          <w:sz w:val="20"/>
          <w:szCs w:val="20"/>
        </w:rPr>
      </w:pPr>
      <w:r>
        <w:rPr>
          <w:rFonts w:ascii="Arial" w:hAnsi="Arial" w:cs="Arial"/>
          <w:noProof/>
          <w:sz w:val="20"/>
          <w:szCs w:val="20"/>
        </w:rPr>
        <w:drawing>
          <wp:inline distT="0" distB="0" distL="0" distR="0">
            <wp:extent cx="4686300" cy="2190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8" t="15491" r="25726" b="29027"/>
                    <a:stretch>
                      <a:fillRect/>
                    </a:stretch>
                  </pic:blipFill>
                  <pic:spPr bwMode="auto">
                    <a:xfrm>
                      <a:off x="0" y="0"/>
                      <a:ext cx="4686300" cy="2190750"/>
                    </a:xfrm>
                    <a:prstGeom prst="rect">
                      <a:avLst/>
                    </a:prstGeom>
                    <a:noFill/>
                    <a:ln w="9525">
                      <a:noFill/>
                      <a:miter lim="800000"/>
                      <a:headEnd/>
                      <a:tailEnd/>
                    </a:ln>
                  </pic:spPr>
                </pic:pic>
              </a:graphicData>
            </a:graphic>
          </wp:inline>
        </w:drawing>
      </w:r>
    </w:p>
    <w:p w:rsidR="00716C2E" w:rsidRPr="00716C2E" w:rsidRDefault="00716C2E" w:rsidP="00716C2E">
      <w:pPr>
        <w:ind w:firstLine="709"/>
        <w:jc w:val="both"/>
        <w:rPr>
          <w:rFonts w:ascii="Arial" w:hAnsi="Arial" w:cs="Arial"/>
          <w:sz w:val="20"/>
          <w:szCs w:val="20"/>
          <w:lang w:val="es-PE"/>
        </w:rPr>
      </w:pPr>
      <w:r w:rsidRPr="00716C2E">
        <w:rPr>
          <w:rFonts w:ascii="Arial" w:hAnsi="Arial" w:cs="Arial"/>
          <w:sz w:val="20"/>
          <w:szCs w:val="20"/>
          <w:lang w:val="es-PE"/>
        </w:rPr>
        <w:t>Requerimiento Registrar, Modificar:</w:t>
      </w:r>
    </w:p>
    <w:p w:rsidR="00716C2E" w:rsidRPr="00716C2E" w:rsidRDefault="00716C2E" w:rsidP="00716C2E">
      <w:pPr>
        <w:ind w:left="709"/>
        <w:jc w:val="both"/>
        <w:rPr>
          <w:rFonts w:ascii="Arial" w:hAnsi="Arial" w:cs="Arial"/>
          <w:b/>
          <w:sz w:val="20"/>
          <w:szCs w:val="20"/>
          <w:lang w:val="es-PE"/>
        </w:rPr>
      </w:pPr>
      <w:r w:rsidRPr="00716C2E">
        <w:rPr>
          <w:rFonts w:ascii="Arial" w:hAnsi="Arial" w:cs="Arial"/>
          <w:b/>
          <w:sz w:val="20"/>
          <w:szCs w:val="20"/>
          <w:lang w:val="es-PE"/>
        </w:rPr>
        <w:t>Parámetros de entrada</w:t>
      </w:r>
    </w:p>
    <w:p w:rsidR="00716C2E" w:rsidRPr="00716C2E" w:rsidRDefault="00716C2E" w:rsidP="00716C2E">
      <w:pPr>
        <w:ind w:left="709"/>
        <w:jc w:val="both"/>
        <w:rPr>
          <w:rFonts w:ascii="Arial" w:hAnsi="Arial" w:cs="Arial"/>
          <w:sz w:val="20"/>
          <w:szCs w:val="20"/>
          <w:lang w:val="es-PE"/>
        </w:rPr>
      </w:pPr>
      <w:r w:rsidRPr="00716C2E">
        <w:rPr>
          <w:rFonts w:ascii="Arial" w:hAnsi="Arial" w:cs="Arial"/>
          <w:sz w:val="20"/>
          <w:szCs w:val="20"/>
          <w:lang w:val="es-PE"/>
        </w:rPr>
        <w:t>Programa del QCX (Código), proceso, equipo y producto.</w:t>
      </w:r>
    </w:p>
    <w:p w:rsidR="00716C2E" w:rsidRPr="00716C2E" w:rsidRDefault="00716C2E" w:rsidP="00716C2E">
      <w:pPr>
        <w:ind w:left="709"/>
        <w:jc w:val="both"/>
        <w:rPr>
          <w:rFonts w:ascii="Arial" w:hAnsi="Arial" w:cs="Arial"/>
          <w:b/>
          <w:sz w:val="20"/>
          <w:szCs w:val="20"/>
          <w:lang w:val="es-PE"/>
        </w:rPr>
      </w:pPr>
      <w:r w:rsidRPr="00716C2E">
        <w:rPr>
          <w:rFonts w:ascii="Arial" w:hAnsi="Arial" w:cs="Arial"/>
          <w:sz w:val="20"/>
          <w:szCs w:val="20"/>
          <w:lang w:val="es-PE"/>
        </w:rPr>
        <w:t xml:space="preserve"> </w:t>
      </w:r>
      <w:r w:rsidRPr="00716C2E">
        <w:rPr>
          <w:rFonts w:ascii="Arial" w:hAnsi="Arial" w:cs="Arial"/>
          <w:b/>
          <w:sz w:val="20"/>
          <w:szCs w:val="20"/>
          <w:lang w:val="es-PE"/>
        </w:rPr>
        <w:t>Activar, Desactivar:</w:t>
      </w:r>
    </w:p>
    <w:p w:rsidR="00716C2E" w:rsidRPr="00716C2E" w:rsidRDefault="00716C2E" w:rsidP="00716C2E">
      <w:pPr>
        <w:ind w:left="709"/>
        <w:jc w:val="both"/>
        <w:rPr>
          <w:rFonts w:ascii="Arial" w:hAnsi="Arial" w:cs="Arial"/>
          <w:b/>
          <w:sz w:val="20"/>
          <w:szCs w:val="20"/>
          <w:lang w:val="es-PE"/>
        </w:rPr>
      </w:pPr>
      <w:r w:rsidRPr="00716C2E">
        <w:rPr>
          <w:rFonts w:ascii="Arial" w:hAnsi="Arial" w:cs="Arial"/>
          <w:b/>
          <w:sz w:val="20"/>
          <w:szCs w:val="20"/>
          <w:lang w:val="es-PE"/>
        </w:rPr>
        <w:t>Parámetros de entrada</w:t>
      </w:r>
    </w:p>
    <w:p w:rsidR="00716C2E" w:rsidRPr="00716C2E" w:rsidRDefault="00716C2E" w:rsidP="00716C2E">
      <w:pPr>
        <w:ind w:left="709"/>
        <w:jc w:val="both"/>
        <w:rPr>
          <w:rFonts w:ascii="Arial" w:hAnsi="Arial" w:cs="Arial"/>
          <w:sz w:val="20"/>
          <w:szCs w:val="20"/>
          <w:lang w:val="es-PE"/>
        </w:rPr>
      </w:pPr>
      <w:r w:rsidRPr="00716C2E">
        <w:rPr>
          <w:rFonts w:ascii="Arial" w:hAnsi="Arial" w:cs="Arial"/>
          <w:sz w:val="20"/>
          <w:szCs w:val="20"/>
          <w:lang w:val="es-PE"/>
        </w:rPr>
        <w:t>Programa del QCX (Código), estado</w:t>
      </w:r>
    </w:p>
    <w:p w:rsidR="00716C2E" w:rsidRPr="00716C2E" w:rsidRDefault="00716C2E" w:rsidP="00716C2E">
      <w:pPr>
        <w:ind w:left="709"/>
        <w:jc w:val="both"/>
        <w:rPr>
          <w:rFonts w:ascii="Arial" w:hAnsi="Arial" w:cs="Arial"/>
          <w:b/>
          <w:sz w:val="20"/>
          <w:szCs w:val="20"/>
          <w:lang w:val="es-PE"/>
        </w:rPr>
      </w:pPr>
      <w:r w:rsidRPr="00716C2E">
        <w:rPr>
          <w:rFonts w:ascii="Arial" w:hAnsi="Arial" w:cs="Arial"/>
          <w:b/>
          <w:sz w:val="20"/>
          <w:szCs w:val="20"/>
          <w:lang w:val="es-PE"/>
        </w:rPr>
        <w:t>Pantalla de Registrar, Modificar, Activar, Desactivar, Cancelar:</w:t>
      </w:r>
    </w:p>
    <w:p w:rsidR="00716C2E" w:rsidRDefault="00716C2E" w:rsidP="00716C2E">
      <w:pPr>
        <w:jc w:val="right"/>
        <w:rPr>
          <w:rFonts w:ascii="Arial" w:hAnsi="Arial" w:cs="Arial"/>
          <w:sz w:val="20"/>
          <w:szCs w:val="20"/>
        </w:rPr>
      </w:pPr>
      <w:r>
        <w:rPr>
          <w:rFonts w:ascii="Arial" w:hAnsi="Arial" w:cs="Arial"/>
          <w:noProof/>
          <w:sz w:val="20"/>
          <w:szCs w:val="20"/>
        </w:rPr>
        <w:lastRenderedPageBreak/>
        <w:drawing>
          <wp:inline distT="0" distB="0" distL="0" distR="0">
            <wp:extent cx="5133975" cy="21145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587" t="15488" r="25728" b="36224"/>
                    <a:stretch>
                      <a:fillRect/>
                    </a:stretch>
                  </pic:blipFill>
                  <pic:spPr bwMode="auto">
                    <a:xfrm>
                      <a:off x="0" y="0"/>
                      <a:ext cx="5133975" cy="2114550"/>
                    </a:xfrm>
                    <a:prstGeom prst="rect">
                      <a:avLst/>
                    </a:prstGeom>
                    <a:noFill/>
                    <a:ln w="9525">
                      <a:noFill/>
                      <a:miter lim="800000"/>
                      <a:headEnd/>
                      <a:tailEnd/>
                    </a:ln>
                  </pic:spPr>
                </pic:pic>
              </a:graphicData>
            </a:graphic>
          </wp:inline>
        </w:drawing>
      </w:r>
    </w:p>
    <w:p w:rsidR="00716C2E" w:rsidRPr="00716C2E" w:rsidRDefault="00716C2E" w:rsidP="00716C2E">
      <w:pPr>
        <w:ind w:left="851"/>
        <w:rPr>
          <w:rFonts w:ascii="Arial" w:eastAsia="Times New Roman" w:hAnsi="Arial" w:cs="Arial"/>
          <w:color w:val="000000"/>
          <w:sz w:val="20"/>
          <w:szCs w:val="20"/>
          <w:lang w:val="es-PE" w:eastAsia="es-PE"/>
        </w:rPr>
      </w:pPr>
      <w:r w:rsidRPr="00716C2E">
        <w:rPr>
          <w:rFonts w:ascii="Arial" w:eastAsia="Times New Roman" w:hAnsi="Arial" w:cs="Arial"/>
          <w:color w:val="000000"/>
          <w:sz w:val="20"/>
          <w:szCs w:val="20"/>
          <w:lang w:val="es-PE" w:eastAsia="es-PE"/>
        </w:rPr>
        <w:t>La funcionalidad no debe permitir que existan Grupos de muestras iguales; esto último está configurado en la actualidad.</w:t>
      </w:r>
    </w:p>
    <w:p w:rsidR="00716C2E" w:rsidRPr="00716C2E" w:rsidRDefault="00716C2E" w:rsidP="00716C2E">
      <w:pPr>
        <w:ind w:left="851"/>
        <w:rPr>
          <w:rFonts w:ascii="Arial" w:eastAsia="Times New Roman" w:hAnsi="Arial" w:cs="Arial"/>
          <w:color w:val="000000"/>
          <w:sz w:val="20"/>
          <w:szCs w:val="20"/>
          <w:lang w:val="es-PE" w:eastAsia="es-PE"/>
        </w:rPr>
      </w:pPr>
      <w:r w:rsidRPr="00716C2E">
        <w:rPr>
          <w:rFonts w:ascii="Arial" w:eastAsia="Times New Roman" w:hAnsi="Arial" w:cs="Arial"/>
          <w:color w:val="000000"/>
          <w:sz w:val="20"/>
          <w:szCs w:val="20"/>
          <w:lang w:val="es-PE" w:eastAsia="es-PE"/>
        </w:rPr>
        <w:t>La tabla en de la base de datos es "GESAC_MAE_GRUP_MUES".</w:t>
      </w:r>
    </w:p>
    <w:p w:rsidR="00716C2E" w:rsidRPr="00716C2E" w:rsidRDefault="00716C2E">
      <w:pPr>
        <w:rPr>
          <w:lang w:val="es-PE"/>
        </w:rPr>
      </w:pPr>
    </w:p>
    <w:sectPr w:rsidR="00716C2E" w:rsidRPr="00716C2E"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25F1F"/>
    <w:multiLevelType w:val="hybridMultilevel"/>
    <w:tmpl w:val="AAE22A28"/>
    <w:lvl w:ilvl="0" w:tplc="EEE0CDE8">
      <w:start w:val="1"/>
      <w:numFmt w:val="lowerLetter"/>
      <w:lvlText w:val="%1."/>
      <w:lvlJc w:val="left"/>
      <w:pPr>
        <w:ind w:left="1429" w:hanging="360"/>
      </w:pPr>
      <w:rPr>
        <w:rFonts w:hint="default"/>
        <w:b/>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C2E"/>
    <w:rsid w:val="00165F1E"/>
    <w:rsid w:val="00716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6C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6C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2012-05-15T19:22:00Z</dcterms:created>
  <dcterms:modified xsi:type="dcterms:W3CDTF">2012-05-15T19:23:00Z</dcterms:modified>
</cp:coreProperties>
</file>