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</w:pPr>
      <w:r>
        <w:rPr>
          <w:rFonts w:ascii="Segoe UI" w:cs="Segoe UI" w:eastAsia="Segoe UI" w:hAnsi="Segoe UI"/>
          <w:b/>
          <w:bCs/>
          <w:color w:val="059669"/>
          <w:sz w:val="40"/>
          <w:szCs w:val="40"/>
        </w:rPr>
        <w:t xml:space="preserve">FINKIT BY BYTEFRAME</w:t>
      </w:r>
    </w:p>
    <w:p>
      <w:pPr>
        <w:spacing w:after="200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Comprehensive Application Feature &amp; Architecture Documentation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Document Property</w:t>
            </w:r>
          </w:p>
        </w:tc>
        <w:tc>
          <w:tcPr>
            <w:tcW w:type="pct" w:w="65%"/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pct" w:w="3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Application Name</w:t>
            </w:r>
          </w:p>
        </w:tc>
        <w:tc>
          <w:tcPr>
            <w:tcW w:type="pct" w:w="6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FinKit by Byteframe</w:t>
            </w:r>
          </w:p>
        </w:tc>
      </w:tr>
      <w:tr>
        <w:tc>
          <w:tcPr>
            <w:tcW w:type="pct" w:w="35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Product Release</w:t>
            </w:r>
          </w:p>
        </w:tc>
        <w:tc>
          <w:tcPr>
            <w:tcW w:type="pct" w:w="65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Version 1.0 (Production Master)</w:t>
            </w:r>
          </w:p>
        </w:tc>
      </w:tr>
      <w:tr>
        <w:tc>
          <w:tcPr>
            <w:tcW w:type="pct" w:w="3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Publishing Organization</w:t>
            </w:r>
          </w:p>
        </w:tc>
        <w:tc>
          <w:tcPr>
            <w:tcW w:type="pct" w:w="6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Byteframe Technologies</w:t>
            </w:r>
          </w:p>
        </w:tc>
      </w:tr>
      <w:tr>
        <w:tc>
          <w:tcPr>
            <w:tcW w:type="pct" w:w="35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Ecosystem</w:t>
            </w:r>
          </w:p>
        </w:tc>
        <w:tc>
          <w:tcPr>
            <w:tcW w:type="pct" w:w="65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Retail Finance, Wealth Advisors, Accountants &amp; Borrowers</w:t>
            </w:r>
          </w:p>
        </w:tc>
      </w:tr>
      <w:tr>
        <w:tc>
          <w:tcPr>
            <w:tcW w:type="pct" w:w="3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Architecture Style</w:t>
            </w:r>
          </w:p>
        </w:tc>
        <w:tc>
          <w:tcPr>
            <w:tcW w:type="pct" w:w="6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Zero-Latency Client-Side Financial Engineering Engine</w:t>
            </w:r>
          </w:p>
        </w:tc>
      </w:tr>
      <w:tr>
        <w:tc>
          <w:tcPr>
            <w:tcW w:type="pct" w:w="35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Supported Currencies</w:t>
            </w:r>
          </w:p>
        </w:tc>
        <w:tc>
          <w:tcPr>
            <w:tcW w:type="pct" w:w="65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INR (₹), USD ($), EUR (€), GBP (£), CAD (C$), AUD (A$)</w:t>
            </w:r>
          </w:p>
        </w:tc>
      </w:tr>
      <w:tr>
        <w:tc>
          <w:tcPr>
            <w:tcW w:type="pct" w:w="3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Document Scope</w:t>
            </w:r>
          </w:p>
        </w:tc>
        <w:tc>
          <w:tcPr>
            <w:tcW w:type="pct" w:w="65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End-to-End Functional Breakdown of all 12 Analytical Engines &amp; Simulators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Executive Summary &amp; Product Vision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FinKit by Byteframe is an enterprise-grade financial calculation, loan amortization, wealth accumulation, and taxation intelligence application. Designed for modern borrowers, investors, financial planners, and accounting professionals, FinKit replaces fragmented spreadsheets and ad-hoc calculators with a unified, high-precision, interactive workspace.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platform delivers instant mathematical clarity across personal debt optimization, accelerated loan payoff simulation, systematic wealth compounding, retirement corpus drawdown sustainability, time-value-of-money discounting, dual-regime income tax optimization, take-home CTC structuring, and asset-specific capital gains taxation.</w:t>
      </w:r>
    </w:p>
    <w:tbl>
      <w:tblPr>
        <w:tblW w:type="pct" w:w="100%"/>
        <w:tblBorders>
          <w:top w:val="none" w:color="auto" w:sz="0"/>
          <w:left w:val="single" w:color="059669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21"/>
                <w:szCs w:val="21"/>
              </w:rPr>
              <w:t xml:space="preserve">Core Value Proposition</w:t>
            </w:r>
          </w:p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FinKit empowers users to execute complex financial modeling without friction. By pairing bank-accurate mathematical precision with real-time reactive visualization, users uncover actionable insights such as exact prepayment interest savings, breakeven loan refinance thresholds, and optimal tax regime choices.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System Architecture &amp; Privacy-First Security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FinKit is built with a modern web architecture focusing on speed, responsiveness, and zero data leakage: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100% Client-Side Computation: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All financial computations, amortization recursive algorithms, and tax simulations run entirely in the user’s browser memory. Sensitive personal financial data, salary figures, and loan balances never leave the client device.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Sub-Millisecond Reactivity: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State updates propagate instantaneously using optimized React 19 memoization and hooks. Modifying a loan slider immediately recalculates all metrics, redraws SVG amortization curves, and recalculates monthly schedules with zero perceptible lag.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Multi-Currency Engine: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Full runtime localization supporting Indian Rupee (₹), US Dollar ($), Euro (€), British Pound (£), Canadian Dollar (C$), and Australian Dollar (A$) with regional digit grouping (including Indian Lakhs/Crores notation).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Universal Export &amp; Print Pipeline: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Built-in support for instant RFC-4180 CSV generation of comprehensive monthly amortization schedules and executive PDF/print-ready summary reports.</w:t>
      </w:r>
    </w:p>
    <w:p>
      <w:pPr>
        <w:spacing w:after="16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Comprehensive Module-by-Module Feature Breakdown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application is organized into three distinct financial pillars housing twelve dedicated computational engines and advanced stress-testing simulators: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59669"/>
          <w:sz w:val="26"/>
          <w:szCs w:val="26"/>
        </w:rPr>
        <w:t xml:space="preserve">Pillar A: Lending &amp; Debt Analytics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1: Loan Amortization &amp; Accelerated Payoff Engine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Loan Amortization engine is a comprehensive debt modeling system designed to calculate standard reducing balance loans and simulate accelerated payoff strategies.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Core Loan Parameters: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Supports customizable Principal Amount, Annual Nominal Interest Rate (with 0.01% precision), Loan Tenure in both Years and Months, and Calendar Start Date.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Accelerated Prepayment Simulation: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Enables simultaneous modeling of ongoing monthly extra payments and a one-time lump-sum prepayment applied at any specified future loan month.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Instant Analytical KPI Cards: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Displays Monthly EMI, Total Repayment, Total Interest Payable, Projected Payoff Date, and exact Interest &amp; Tenure Saved via prepayments.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Interactive Balance &amp; Interest Curve: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An SVG area and line chart depicting Outstanding Principal Balance over time, alongside Cumulative Interest and Principal curves with hover tooltips.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Month-by-Month &amp; Annual Amortization Table: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Full schedule listing Month Index, Calendar Date, Regular EMI, Extra Payment, Principal Component, Interest Component, and Remaining Principal Balance.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Loan Comparison &amp; Refinance Simulator: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Side-by-side comparative modeling contrasting the baseline loan against a refinanced loan with automatic calculation of monthly EMI differential and net interest savings.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What-If Floating Interest Rate Hike Stress Test: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Simulates floating interest rate hikes (e.g. +1.0%, +2.0% mid-tenure at any future month) under two borrower adjustment strategies: (a) Increase Monthly EMI to maintain payoff tenure, or (b) Keep EMI constant and Extend Loan Tenure, calculating the exact extra interest and months added.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Bi-Weekly Payment Schedule Optimizer: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Models an accelerated 26 bi-weekly half-payment schedule (equivalent to 13 full monthly payments per year), quantifying substantial tenure reduction (often 3-4 years saved on a 20-year loan) and significant lifetime interest savings.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2: Debt Consolidation Simulator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Allows borrowers, financial advisors, and credit counselors to evaluate the financial feasibility of consolidating multiple high-interest revolving liabilities (credit cards, high-APR personal loans, auto loans) into a single streamlined term loan.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Multi-Debt Portfolio Ingestion: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Add, edit, and remove dynamic debt accounts specifying account name, debt category (credit card, personal loan, auto loan, etc.), outstanding balance, annual APR, and current monthly payment.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Consolidated Terms Engine: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Configures the target consolidation interest rate, consolidated loan tenure, and one-time upfront processing fees.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Comprehensive Financial Relief Metrics: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Highlights weighted average current interest rate vs. new consolidated rate, monthly cash flow savings, lifetime net interest reduction, net financial benefit after fees, and the exact break-even month.</w:t>
      </w:r>
    </w:p>
    <w:p>
      <w:pPr>
        <w:spacing w:after="14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59669"/>
          <w:sz w:val="26"/>
          <w:szCs w:val="26"/>
        </w:rPr>
        <w:t xml:space="preserve">Pillar B: Wealth Accumulation &amp; Retirement Planning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3: Systematic Investment Plan (SIP) Calculator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Designed for mutual fund investors and recurring equity allocations to project long-term wealth compounding with periodic step-ups.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Step-Up Capability: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Supports an optional Annual Step-Up percentage (e.g., 5% to 15%), mimicking annual salary increments and expanding annual contributions.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Wealth Multiplier Metric: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Calculates the compounding wealth multiplier (e.g., 3.42x), illustrating how early and steady contributions generate geometric asset expansion.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Yearly Compounding Breakdown: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Itemizes annual deposits, cumulative principal invested, annual growth earned, and cumulative portfolio valuation at each milestone year.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4: Goal-Based Reverse SIP Engineering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Reverses the traditional compounding formula. Instead of asking "What will my SIP become?", users declare target life milestones (e.g., ₹1 Crore Child Education in 10 years, ₹30 Lakh Home Down Payment in 5 years, or Custom Target), and the algorithm solves for the exact required monthly investment.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Dual Reverse-Engineering Modes: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Solves for required starting monthly SIP factoring in existing accumulated savings, expected annual CAGR, and anticipated annual step-up rate.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Pre-Configured Goal Archetypes: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Quick-start presets for Higher Education, Residential Down Payment, Early Retirement, Dream Vacation, and Wedding Celebrations.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Milestone Progress Roadmap: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Tabular milestone trajectory tracing cumulative principal outlays, compound growth generated, and portfolio valuation towards 100% goal achievement.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5: Systematic Withdrawal Plan (SWP) with Monte Carlo Simulation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Models retirement drawdowns and post-retirement income streams, assessing the longevity of accumulated wealth against inflation and market volatility.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Inflation-Adjusted Withdrawals: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Allows an Annual Withdrawal Step-Up percentage to preserve real purchasing power against living expense inflation.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Corpus Depletion Warning System: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Automatically alerts the user if monthly withdrawals outpace portfolio compounding, identifying the exact year and month the capital will be exhausted.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Probabilistic Monte Carlo Stress Test: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Runs 500 stochastic market path iterations using customizable annual market volatility (standard deviation 8% to 25%). Evaluates probability of portfolio survival (e.g., 94% success rate), median ending wealth, 10th percentile worst-case outcomes, and 90th percentile optimal outcomes.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6: Future Value (FV) Annuity Calculator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Computes the prospective value of an asset or cash stream based on compound growth and recurring periodic cash infusions.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Ordinary Annuity vs. Annuity Due: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Supports timing toggle between End-of-period (Ordinary Annuity) and Beginning-of-period (Annuity Due) payments.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Multiple Compounding Frequencies: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Enables daily, monthly, quarterly, semi-annual, and annual compounding calculations adhering to rigorous financial math standards.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7: Present Value (PV) &amp; Inflation Basket Customization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Determines the current lump-sum value required to achieve a target future financial milestone, discounted at an expected hurdle rate, coupled with granular personal inflation modeling.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Real Purchasing Power Evaluation: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Calculates purchasing power degradation and true inflation-adjusted present value.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Customizable Inflation Basket Sub-Indices: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Allows investors to tweak individual inflation rates across specific categories: Healthcare &amp; Medical Care (11.5%), Higher Education (9.5%), Housing &amp; Utilities (7.0%), Food &amp; Household Groceries (6.5%), and General CPI Goods (5.0%). Demonstrates how medical and tuition hyper-inflation severely erode long-term purchasing power.</w:t>
      </w:r>
    </w:p>
    <w:p>
      <w:pPr>
        <w:spacing w:after="14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59669"/>
          <w:sz w:val="26"/>
          <w:szCs w:val="26"/>
        </w:rPr>
        <w:t xml:space="preserve">Pillar C: Taxation Engineering &amp; Payroll Structuring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8: Income Tax Optimization Suite with Multi-Year Horizon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An analytical tax computation engine comparing India’s New Tax Regime against the Old Tax Regime under recent Finance Act provisions, enhanced with multi-year career projections.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Dual-Regime Parallel Processing: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Computes liabilities under both regimes simultaneously, breaking down tax obligations slab-by-slab with applicable standard deductions.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Comprehensive Deductions Modeling: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Supports Section 80C (PPF, EPF, ELSS up to ₹1.5L), Section 80D (Health Insurance up to ₹50k), Section 24(b) (Home Loan Interest up to ₹2L), Section 80CCD(1B) (NPS additional up to ₹50k), HRA exemptions, and standard deduction.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Automated Regime Recommendation: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Evaluates total tax liability plus 4% Health &amp; Education Cess, and highlights the recommended regime with the exact net cash savings.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3- to 5-Year Multi-Year Tax Horizon Projection: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Projects annual gross compensation growth (e.g., 8-15% annual salary hikes), modeling future tax liabilities under both regimes across a 5-year career horizon and computing cumulative multi-year tax savings.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9: Salary Take-Home &amp; CTC Deconstructor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Deconstructs total Cost to Company (CTC) into monthly and annual in-hand take-home pay, statutory deductions, and tax withholdings.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Customizable Pay Structuring: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Configurable Basic Salary percentage, HRA allocation, Employer &amp; Employee Provident Fund (PF), Professional Tax (PT), and TDS withholdings.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Net In-Hand Realization Ratio: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Displays the exact percentage of gross CTC that effectively lands in the employee’s bank account.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10: Freelancer / Gig-Worker Presumptive Tax &amp; GST Module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A dedicated calculation flow for independent contractors, consultants, doctors, lawyers, and gig-economy software engineers.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Section 44ADA Presumptive Scheme: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Evaluates professional eligibility (turnover up to ₹75 Lakhs), allowing 50% deemed taxable profit without maintaining statutory books of accounts.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Quarterly Advance Tax Compliance Schedule: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Generates statutory advance tax calendar deadlines (15th June 15%, 15th Sept 45%, 15th Dec 75%, 15th March 100%) with exact installment dues to avoid Section 234B/234C interest penalties.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GST Registration &amp; Liability Estimation: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Evaluates ₹20 Lakh turnover threshold for services, export service zero-rated exemptions (LUT), and 18% GST liability calculations.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11: Capital Gains Tax Calculator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Calculates Short-Term Capital Gains (STCG) and Long-Term Capital Gains (LTCG) across multiple asset classes with statutory holding rules.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Multi-Asset Class Support: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Listed Equity Stocks, Equity Mutual Funds, Debt Mutual Funds, Real Estate, Cryptocurrencies / VDAs, and Gold / Commodities.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Automatic Classification Thresholds: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Automatically applies 12-month, 24-month, or 36-month holding threshold rules depending on the selected asset category.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Deductions &amp; Exemptions: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Accounts for transfer expenses, brokerage, real estate improvements, and statutory Section 54/54F capital gains exemptions.</w:t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Module 12: RSU &amp; ESOP Dual-Stage Vesting &amp; Sale Taxation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A specialized equity compensation taxation engine for startup employees and corporate executives holding Restricted Stock Units (RSUs) or Employee Stock Option Plans (ESOPs).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Stage 1 (Vesting / Exercise Event):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Calculates perquisite value (FMV minus Exercise Price) treated as salary income and taxed at marginal income tax slab rates.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Stage 2 (Liquidity / Sale Event):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Establishes new cost basis at vesting FMV and calculates subsequent capital gains (STCG vs. LTCG) upon ultimate liquidation.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Multi-Jurisdiction Coverage: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Pre-configured presets for US Tech MNC Foreign RSUs (Meta, Google, Amazon, Microsoft), Domestic Listed Indian Shares, and Unlisted Indian Startups.</w:t>
      </w:r>
    </w:p>
    <w:p>
      <w:pPr>
        <w:spacing w:after="16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Quick Reference Feature &amp; Specification Matrix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The following table summarizes all twelve modules, their primary financial formulations, key input parameters, and prime use cases: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8%"/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Core Formulation / Concept</w:t>
            </w:r>
          </w:p>
        </w:tc>
        <w:tc>
          <w:tcPr>
            <w:tcW w:type="pct" w:w="26%"/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Primary Inputs</w:t>
            </w:r>
          </w:p>
        </w:tc>
        <w:tc>
          <w:tcPr>
            <w:tcW w:type="pct" w:w="28%"/>
            <w:shd w:fill="0F172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Outputs &amp; Highlights</w:t>
            </w:r>
          </w:p>
        </w:tc>
      </w:tr>
      <w:tr>
        <w:tc>
          <w:tcPr>
            <w:tcW w:type="pct" w:w="1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Loan Amortization &amp; Stress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Reducing balance monthly compounding with discrete prepayment &amp; rate hike shock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Principal, Interest Rate, Tenure, Monthly Extra, Lump Sum, Rate Shock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Monthly EMI, Total Interest, Payoff Date, Prepayment Savings, Rate Shock Stress Test, Bi-Weekly Schedule, CSV Export</w:t>
            </w:r>
          </w:p>
        </w:tc>
      </w:tr>
      <w:tr>
        <w:tc>
          <w:tcPr>
            <w:tcW w:type="pct" w:w="1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Debt Consolidation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Weighted debt portfolio refinancing and APR reduction optimization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Multiple Debt Balances, Current Rates &amp; EMIs, Consolidation Rate &amp; Tenure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Single Consolidated EMI, Monthly Cash Flow Relief, Lifetime Interest Reduction, Break-Even Horizon</w:t>
            </w:r>
          </w:p>
        </w:tc>
      </w:tr>
      <w:tr>
        <w:tc>
          <w:tcPr>
            <w:tcW w:type="pct" w:w="1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SIP Calculator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Future value of annuity with compounding step-up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Monthly Investment, Annual Return %, Years, Annual Step-Up %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Total Invested, Estimated Returns, Maturity Value, Wealth Multiplier, Compounding Schedule</w:t>
            </w:r>
          </w:p>
        </w:tc>
      </w:tr>
      <w:tr>
        <w:tc>
          <w:tcPr>
            <w:tcW w:type="pct" w:w="1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Goal-Based Reverse SIP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corpus reverse-engineering and contribution back-solving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Corpus, Target Years, Expected CAGR, Existing Savings, Step-Up %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Required Starting Monthly SIP, Milestone Trajectory Schedule, Cumulative Capital Outlay</w:t>
            </w:r>
          </w:p>
        </w:tc>
      </w:tr>
      <w:tr>
        <w:tc>
          <w:tcPr>
            <w:tcW w:type="pct" w:w="1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SWP &amp; Monte Carlo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Recursive monthly drawdown with 500-iteration stochastic volatility modeling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Initial Corpus, Monthly Withdrawal, Expected Return %, Years, Volatility %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Portfolio Longevity, Depletion Year/Month Alert, Probability of Success %, P10/P50/P90 Percentiles</w:t>
            </w:r>
          </w:p>
        </w:tc>
      </w:tr>
      <w:tr>
        <w:tc>
          <w:tcPr>
            <w:tcW w:type="pct" w:w="1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Future Value (FV)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Compound interest &amp; periodic ordinary / annuity due additions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Present Value, Recurring Additions, Interest %, Frequency, Timing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Future Value, Contribution Breakdown, Cumulative Interest Trajectory</w:t>
            </w:r>
          </w:p>
        </w:tc>
      </w:tr>
      <w:tr>
        <w:tc>
          <w:tcPr>
            <w:tcW w:type="pct" w:w="1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Present Value &amp; Basket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Discounted cash flow discounting &amp; weighted sub-index inflation modeling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Target Sum, Discount Rate %, Years, Category Weights (Medical, Tuition, Rent)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Blended Personal Inflation Rate, Nominal Present Value, Purchasing Power Degradation %</w:t>
            </w:r>
          </w:p>
        </w:tc>
      </w:tr>
      <w:tr>
        <w:tc>
          <w:tcPr>
            <w:tcW w:type="pct" w:w="1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Income Tax &amp; Horizon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Dual-regime slab decomposition with 5-year compensation growth modeling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Gross Salary, 80C, 80D, 24b, NPS, HRA, Expected Salary Hike %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New vs Old Comparison, Optimal Recommendation, 5-Year Horizon Cumulative Tax Savings</w:t>
            </w:r>
          </w:p>
        </w:tc>
      </w:tr>
      <w:tr>
        <w:tc>
          <w:tcPr>
            <w:tcW w:type="pct" w:w="1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Salary / CTC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Payroll component deconstruction and statutory deduction net out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Annual CTC, Annual Bonus, Basic %, HRA %, EPF, PT, Monthly TDS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In-Hand Monthly Pay, In-Hand Annual Pay, Net Realization Ratio %, Itemized Payroll Breakdown</w:t>
            </w:r>
          </w:p>
        </w:tc>
      </w:tr>
      <w:tr>
        <w:tc>
          <w:tcPr>
            <w:tcW w:type="pct" w:w="1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Freelancer / 44ADA &amp; GST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Presumptive 50% profit scheme, quarterly advance tax dates &amp; GST evaluation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Gross Receipts, 44ADA Eligibility, Actual Expenses, GST Rate &amp; Turnover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Deemed Taxable Profit, 4-Quarter Advance Tax Due Dates &amp; Installments, GST Liability, Net Realized Cash</w:t>
            </w:r>
          </w:p>
        </w:tc>
      </w:tr>
      <w:tr>
        <w:tc>
          <w:tcPr>
            <w:tcW w:type="pct" w:w="1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Capital Gains Tax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Asset-specific holding duration classification &amp; statutory tax brackets</w:t>
            </w:r>
          </w:p>
        </w:tc>
        <w:tc>
          <w:tcPr>
            <w:tcW w:type="pct" w:w="26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Asset Type, Buy Price, Sell Price, Quantity, Holding Months, Expenses, Exemptions</w:t>
            </w:r>
          </w:p>
        </w:tc>
        <w:tc>
          <w:tcPr>
            <w:tcW w:type="pct" w:w="28%"/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STCG vs LTCG Classification, Tax Payable, Cess, Net Realized Profit, ROI %</w:t>
            </w:r>
          </w:p>
        </w:tc>
      </w:tr>
      <w:tr>
        <w:tc>
          <w:tcPr>
            <w:tcW w:type="pct" w:w="1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RSU &amp; ESOP Vesting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Dual-stage perquisite salary tax at vesting + capital gain tax at liquidation</w:t>
            </w:r>
          </w:p>
        </w:tc>
        <w:tc>
          <w:tcPr>
            <w:tcW w:type="pct" w:w="26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Instrument, Company Type, Grant Units, FMV at Vesting, Sale Price, Slab Rate</w:t>
            </w:r>
          </w:p>
        </w:tc>
        <w:tc>
          <w:tcPr>
            <w:tcW w:type="pct" w:w="28%"/>
            <w:shd w:fill="F8FAFC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Stage 1 Perquisite Tax, Stage 2 Capital Gain Tax, Total Combined Tax, Net Realized Post-Tax Wealth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5. Reporting, Documentation &amp; Data Export</w:t>
      </w:r>
    </w:p>
    <w:p>
      <w:pPr>
        <w:spacing w:after="120" w:line="28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FinKit by Byteframe includes professional data export and executive reporting tools designed for formal client presentations and offline spreadsheet analysis: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Universal Executive Print &amp; Save as PDF Engine: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Generates tailored executive-formatted summary statements across all 12 analytical modules and simulators. Features a fixed header and sticky action footer equipped with explicit "Close" and "Print / Save as PDF" buttons, keyboard Escape and backdrop dismissal, and CSS print isolation ensuring pristine PDF/paper output without UI chrome.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Full RFC-4180 CSV Schedule Export: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Instantly exports the complete multi-year, month-by-month loan amortization schedule into standard CSV format with UTF-8 BOM encoding for seamless import into Microsoft Excel, Google Sheets, or Apple Numbers.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Integrated Word (.docx) Documentation Generator: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Empowers users and administrators to generate and download this comprehensive technical and functional documentation file directly from the application interface.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Google Drive Privacy-First Cloud Sync (appDataFolder):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Allows users to sign in with their personal Google accounts and synchronize calculation scenarios directly to Google Drive's restricted Application Data folder (scope: https://www.googleapis.com/auth/drive.appdata). Scenario snapshots are isolated from user-visible Drive folders, maintaining complete privacy while enabling effortless cross-device continuity.</w:t>
      </w:r>
    </w:p>
    <w:p>
      <w:pPr>
        <w:spacing w:after="16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6. User Interface &amp; Workflow Design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Responsive Dual-Pane Workspace: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Desktop displays parameter controls on the left and dynamic analytics, charts, and schedules on the right. Mobile screens adapt fluidly with a slide-over navigation drawer.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Synchronized Dual Inputs: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Sliders and numeric inputs are tightly synchronized with real-time error guards preventing negative or unrealistic values.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Non-Intrusive Feedback System: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Contextual toasts confirm preset selections, reset triggers, and document export events without obstructing the calculation workspace.</w:t>
      </w:r>
    </w:p>
    <w:p>
      <w:pPr>
        <w:spacing w:after="200"/>
      </w:pPr>
    </w:p>
    <w:tbl>
      <w:tblPr>
        <w:tblW w:type="pct" w:w="100%"/>
        <w:tblBorders>
          <w:top w:val="none" w:color="auto" w:sz="0"/>
          <w:left w:val="single" w:color="059669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21"/>
                <w:szCs w:val="21"/>
              </w:rPr>
              <w:t xml:space="preserve">Document Authenticity &amp; Ownership</w:t>
            </w:r>
          </w:p>
          <w:p>
            <w:pPr>
              <w:spacing w:after="0" w:line="2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This feature documentation reflects the exact technical implementation of FinKit by Byteframe (Version 1.0). All algorithms, UI components, and business rules documented herein are proprietary to Byteframe Technologies.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7"/>
        <w:szCs w:val="17"/>
      </w:rPr>
      <w:t xml:space="preserve">Confidential &amp; Proprietary  •  Byteframe Technologies  •  Page </w:t>
    </w:r>
    <w:r>
      <w:rPr>
        <w:rFonts w:ascii="Segoe UI" w:cs="Segoe UI" w:eastAsia="Segoe UI" w:hAnsi="Segoe U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7"/>
        <w:szCs w:val="17"/>
      </w:rPr>
      <w:t xml:space="preserve"> of </w:t>
    </w:r>
    <w:r>
      <w:rPr>
        <w:rFonts w:ascii="Segoe UI" w:cs="Segoe UI" w:eastAsia="Segoe UI" w:hAnsi="Segoe U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7"/>
        <w:szCs w:val="17"/>
      </w:rPr>
      <w:t xml:space="preserve">FinKit by Byteframe  |  Feature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FinKit by Byteframe - Feature Documentation</dc:title>
  <dc:creator>Byteframe Technologies</dc:creator>
  <dc:description>Executive &amp; Technical Feature Documentation for FinKit financial intelligence suite</dc:description>
  <cp:lastModifiedBy>Un-named</cp:lastModifiedBy>
  <cp:revision>1</cp:revision>
  <dcterms:created xsi:type="dcterms:W3CDTF">2026-09-27T06:58:02.635Z</dcterms:created>
  <dcterms:modified xsi:type="dcterms:W3CDTF">2026-09-27T06:58:02.635Z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