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Benchmark Summary Tables</w:t>
      </w:r>
    </w:p>
    <w:p/>
    <w:p>
      <w:pPr>
        <w:jc w:val="center"/>
      </w:pPr>
      <w:r>
        <w:rPr>
          <w:rFonts w:ascii="Times New Roman" w:hAnsi="Times New Roman"/>
          <w:b/>
          <w:sz w:val="20"/>
        </w:rPr>
        <w:t>Table 1: End-to-end execution time scaling results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Query</w:t>
            </w:r>
          </w:p>
        </w:tc>
        <w:tc>
          <w:tcPr>
            <w:tcW w:type="dxa" w:w="1700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Impl.</w:t>
            </w:r>
          </w:p>
        </w:tc>
        <w:tc>
          <w:tcPr>
            <w:tcW w:type="dxa" w:w="1700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1W</w:t>
            </w:r>
          </w:p>
        </w:tc>
        <w:tc>
          <w:tcPr>
            <w:tcW w:type="dxa" w:w="1700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2W</w:t>
            </w:r>
          </w:p>
        </w:tc>
        <w:tc>
          <w:tcPr>
            <w:tcW w:type="dxa" w:w="1700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3W</w:t>
            </w:r>
          </w:p>
        </w:tc>
        <w:tc>
          <w:tcPr>
            <w:tcW w:type="dxa" w:w="1700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4W</w:t>
            </w:r>
          </w:p>
        </w:tc>
      </w:tr>
      <w:tr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DataFrame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2.91 ± 0.53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1.73 ± 0.21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1.70 ± 0.32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2.07 ± 0.28</w:t>
            </w:r>
          </w:p>
        </w:tc>
      </w:tr>
      <w:tr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RDD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40.09 ± 1.78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9.49 ± 0.68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14.32 ± 1.20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61.88 ± 157.30</w:t>
            </w:r>
          </w:p>
        </w:tc>
      </w:tr>
      <w:tr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DataFrame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3.38 ± 0.39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1.42 ± 0.17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1.53 ± 0.16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1.63 ± 0.29</w:t>
            </w:r>
          </w:p>
        </w:tc>
      </w:tr>
      <w:tr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RDD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62.70 ± 0.76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12.92 ± 0.56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12.71 ± 0.62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12.63 ± 0.67</w:t>
            </w:r>
          </w:p>
        </w:tc>
      </w:tr>
      <w:tr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DataFrame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18.78 ± 1.19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4.58 ± 0.24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4.75 ± 0.53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5.27 ± 0.70</w:t>
            </w:r>
          </w:p>
        </w:tc>
      </w:tr>
      <w:tr>
        <w:tc>
          <w:tcPr>
            <w:tcW w:type="dxa" w:w="1700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RDD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24.27 ± 0.31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15.74 ± 1.77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15.23 ± 1.07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15.59 ± 0.77</w:t>
            </w:r>
          </w:p>
        </w:tc>
      </w:tr>
    </w:tbl>
    <w:p/>
    <w:p>
      <w:pPr>
        <w:jc w:val="left"/>
      </w:pPr>
      <w:r>
        <w:rPr>
          <w:rFonts w:ascii="Times New Roman" w:hAnsi="Times New Roman"/>
          <w:i/>
          <w:sz w:val="18"/>
        </w:rPr>
        <w:t>Values are reported as mean ± standard deviation over the valid benchmark iterations.</w:t>
      </w:r>
    </w:p>
    <w:p/>
    <w:p>
      <w:pPr>
        <w:jc w:val="center"/>
      </w:pPr>
      <w:r>
        <w:rPr>
          <w:rFonts w:ascii="Times New Roman" w:hAnsi="Times New Roman"/>
          <w:b/>
          <w:sz w:val="20"/>
        </w:rPr>
        <w:t>Table 2: Processing time scaling results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Query</w:t>
            </w:r>
          </w:p>
        </w:tc>
        <w:tc>
          <w:tcPr>
            <w:tcW w:type="dxa" w:w="1700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Impl.</w:t>
            </w:r>
          </w:p>
        </w:tc>
        <w:tc>
          <w:tcPr>
            <w:tcW w:type="dxa" w:w="1700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1W</w:t>
            </w:r>
          </w:p>
        </w:tc>
        <w:tc>
          <w:tcPr>
            <w:tcW w:type="dxa" w:w="1700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2W</w:t>
            </w:r>
          </w:p>
        </w:tc>
        <w:tc>
          <w:tcPr>
            <w:tcW w:type="dxa" w:w="1700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3W</w:t>
            </w:r>
          </w:p>
        </w:tc>
        <w:tc>
          <w:tcPr>
            <w:tcW w:type="dxa" w:w="1700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4W</w:t>
            </w:r>
          </w:p>
        </w:tc>
      </w:tr>
      <w:tr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DataFrame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0.68 ± 0.13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0.46 ± 0.04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0.46 ± 0.09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0.57 ± 0.09</w:t>
            </w:r>
          </w:p>
        </w:tc>
      </w:tr>
      <w:tr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RDD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38.95 ± 1.82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8.83 ± 0.34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13.71 ± 1.12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60.99 ± 157.13</w:t>
            </w:r>
          </w:p>
        </w:tc>
      </w:tr>
      <w:tr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DataFrame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1.06 ± 0.10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0.48 ± 0.04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0.56 ± 0.05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0.51 ± 0.04</w:t>
            </w:r>
          </w:p>
        </w:tc>
      </w:tr>
      <w:tr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RDD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61.26 ± 0.81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12.04 ± 0.39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11.66 ± 0.61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11.32 ± 0.61</w:t>
            </w:r>
          </w:p>
        </w:tc>
      </w:tr>
      <w:tr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DataFrame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4.32 ± 0.75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0.86 ± 0.06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0.91 ± 0.14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1.06 ± 0.19</w:t>
            </w:r>
          </w:p>
        </w:tc>
      </w:tr>
      <w:tr>
        <w:tc>
          <w:tcPr>
            <w:tcW w:type="dxa" w:w="1700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RDD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21.95 ± 0.29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13.57 ± 1.01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13.23 ± 1.04</w:t>
            </w:r>
          </w:p>
        </w:tc>
        <w:tc>
          <w:tcPr>
            <w:tcW w:type="dxa" w:w="1700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13.17 ± 0.75</w:t>
            </w:r>
          </w:p>
        </w:tc>
      </w:tr>
    </w:tbl>
    <w:p/>
    <w:p>
      <w:pPr>
        <w:jc w:val="left"/>
      </w:pPr>
      <w:r>
        <w:rPr>
          <w:rFonts w:ascii="Times New Roman" w:hAnsi="Times New Roman"/>
          <w:i/>
          <w:sz w:val="18"/>
        </w:rPr>
        <w:t>Processing time is computed from the normalized processing_s phase in the raw benchmark summary. For Q2 DataFrame, processing_s includes both all-airlines aggregation and top-10 extraction.</w:t>
      </w:r>
    </w:p>
    <w:p/>
    <w:p>
      <w:pPr>
        <w:jc w:val="center"/>
      </w:pPr>
      <w:r>
        <w:rPr>
          <w:rFonts w:ascii="Times New Roman" w:hAnsi="Times New Roman"/>
          <w:b/>
          <w:sz w:val="20"/>
        </w:rPr>
        <w:t>Table 3: Average phase breakdown with 1 Spark worker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Query</w:t>
            </w:r>
          </w:p>
        </w:tc>
        <w:tc>
          <w:tcPr>
            <w:tcW w:type="dxa" w:w="1457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Impl.</w:t>
            </w:r>
          </w:p>
        </w:tc>
        <w:tc>
          <w:tcPr>
            <w:tcW w:type="dxa" w:w="1457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Loading</w:t>
            </w:r>
          </w:p>
        </w:tc>
        <w:tc>
          <w:tcPr>
            <w:tcW w:type="dxa" w:w="1457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Filtering</w:t>
            </w:r>
          </w:p>
        </w:tc>
        <w:tc>
          <w:tcPr>
            <w:tcW w:type="dxa" w:w="1457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Processing</w:t>
            </w:r>
          </w:p>
        </w:tc>
        <w:tc>
          <w:tcPr>
            <w:tcW w:type="dxa" w:w="1457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Output</w:t>
            </w:r>
          </w:p>
        </w:tc>
        <w:tc>
          <w:tcPr>
            <w:tcW w:type="dxa" w:w="1457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End-to-end</w:t>
            </w:r>
          </w:p>
        </w:tc>
      </w:tr>
      <w:tr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DataFrame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0.15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0.02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0.68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2.07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2.91</w:t>
            </w:r>
          </w:p>
        </w:tc>
      </w:tr>
      <w:tr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RDD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0.30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38.95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0.83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40.09</w:t>
            </w:r>
          </w:p>
        </w:tc>
      </w:tr>
      <w:tr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DataFrame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0.22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1.06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2.10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3.38</w:t>
            </w:r>
          </w:p>
        </w:tc>
      </w:tr>
      <w:tr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RDD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0.25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0.02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61.26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1.15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62.70</w:t>
            </w:r>
          </w:p>
        </w:tc>
      </w:tr>
      <w:tr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DataFrame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0.20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0.13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4.32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13.55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18.78</w:t>
            </w:r>
          </w:p>
        </w:tc>
      </w:tr>
      <w:tr>
        <w:tc>
          <w:tcPr>
            <w:tcW w:type="dxa" w:w="1457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RDD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0.10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21.95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0.68</w:t>
            </w:r>
          </w:p>
        </w:tc>
        <w:tc>
          <w:tcPr>
            <w:tcW w:type="dxa" w:w="1457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24.27</w:t>
            </w:r>
          </w:p>
        </w:tc>
      </w:tr>
    </w:tbl>
    <w:p/>
    <w:p>
      <w:pPr>
        <w:jc w:val="left"/>
      </w:pPr>
      <w:r>
        <w:rPr>
          <w:rFonts w:ascii="Times New Roman" w:hAnsi="Times New Roman"/>
          <w:i/>
          <w:sz w:val="18"/>
        </w:rPr>
        <w:t>Values are mean execution times in seconds. Processing is normalized per query: Q1 uses computation_s, Q2 DataFrame uses all_airlines_computation_s + top10_computation_s, Q2 RDD uses computation_s, and Q3 uses computation_percentiles_s.</w:t>
      </w:r>
    </w:p>
    <w:p/>
    <w:p>
      <w:pPr>
        <w:jc w:val="center"/>
      </w:pPr>
      <w:r>
        <w:rPr>
          <w:rFonts w:ascii="Times New Roman" w:hAnsi="Times New Roman"/>
          <w:b/>
          <w:sz w:val="20"/>
        </w:rPr>
        <w:t>Table 4: Cold-start benchmark phase summary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75"/>
        <w:gridCol w:w="1275"/>
        <w:gridCol w:w="1275"/>
        <w:gridCol w:w="1275"/>
        <w:gridCol w:w="1275"/>
        <w:gridCol w:w="1275"/>
        <w:gridCol w:w="1275"/>
        <w:gridCol w:w="1275"/>
      </w:tblGrid>
      <w:tr>
        <w:tc>
          <w:tcPr>
            <w:tcW w:type="dxa" w:w="1275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Query</w:t>
            </w:r>
          </w:p>
        </w:tc>
        <w:tc>
          <w:tcPr>
            <w:tcW w:type="dxa" w:w="1275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Phase</w:t>
            </w:r>
          </w:p>
        </w:tc>
        <w:tc>
          <w:tcPr>
            <w:tcW w:type="dxa" w:w="1275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275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Mean (s)</w:t>
            </w:r>
          </w:p>
        </w:tc>
        <w:tc>
          <w:tcPr>
            <w:tcW w:type="dxa" w:w="1275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StdDev</w:t>
            </w:r>
          </w:p>
        </w:tc>
        <w:tc>
          <w:tcPr>
            <w:tcW w:type="dxa" w:w="1275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</w:t>
            </w:r>
          </w:p>
        </w:tc>
        <w:tc>
          <w:tcPr>
            <w:tcW w:type="dxa" w:w="1275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Min</w:t>
            </w:r>
          </w:p>
        </w:tc>
        <w:tc>
          <w:tcPr>
            <w:tcW w:type="dxa" w:w="1275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Max</w:t>
            </w:r>
          </w:p>
        </w:tc>
      </w:tr>
      <w:tr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Spark start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0.70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1.33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0.36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0.32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5.50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Loading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14.60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1.75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14.13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13.61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20.63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Filtering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1.97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0.25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1.93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1.75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2.78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Computation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6.16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0.95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5.89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5.58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9.47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Output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1.54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0.29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1.45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1.32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2.38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Total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22.73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2.91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22.04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21.01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32.88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Wall total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25.37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4.43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24.32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23.29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41.09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Spark stop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0.14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0.37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0.14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0.66</w:t>
            </w:r>
          </w:p>
        </w:tc>
      </w:tr>
      <w:tr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Spark start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0.33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0.03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0.32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0.28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0.38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Loading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13.94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0.36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13.92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13.27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14.56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Filtering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1.90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1.90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1.78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2.08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All-airlines computation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6.55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0.23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6.51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6.12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6.91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Top-10 computation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1.18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0.08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1.19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1.03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1.35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Output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2.03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0.14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2.02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1.88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2.40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Total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23.57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0.60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23.56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22.43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24.67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Wall total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26.36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0.59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26.32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25.28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27.33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Spark stop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0.18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0.58</w:t>
            </w:r>
          </w:p>
        </w:tc>
      </w:tr>
      <w:tr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Spark start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0.32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0.02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0.32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0.30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0.38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Loading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14.20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14.28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13.56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15.11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Filtering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6.32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0.25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6.30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5.91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6.87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Percentiles computation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15.20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0.55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15.12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14.47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16.89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Min/max computation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1.66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1.67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1.51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1.90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Output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3.40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0.30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3.48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2.90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4.08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Total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37.38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1.05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37.28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35.66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39.78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Wall total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41.41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1.19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41.31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39.29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43.81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Spark stop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0.30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0.28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0.44</w:t>
            </w:r>
          </w:p>
        </w:tc>
      </w:tr>
    </w:tbl>
    <w:p/>
    <w:p>
      <w:pPr>
        <w:jc w:val="left"/>
      </w:pPr>
      <w:r>
        <w:rPr>
          <w:rFonts w:ascii="Times New Roman" w:hAnsi="Times New Roman"/>
          <w:i/>
          <w:sz w:val="18"/>
        </w:rPr>
        <w:t>Values are mean execution times in seconds. The cold-start benchmark includes Spark session startup and shutdown phases when available.</w:t>
      </w:r>
    </w:p>
    <w:p/>
    <w:p>
      <w:pPr>
        <w:jc w:val="center"/>
      </w:pPr>
      <w:r>
        <w:rPr>
          <w:rFonts w:ascii="Times New Roman" w:hAnsi="Times New Roman"/>
          <w:b/>
          <w:sz w:val="20"/>
        </w:rPr>
        <w:t>Table 5: Warm-session benchmark phase summary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75"/>
        <w:gridCol w:w="1275"/>
        <w:gridCol w:w="1275"/>
        <w:gridCol w:w="1275"/>
        <w:gridCol w:w="1275"/>
        <w:gridCol w:w="1275"/>
        <w:gridCol w:w="1275"/>
        <w:gridCol w:w="1275"/>
      </w:tblGrid>
      <w:tr>
        <w:tc>
          <w:tcPr>
            <w:tcW w:type="dxa" w:w="1275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Query</w:t>
            </w:r>
          </w:p>
        </w:tc>
        <w:tc>
          <w:tcPr>
            <w:tcW w:type="dxa" w:w="1275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Phase</w:t>
            </w:r>
          </w:p>
        </w:tc>
        <w:tc>
          <w:tcPr>
            <w:tcW w:type="dxa" w:w="1275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275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Mean (s)</w:t>
            </w:r>
          </w:p>
        </w:tc>
        <w:tc>
          <w:tcPr>
            <w:tcW w:type="dxa" w:w="1275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StdDev</w:t>
            </w:r>
          </w:p>
        </w:tc>
        <w:tc>
          <w:tcPr>
            <w:tcW w:type="dxa" w:w="1275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</w:t>
            </w:r>
          </w:p>
        </w:tc>
        <w:tc>
          <w:tcPr>
            <w:tcW w:type="dxa" w:w="1275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Min</w:t>
            </w:r>
          </w:p>
        </w:tc>
        <w:tc>
          <w:tcPr>
            <w:tcW w:type="dxa" w:w="1275"/>
            <w:vAlign w:val="center"/>
            <w:shd w:fill="F2F2F2"/>
            <w:tcBorders>
              <w:top w:val="single" w:sz="12" w:color="000000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Max</w:t>
            </w:r>
          </w:p>
        </w:tc>
      </w:tr>
      <w:tr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Loading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0.55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0.04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0.54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0.51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0.61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Filtering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0.65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0.04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0.65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0.59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0.71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Computation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0.77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0.07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0.76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0.69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0.88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Output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0.89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0.36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0.68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0.61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1.90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Total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1.98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1.97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1.79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2.16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Wall total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2.86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2.66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2.44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4.05</w:t>
            </w:r>
          </w:p>
        </w:tc>
      </w:tr>
      <w:tr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Loading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0.45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0.03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0.45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0.40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0.50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Filtering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0.51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All-airlines computation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0.62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0.04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0.61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0.57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0.71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Top-10 computation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0.17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0.16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0.14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0.21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Output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1.08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0.99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1.51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Total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1.68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0.08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1.70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1.54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1.83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Wall total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2.83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0.20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2.75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2.61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3.29</w:t>
            </w:r>
          </w:p>
        </w:tc>
      </w:tr>
      <w:tr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Loading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0.39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0.04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0.37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0.33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0.49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Filtering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3.71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3.70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3.46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4.03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Percentiles computation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8.05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8.07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7.73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8.35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Min/max computation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0.88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0.04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0.87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0.79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0.96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Output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2.11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0.22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2.08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1.82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2.52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Total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13.03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0.25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13.03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12.59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13.46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Wall total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15.14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0.36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15.13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14.56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12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15.74</w:t>
            </w:r>
          </w:p>
        </w:tc>
      </w:tr>
    </w:tbl>
    <w:p/>
    <w:p>
      <w:pPr>
        <w:jc w:val="left"/>
      </w:pPr>
      <w:r>
        <w:rPr>
          <w:rFonts w:ascii="Times New Roman" w:hAnsi="Times New Roman"/>
          <w:i/>
          <w:sz w:val="18"/>
        </w:rPr>
        <w:t>Values are mean execution times in seconds. The warm-session benchmark reuses the same Spark session across iterations and reports the measured phases for each query.</w:t>
      </w:r>
    </w:p>
    <w:p/>
    <w:p>
      <w:pPr>
        <w:jc w:val="center"/>
      </w:pPr>
      <w:r>
        <w:rPr>
          <w:rFonts w:ascii="Times New Roman" w:hAnsi="Times New Roman"/>
          <w:b/>
          <w:sz w:val="20"/>
        </w:rPr>
        <w:t>Table 6: Cold-start vs warm-session benchmark phase comparison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75"/>
        <w:gridCol w:w="1275"/>
        <w:gridCol w:w="1275"/>
        <w:gridCol w:w="1275"/>
        <w:gridCol w:w="1275"/>
        <w:gridCol w:w="1275"/>
        <w:gridCol w:w="1275"/>
        <w:gridCol w:w="1275"/>
      </w:tblGrid>
      <w:tr>
        <w:tc>
          <w:tcPr>
            <w:tcW w:type="dxa" w:w="1275"/>
            <w:vAlign w:val="center"/>
            <w:shd w:fill="F2F2F2"/>
            <w:tcBorders>
              <w:top w:val="single" w:sz="14" w:color="000000"/>
              <w:bottom w:val="single" w:sz="14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Query</w:t>
            </w:r>
          </w:p>
        </w:tc>
        <w:tc>
          <w:tcPr>
            <w:tcW w:type="dxa" w:w="1275"/>
            <w:vAlign w:val="center"/>
            <w:shd w:fill="F2F2F2"/>
            <w:tcBorders>
              <w:top w:val="single" w:sz="14" w:color="000000"/>
              <w:bottom w:val="single" w:sz="14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Phase</w:t>
            </w:r>
          </w:p>
        </w:tc>
        <w:tc>
          <w:tcPr>
            <w:tcW w:type="dxa" w:w="1275"/>
            <w:vAlign w:val="center"/>
            <w:shd w:fill="F2F2F2"/>
            <w:tcBorders>
              <w:top w:val="single" w:sz="14" w:color="000000"/>
              <w:bottom w:val="single" w:sz="14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Mode</w:t>
            </w:r>
          </w:p>
        </w:tc>
        <w:tc>
          <w:tcPr>
            <w:tcW w:type="dxa" w:w="1275"/>
            <w:vAlign w:val="center"/>
            <w:shd w:fill="F2F2F2"/>
            <w:tcBorders>
              <w:top w:val="single" w:sz="14" w:color="000000"/>
              <w:bottom w:val="single" w:sz="14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Mean (s)</w:t>
            </w:r>
          </w:p>
        </w:tc>
        <w:tc>
          <w:tcPr>
            <w:tcW w:type="dxa" w:w="1275"/>
            <w:vAlign w:val="center"/>
            <w:shd w:fill="F2F2F2"/>
            <w:tcBorders>
              <w:top w:val="single" w:sz="14" w:color="000000"/>
              <w:bottom w:val="single" w:sz="14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StdDev</w:t>
            </w:r>
          </w:p>
        </w:tc>
        <w:tc>
          <w:tcPr>
            <w:tcW w:type="dxa" w:w="1275"/>
            <w:vAlign w:val="center"/>
            <w:shd w:fill="F2F2F2"/>
            <w:tcBorders>
              <w:top w:val="single" w:sz="14" w:color="000000"/>
              <w:bottom w:val="single" w:sz="14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</w:t>
            </w:r>
          </w:p>
        </w:tc>
        <w:tc>
          <w:tcPr>
            <w:tcW w:type="dxa" w:w="1275"/>
            <w:vAlign w:val="center"/>
            <w:shd w:fill="F2F2F2"/>
            <w:tcBorders>
              <w:top w:val="single" w:sz="14" w:color="000000"/>
              <w:bottom w:val="single" w:sz="14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Min</w:t>
            </w:r>
          </w:p>
        </w:tc>
        <w:tc>
          <w:tcPr>
            <w:tcW w:type="dxa" w:w="1275"/>
            <w:vAlign w:val="center"/>
            <w:shd w:fill="F2F2F2"/>
            <w:tcBorders>
              <w:top w:val="single" w:sz="14" w:color="000000"/>
              <w:bottom w:val="single" w:sz="14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Max</w:t>
            </w:r>
          </w:p>
        </w:tc>
      </w:tr>
      <w:tr>
        <w:tc>
          <w:tcPr>
            <w:tcW w:type="dxa" w:w="1275"/>
            <w:vAlign w:val="center"/>
            <w:tcBorders>
              <w:top w:val="single" w:sz="14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275"/>
            <w:vAlign w:val="center"/>
            <w:tcBorders>
              <w:top w:val="single" w:sz="14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Spark start</w:t>
            </w:r>
          </w:p>
        </w:tc>
        <w:tc>
          <w:tcPr>
            <w:tcW w:type="dxa" w:w="1275"/>
            <w:vAlign w:val="center"/>
            <w:tcBorders>
              <w:top w:val="single" w:sz="14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cold start</w:t>
            </w:r>
          </w:p>
        </w:tc>
        <w:tc>
          <w:tcPr>
            <w:tcW w:type="dxa" w:w="1275"/>
            <w:vAlign w:val="center"/>
            <w:tcBorders>
              <w:top w:val="single" w:sz="14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0.70</w:t>
            </w:r>
          </w:p>
        </w:tc>
        <w:tc>
          <w:tcPr>
            <w:tcW w:type="dxa" w:w="1275"/>
            <w:vAlign w:val="center"/>
            <w:tcBorders>
              <w:top w:val="single" w:sz="14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1.33</w:t>
            </w:r>
          </w:p>
        </w:tc>
        <w:tc>
          <w:tcPr>
            <w:tcW w:type="dxa" w:w="1275"/>
            <w:vAlign w:val="center"/>
            <w:tcBorders>
              <w:top w:val="single" w:sz="14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0.36</w:t>
            </w:r>
          </w:p>
        </w:tc>
        <w:tc>
          <w:tcPr>
            <w:tcW w:type="dxa" w:w="1275"/>
            <w:vAlign w:val="center"/>
            <w:tcBorders>
              <w:top w:val="single" w:sz="14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0.32</w:t>
            </w:r>
          </w:p>
        </w:tc>
        <w:tc>
          <w:tcPr>
            <w:tcW w:type="dxa" w:w="1275"/>
            <w:vAlign w:val="center"/>
            <w:tcBorders>
              <w:top w:val="single" w:sz="14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5.50</w:t>
            </w:r>
          </w:p>
        </w:tc>
      </w:tr>
      <w:tr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Loading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cold start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14.60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1.75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14.13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13.61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20.63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Loading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warmup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0.55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0.04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0.54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0.51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0.61</w:t>
            </w:r>
          </w:p>
        </w:tc>
      </w:tr>
      <w:tr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Processing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cold start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6.16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0.95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5.89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5.58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9.47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Processing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warmup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0.77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0.07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0.76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0.69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0.88</w:t>
            </w:r>
          </w:p>
        </w:tc>
      </w:tr>
      <w:tr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End-to-end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cold start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25.37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4.43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24.32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23.29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41.09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End-to-end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warmup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2.86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2.66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2.44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4.05</w:t>
            </w:r>
          </w:p>
        </w:tc>
      </w:tr>
      <w:tr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Q1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Spark stop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cold start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0.39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0.14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0.37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0.14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0.66</w:t>
            </w:r>
          </w:p>
        </w:tc>
      </w:tr>
      <w:tr>
        <w:tc>
          <w:tcPr>
            <w:tcW w:type="dxa" w:w="1275"/>
            <w:vAlign w:val="center"/>
            <w:tcBorders>
              <w:top w:val="single" w:sz="14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single" w:sz="14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Spark start</w:t>
            </w:r>
          </w:p>
        </w:tc>
        <w:tc>
          <w:tcPr>
            <w:tcW w:type="dxa" w:w="1275"/>
            <w:vAlign w:val="center"/>
            <w:tcBorders>
              <w:top w:val="single" w:sz="14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cold start</w:t>
            </w:r>
          </w:p>
        </w:tc>
        <w:tc>
          <w:tcPr>
            <w:tcW w:type="dxa" w:w="1275"/>
            <w:vAlign w:val="center"/>
            <w:tcBorders>
              <w:top w:val="single" w:sz="14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0.33</w:t>
            </w:r>
          </w:p>
        </w:tc>
        <w:tc>
          <w:tcPr>
            <w:tcW w:type="dxa" w:w="1275"/>
            <w:vAlign w:val="center"/>
            <w:tcBorders>
              <w:top w:val="single" w:sz="14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0.03</w:t>
            </w:r>
          </w:p>
        </w:tc>
        <w:tc>
          <w:tcPr>
            <w:tcW w:type="dxa" w:w="1275"/>
            <w:vAlign w:val="center"/>
            <w:tcBorders>
              <w:top w:val="single" w:sz="14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0.32</w:t>
            </w:r>
          </w:p>
        </w:tc>
        <w:tc>
          <w:tcPr>
            <w:tcW w:type="dxa" w:w="1275"/>
            <w:vAlign w:val="center"/>
            <w:tcBorders>
              <w:top w:val="single" w:sz="14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0.28</w:t>
            </w:r>
          </w:p>
        </w:tc>
        <w:tc>
          <w:tcPr>
            <w:tcW w:type="dxa" w:w="1275"/>
            <w:vAlign w:val="center"/>
            <w:tcBorders>
              <w:top w:val="single" w:sz="14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0.38</w:t>
            </w:r>
          </w:p>
        </w:tc>
      </w:tr>
      <w:tr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Loading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cold start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13.94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0.36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13.92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13.27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14.56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Loading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warmup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0.40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0.50</w:t>
            </w:r>
          </w:p>
        </w:tc>
      </w:tr>
      <w:tr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Processing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cold start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7.73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0.31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7.69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7.15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8.27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Processing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warmup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0.79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0.07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0.77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0.71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0.92</w:t>
            </w:r>
          </w:p>
        </w:tc>
      </w:tr>
      <w:tr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End-to-end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cold start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26.36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0.59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26.32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25.28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27.33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End-to-end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warmup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2.83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0.20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2.75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2.61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3.29</w:t>
            </w:r>
          </w:p>
        </w:tc>
      </w:tr>
      <w:tr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Q2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Spark stop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cold start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0.43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0.12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0.42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0.18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0.58</w:t>
            </w:r>
          </w:p>
        </w:tc>
      </w:tr>
      <w:tr>
        <w:tc>
          <w:tcPr>
            <w:tcW w:type="dxa" w:w="1275"/>
            <w:vAlign w:val="center"/>
            <w:tcBorders>
              <w:top w:val="single" w:sz="14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single" w:sz="14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Spark start</w:t>
            </w:r>
          </w:p>
        </w:tc>
        <w:tc>
          <w:tcPr>
            <w:tcW w:type="dxa" w:w="1275"/>
            <w:vAlign w:val="center"/>
            <w:tcBorders>
              <w:top w:val="single" w:sz="14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cold start</w:t>
            </w:r>
          </w:p>
        </w:tc>
        <w:tc>
          <w:tcPr>
            <w:tcW w:type="dxa" w:w="1275"/>
            <w:vAlign w:val="center"/>
            <w:tcBorders>
              <w:top w:val="single" w:sz="14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0.32</w:t>
            </w:r>
          </w:p>
        </w:tc>
        <w:tc>
          <w:tcPr>
            <w:tcW w:type="dxa" w:w="1275"/>
            <w:vAlign w:val="center"/>
            <w:tcBorders>
              <w:top w:val="single" w:sz="14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0.02</w:t>
            </w:r>
          </w:p>
        </w:tc>
        <w:tc>
          <w:tcPr>
            <w:tcW w:type="dxa" w:w="1275"/>
            <w:vAlign w:val="center"/>
            <w:tcBorders>
              <w:top w:val="single" w:sz="14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0.32</w:t>
            </w:r>
          </w:p>
        </w:tc>
        <w:tc>
          <w:tcPr>
            <w:tcW w:type="dxa" w:w="1275"/>
            <w:vAlign w:val="center"/>
            <w:tcBorders>
              <w:top w:val="single" w:sz="14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0.30</w:t>
            </w:r>
          </w:p>
        </w:tc>
        <w:tc>
          <w:tcPr>
            <w:tcW w:type="dxa" w:w="1275"/>
            <w:vAlign w:val="center"/>
            <w:tcBorders>
              <w:top w:val="single" w:sz="14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0.38</w:t>
            </w:r>
          </w:p>
        </w:tc>
      </w:tr>
      <w:tr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Loading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cold start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14.20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0.43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14.28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13.56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15.11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Loading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warmup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0.04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0.37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0.49</w:t>
            </w:r>
          </w:p>
        </w:tc>
      </w:tr>
      <w:tr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Processing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cold start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15.20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0.55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15.12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14.47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16.89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Processing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warmup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8.05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8.07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7.73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8.35</w:t>
            </w:r>
          </w:p>
        </w:tc>
      </w:tr>
      <w:tr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End-to-end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cold start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41.41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1.19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41.31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39.29</w:t>
            </w:r>
          </w:p>
        </w:tc>
        <w:tc>
          <w:tcPr>
            <w:tcW w:type="dxa" w:w="1275"/>
            <w:vAlign w:val="center"/>
            <w:tcBorders>
              <w:top w:val="single" w:sz="10" w:color="000000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43.81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End-to-end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warmup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15.14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0.36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15.13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14.56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4" w:color="BFBFBF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15.74</w:t>
            </w:r>
          </w:p>
        </w:tc>
      </w:tr>
      <w:tr>
        <w:tc>
          <w:tcPr>
            <w:tcW w:type="dxa" w:w="1275"/>
            <w:vAlign w:val="center"/>
            <w:tcBorders>
              <w:top w:val="nil" w:sz="0" w:color="FFFFFF"/>
              <w:bottom w:val="single" w:sz="14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Q3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14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Spark stop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14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cold start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14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0.30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14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0.09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14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0.28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14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0.19</w:t>
            </w:r>
          </w:p>
        </w:tc>
        <w:tc>
          <w:tcPr>
            <w:tcW w:type="dxa" w:w="1275"/>
            <w:vAlign w:val="center"/>
            <w:tcBorders>
              <w:top w:val="nil" w:sz="0" w:color="FFFFFF"/>
              <w:bottom w:val="single" w:sz="14" w:color="000000"/>
              <w:left w:val="nil" w:sz="0" w:color="FFFFFF"/>
              <w:right w:val="nil" w:sz="0" w:color="FFFFFF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0.44</w:t>
            </w:r>
          </w:p>
        </w:tc>
      </w:tr>
    </w:tbl>
    <w:p/>
    <w:p>
      <w:pPr>
        <w:jc w:val="left"/>
      </w:pPr>
      <w:r>
        <w:rPr>
          <w:rFonts w:ascii="Times New Roman" w:hAnsi="Times New Roman"/>
          <w:i/>
          <w:sz w:val="18"/>
        </w:rPr>
        <w:t>Only selected phases are reported: Spark start, loading, processing, end-to-end and Spark stop. For Q2, processing is computed as all_airlines_computation_s + top10_computation_s, summed element by element from the aggregate rows. The mode column distinguishes cold start from warmup execution.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