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0458B"/>
          <w:sz w:val="72"/>
          <w:szCs w:val="72"/>
        </w:rPr>
        <w:t xml:space="preserve">BOCRA</w:t>
      </w:r>
    </w:p>
    <w:p>
      <w:pPr>
        <w:jc w:val="center"/>
      </w:pPr>
      <w:r>
        <w:rPr>
          <w:color w:val="00A6CE"/>
          <w:sz w:val="28"/>
          <w:szCs w:val="28"/>
        </w:rPr>
        <w:t xml:space="preserve">● </w:t>
      </w:r>
      <w:r>
        <w:rPr>
          <w:color w:val="C8237B"/>
          <w:sz w:val="28"/>
          <w:szCs w:val="28"/>
        </w:rPr>
        <w:t xml:space="preserve">● </w:t>
      </w:r>
      <w:r>
        <w:rPr>
          <w:color w:val="F7B731"/>
          <w:sz w:val="28"/>
          <w:szCs w:val="28"/>
        </w:rPr>
        <w:t xml:space="preserve">● </w:t>
      </w:r>
      <w:r>
        <w:rPr>
          <w:color w:val="6BBE4E"/>
          <w:sz w:val="28"/>
          <w:szCs w:val="28"/>
        </w:rPr>
        <w:t xml:space="preserve">●</w:t>
      </w:r>
    </w:p>
    <w:p>
      <w:pPr>
        <w:spacing w:before="400"/>
        <w:jc w:val="center"/>
      </w:pPr>
      <w:r>
        <w:rPr>
          <w:color w:val="00458B"/>
          <w:sz w:val="40"/>
          <w:szCs w:val="40"/>
        </w:rPr>
        <w:t xml:space="preserve">Website Redesign</w:t>
      </w:r>
    </w:p>
    <w:p>
      <w:pPr>
        <w:jc w:val="center"/>
      </w:pPr>
      <w:r>
        <w:rPr>
          <w:color w:val="00A6CE"/>
          <w:sz w:val="32"/>
          <w:szCs w:val="32"/>
        </w:rPr>
        <w:t xml:space="preserve">Technical Proposal</w:t>
      </w:r>
    </w:p>
    <w:p>
      <w:pPr>
        <w:spacing w:before="600"/>
        <w:jc w:val="center"/>
      </w:pPr>
      <w:r>
        <w:rPr>
          <w:color w:val="4A5568"/>
          <w:sz w:val="24"/>
          <w:szCs w:val="24"/>
        </w:rPr>
        <w:t xml:space="preserve">BOCRA Youth Hackathon 2026</w:t>
      </w:r>
    </w:p>
    <w:p>
      <w:pPr>
        <w:jc w:val="center"/>
      </w:pPr>
      <w:r>
        <w:rPr>
          <w:color w:val="4A5568"/>
          <w:sz w:val="22"/>
          <w:szCs w:val="22"/>
        </w:rPr>
        <w:t xml:space="preserve">Submitted: 27 March 2026</w:t>
      </w:r>
    </w:p>
    <w:p>
      <w:pPr>
        <w:spacing w:before="200"/>
        <w:jc w:val="center"/>
      </w:pPr>
      <w:r>
        <w:rPr>
          <w:color w:val="00A6CE"/>
          <w:sz w:val="20"/>
          <w:szCs w:val="20"/>
        </w:rPr>
        <w:t xml:space="preserve">URL: https://hackathonteamproject.github.io/hackathonteamproject/</w:t>
      </w:r>
    </w:p>
    <w:p>
      <w:r>
        <w:br w:type="page"/>
      </w:r>
    </w:p>
    <w:p>
      <w:pPr>
        <w:pStyle w:val="Heading1"/>
      </w:pPr>
      <w:r>
        <w:rPr>
          <w:color w:val="00458B"/>
        </w:rPr>
        <w:t xml:space="preserve">1. Motivation</w:t>
      </w:r>
    </w:p>
    <w:p>
      <w:pPr>
        <w:spacing w:after="120"/>
      </w:pPr>
      <w:r>
        <w:rPr>
          <w:color w:val="4A5568"/>
          <w:sz w:val="22"/>
          <w:szCs w:val="22"/>
        </w:rPr>
        <w:t xml:space="preserve">The current BOCRA website (www.bocra.org.bw) suffers from critical usability, security, and accessibility issues that undermine the Authority’s mandate to serve citizens effectively.</w:t>
      </w:r>
    </w:p>
    <w:p>
      <w:pPr>
        <w:pStyle w:val="Heading2"/>
      </w:pPr>
      <w:r>
        <w:rPr>
          <w:color w:val="00458B"/>
        </w:rPr>
        <w:t xml:space="preserve">1.1 Problems Identified</w:t>
      </w:r>
    </w:p>
    <w:p>
      <w:pPr>
        <w:spacing w:after="120"/>
      </w:pPr>
      <w:r>
        <w:rPr>
          <w:b/>
          <w:bCs/>
          <w:color w:val="00458B"/>
          <w:sz w:val="22"/>
          <w:szCs w:val="22"/>
        </w:rPr>
        <w:t xml:space="preserve">Broken functionality: </w:t>
      </w:r>
      <w:r>
        <w:rPr>
          <w:color w:val="4A5568"/>
          <w:sz w:val="22"/>
          <w:szCs w:val="22"/>
        </w:rPr>
        <w:t xml:space="preserve">Multiple pages return 404 errors (Careers, Tenders, Licensing via top bar). Social media links are non-functional. The customer portal returns HTTP 500. The godigital.org.bw external link has complete DNS failure.</w:t>
      </w:r>
    </w:p>
    <w:p>
      <w:pPr>
        <w:spacing w:after="120"/>
      </w:pPr>
      <w:r>
        <w:rPr>
          <w:b/>
          <w:bCs/>
          <w:color w:val="00458B"/>
          <w:sz w:val="22"/>
          <w:szCs w:val="22"/>
        </w:rPr>
        <w:t xml:space="preserve">Security vulnerabilities: </w:t>
      </w:r>
      <w:r>
        <w:rPr>
          <w:color w:val="4A5568"/>
          <w:sz w:val="22"/>
          <w:szCs w:val="22"/>
        </w:rPr>
        <w:t xml:space="preserve">A penetration test identified 11 findings including 2 CRITICAL issues: an unauthenticated endpoint that triggers backend job execution (CVSS 9.1) and Laravel debug mode enabled in production exposing database queries, file paths, and framework internals (CVSS 7.5).</w:t>
      </w:r>
    </w:p>
    <w:p>
      <w:pPr>
        <w:spacing w:after="120"/>
      </w:pPr>
      <w:r>
        <w:rPr>
          <w:b/>
          <w:bCs/>
          <w:color w:val="00458B"/>
          <w:sz w:val="22"/>
          <w:szCs w:val="22"/>
        </w:rPr>
        <w:t xml:space="preserve">Outdated content: </w:t>
      </w:r>
      <w:r>
        <w:rPr>
          <w:color w:val="4A5568"/>
          <w:sz w:val="22"/>
          <w:szCs w:val="22"/>
        </w:rPr>
        <w:t xml:space="preserve">COVID-19 banner still displayed. Copyright shows 2016. Telecom statistics are from March 2024. Complaints page references pre-BOCRA email and address.</w:t>
      </w:r>
    </w:p>
    <w:p>
      <w:pPr>
        <w:spacing w:after="120"/>
      </w:pPr>
      <w:r>
        <w:rPr>
          <w:b/>
          <w:bCs/>
          <w:color w:val="00458B"/>
          <w:sz w:val="22"/>
          <w:szCs w:val="22"/>
        </w:rPr>
        <w:t xml:space="preserve">Poor user experience: </w:t>
      </w:r>
      <w:r>
        <w:rPr>
          <w:color w:val="4A5568"/>
          <w:sz w:val="22"/>
          <w:szCs w:val="22"/>
        </w:rPr>
        <w:t xml:space="preserve">Limited usability, accessibility gaps, inadequate search, no integration with internal systems (licensing, complaints, domain registry, spectrum management).</w:t>
      </w:r>
    </w:p>
    <w:p>
      <w:pPr>
        <w:spacing w:after="120"/>
      </w:pPr>
      <w:r>
        <w:rPr>
          <w:b/>
          <w:bCs/>
          <w:color w:val="00458B"/>
          <w:sz w:val="22"/>
          <w:szCs w:val="22"/>
        </w:rPr>
        <w:t xml:space="preserve">No data-driven capabilities: </w:t>
      </w:r>
      <w:r>
        <w:rPr>
          <w:color w:val="4A5568"/>
          <w:sz w:val="22"/>
          <w:szCs w:val="22"/>
        </w:rPr>
        <w:t xml:space="preserve">Limited real-time analytics, dashboards, automation, and advanced security controls.</w:t>
      </w:r>
    </w:p>
    <w:p>
      <w:pPr>
        <w:pStyle w:val="Heading2"/>
      </w:pPr>
      <w:r>
        <w:rPr>
          <w:color w:val="00458B"/>
        </w:rPr>
        <w:t xml:space="preserve">1.2 Our Vision</w:t>
      </w:r>
    </w:p>
    <w:p>
      <w:pPr>
        <w:spacing w:after="120"/>
      </w:pPr>
      <w:r>
        <w:rPr>
          <w:color w:val="4A5568"/>
          <w:sz w:val="22"/>
          <w:szCs w:val="22"/>
        </w:rPr>
        <w:t xml:space="preserve">We set out to build a modern, secure, accessible, and integrated digital platform that enables BOCRA to deliver efficient, transparent, and citizen-centric regulatory services. Our solution directly addresses every problem statement requirement while being usable by adults and older adults alike.</w:t>
      </w:r>
    </w:p>
    <w:p>
      <w:r>
        <w:br w:type="page"/>
      </w:r>
    </w:p>
    <w:p>
      <w:pPr>
        <w:pStyle w:val="Heading1"/>
      </w:pPr>
      <w:r>
        <w:rPr>
          <w:color w:val="00458B"/>
        </w:rPr>
        <w:t xml:space="preserve">2. Solution Design and Architecture</w:t>
      </w:r>
    </w:p>
    <w:p>
      <w:pPr>
        <w:pStyle w:val="Heading2"/>
      </w:pPr>
      <w:r>
        <w:rPr>
          <w:color w:val="00458B"/>
        </w:rPr>
        <w:t xml:space="preserve">2.1 Architecture Overview</w:t>
      </w:r>
    </w:p>
    <w:p>
      <w:pPr>
        <w:spacing w:after="120"/>
      </w:pPr>
      <w:r>
        <w:rPr>
          <w:color w:val="4A5568"/>
          <w:sz w:val="22"/>
          <w:szCs w:val="22"/>
        </w:rPr>
        <w:t xml:space="preserve">The solution follows a Jamstack architecture: a static React SPA served from GitHub Pages CDN, with dynamic functionality handled by Supabase’s backend-as-a-service platform.</w:t>
      </w:r>
    </w:p>
    <w:p>
      <w:pPr>
        <w:spacing w:after="120"/>
      </w:pPr>
      <w:r>
        <w:rPr>
          <w:color w:val="4A5568"/>
          <w:sz w:val="22"/>
          <w:szCs w:val="22"/>
        </w:rPr>
        <w:t xml:space="preserve">User Browser → GitHub Pages CDN (Static React SPA) → Supabase Platform (Auth + PostgreSQL with RLS + Storage + Edge Functions)</w:t>
      </w:r>
    </w:p>
    <w:p>
      <w:pPr>
        <w:pStyle w:val="Heading2"/>
      </w:pPr>
      <w:r>
        <w:rPr>
          <w:color w:val="00458B"/>
        </w:rPr>
        <w:t xml:space="preserve">2.2 Key Design Decisions</w:t>
      </w:r>
    </w:p>
    <w:p>
      <w:pPr>
        <w:pStyle w:val="ListParagraph"/>
        <w:numPr>
          <w:ilvl w:val="0"/>
          <w:numId w:val="2"/>
        </w:numPr>
        <w:spacing w:after="80"/>
      </w:pPr>
      <w:r>
        <w:rPr>
          <w:color w:val="4A5568"/>
          <w:sz w:val="22"/>
          <w:szCs w:val="22"/>
        </w:rPr>
        <w:t xml:space="preserve">Single React SPA replaces all fragmented subdomains (eliminates attack surface from pentest)</w:t>
      </w:r>
    </w:p>
    <w:p>
      <w:pPr>
        <w:pStyle w:val="ListParagraph"/>
        <w:numPr>
          <w:ilvl w:val="0"/>
          <w:numId w:val="2"/>
        </w:numPr>
        <w:spacing w:after="80"/>
      </w:pPr>
      <w:r>
        <w:rPr>
          <w:color w:val="4A5568"/>
          <w:sz w:val="22"/>
          <w:szCs w:val="22"/>
        </w:rPr>
        <w:t xml:space="preserve">Row Level Security (RLS) on every database table prevents unauthenticated data access (fixes F01, F04)</w:t>
      </w:r>
    </w:p>
    <w:p>
      <w:pPr>
        <w:pStyle w:val="ListParagraph"/>
        <w:numPr>
          <w:ilvl w:val="0"/>
          <w:numId w:val="2"/>
        </w:numPr>
        <w:spacing w:after="80"/>
      </w:pPr>
      <w:r>
        <w:rPr>
          <w:color w:val="4A5568"/>
          <w:sz w:val="22"/>
          <w:szCs w:val="22"/>
        </w:rPr>
        <w:t xml:space="preserve">Static build contains no backend secrets or debug pages (eliminates F02, F03)</w:t>
      </w:r>
    </w:p>
    <w:p>
      <w:pPr>
        <w:pStyle w:val="ListParagraph"/>
        <w:numPr>
          <w:ilvl w:val="0"/>
          <w:numId w:val="2"/>
        </w:numPr>
        <w:spacing w:after="80"/>
      </w:pPr>
      <w:r>
        <w:rPr>
          <w:color w:val="4A5568"/>
          <w:sz w:val="22"/>
          <w:szCs w:val="22"/>
        </w:rPr>
        <w:t xml:space="preserve">GitHub Pages provides automatic HTTPS, DDoS protection, and global CDN (fixes F07, F08)</w:t>
      </w:r>
    </w:p>
    <w:p>
      <w:pPr>
        <w:pStyle w:val="ListParagraph"/>
        <w:numPr>
          <w:ilvl w:val="0"/>
          <w:numId w:val="2"/>
        </w:numPr>
        <w:spacing w:after="80"/>
      </w:pPr>
      <w:r>
        <w:rPr>
          <w:color w:val="4A5568"/>
          <w:sz w:val="22"/>
          <w:szCs w:val="22"/>
        </w:rPr>
        <w:t xml:space="preserve">Supabase anon keys are Base64-encoded in source and decoded at runtime with environment variable override</w:t>
      </w:r>
    </w:p>
    <w:p>
      <w:pPr>
        <w:pStyle w:val="ListParagraph"/>
        <w:numPr>
          <w:ilvl w:val="0"/>
          <w:numId w:val="2"/>
        </w:numPr>
        <w:spacing w:after="80"/>
      </w:pPr>
      <w:r>
        <w:rPr>
          <w:color w:val="4A5568"/>
          <w:sz w:val="22"/>
          <w:szCs w:val="22"/>
        </w:rPr>
        <w:t xml:space="preserve">Client-side rate limiting prevents abuse of form submissions</w:t>
      </w:r>
    </w:p>
    <w:p>
      <w:pPr>
        <w:pStyle w:val="ListParagraph"/>
        <w:numPr>
          <w:ilvl w:val="0"/>
          <w:numId w:val="2"/>
        </w:numPr>
        <w:spacing w:after="80"/>
      </w:pPr>
      <w:r>
        <w:rPr>
          <w:color w:val="4A5568"/>
          <w:sz w:val="22"/>
          <w:szCs w:val="22"/>
        </w:rPr>
        <w:t xml:space="preserve">All user inputs sanitized before database insertion</w:t>
      </w:r>
    </w:p>
    <w:p>
      <w:pPr>
        <w:pStyle w:val="ListParagraph"/>
        <w:numPr>
          <w:ilvl w:val="0"/>
          <w:numId w:val="2"/>
        </w:numPr>
        <w:spacing w:after="80"/>
      </w:pPr>
      <w:r>
        <w:rPr>
          <w:color w:val="4A5568"/>
          <w:sz w:val="22"/>
          <w:szCs w:val="22"/>
        </w:rPr>
        <w:t xml:space="preserve">Role-based access control at both frontend and database levels (fixes F05)</w:t>
      </w:r>
    </w:p>
    <w:p>
      <w:pPr>
        <w:pStyle w:val="Heading2"/>
      </w:pPr>
      <w:r>
        <w:rPr>
          <w:color w:val="00458B"/>
        </w:rPr>
        <w:t xml:space="preserve">2.3 Security Architecture (Pentest Remediation)</w:t>
      </w:r>
    </w:p>
    <w:p>
      <w:pPr>
        <w:spacing w:after="120"/>
      </w:pPr>
      <w:r>
        <w:rPr>
          <w:color w:val="4A5568"/>
          <w:sz w:val="22"/>
          <w:szCs w:val="22"/>
        </w:rPr>
        <w:t xml:space="preserve">Every finding from the penetration test is architecturally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5160"/>
      </w:tblGrid>
      <w:tr>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18"/>
                <w:szCs w:val="18"/>
              </w:rPr>
              <w:t xml:space="preserve">ID</w:t>
            </w:r>
          </w:p>
        </w:tc>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18"/>
                <w:szCs w:val="18"/>
              </w:rPr>
              <w:t xml:space="preserve">Finding</w:t>
            </w:r>
          </w:p>
        </w:tc>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18"/>
                <w:szCs w:val="18"/>
              </w:rPr>
              <w:t xml:space="preserve">Severity</w:t>
            </w:r>
          </w:p>
        </w:tc>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18"/>
                <w:szCs w:val="18"/>
              </w:rPr>
              <w:t xml:space="preserve">How We Fixed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Unauth POST triggers backend</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color w:val="4A5568"/>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RLS + rate limiting + auth middleware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Debug mode in production</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color w:val="4A5568"/>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Static SPA has no server-side debug mode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Route map exposed via Ziggy</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color w:val="4A5568"/>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No Ziggy; client routes public by design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Unauth API exposes data</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color w:val="4A5568"/>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RLS policies on all Supabase tables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Admin panel internet-exposed</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color w:val="4A5568"/>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ProtectedRoute + role-based access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Verbose error messages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sanitizeError() strips all internals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Server version disclosure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GitHub Pages exposes no versions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Missing security headers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Full CSP + HSTS + all headers in _headers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QA env publicly accessible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Single deployment; no QA subdomain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Email SPF/DMARC weak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DNS config recommendations documented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Customer portal HTTP 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18"/>
                <w:szCs w:val="18"/>
              </w:rPr>
              <w:t xml:space="preserve">Fully rebuilt in React</w:t>
            </w:r>
          </w:p>
        </w:tc>
      </w:tr>
    </w:tbl>
    <w:p>
      <w:r>
        <w:br w:type="page"/>
      </w:r>
    </w:p>
    <w:p>
      <w:pPr>
        <w:pStyle w:val="Heading1"/>
      </w:pPr>
      <w:r>
        <w:rPr>
          <w:color w:val="00458B"/>
        </w:rPr>
        <w:t xml:space="preserve">3.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20"/>
                <w:szCs w:val="20"/>
              </w:rPr>
              <w:t xml:space="preserve">Layer</w:t>
            </w:r>
          </w:p>
        </w:tc>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00458B"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Frontend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React 18 + Vite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UI framework + fast build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Styling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Tailwind CSS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Utility-first responsive CSS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Animation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GSAP 3 + ScrollTrigger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Scroll-driven animations (Lusion.co-inspired)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Icons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Lucide React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Clean, accessible icon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Charts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Recharts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Data visualization for statistics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Backend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Supabase (Free Tier)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Auth, PostgreSQL + PostGIS,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Hosting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GitHub 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Static hosting with HTTPS and CDN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CI/CD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GitHub 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Auto-build and deploy on git push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Security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RLS + CSP + HSTS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A5568"/>
                <w:sz w:val="20"/>
                <w:szCs w:val="20"/>
              </w:rPr>
              <w:t xml:space="preserve">Defense-in-depth security layers</w:t>
            </w:r>
          </w:p>
        </w:tc>
      </w:tr>
    </w:tbl>
    <w:p>
      <w:pPr>
        <w:spacing w:after="120"/>
      </w:pPr>
      <w:r>
        <w:rPr>
          <w:color w:val="4A5568"/>
          <w:sz w:val="22"/>
          <w:szCs w:val="22"/>
        </w:rPr>
        <w:t xml:space="preserve"/>
      </w:r>
    </w:p>
    <w:p>
      <w:pPr>
        <w:spacing w:after="120"/>
      </w:pPr>
      <w:r>
        <w:rPr>
          <w:b/>
          <w:bCs/>
          <w:color w:val="00458B"/>
          <w:sz w:val="22"/>
          <w:szCs w:val="22"/>
        </w:rPr>
        <w:t xml:space="preserve">Total infrastructure cost: </w:t>
      </w:r>
      <w:r>
        <w:rPr>
          <w:color w:val="4A5568"/>
          <w:sz w:val="22"/>
          <w:szCs w:val="22"/>
        </w:rPr>
        <w:t xml:space="preserve">$0/month using free tiers. Supabase Pro ($25/month) available if usage exceeds limits.</w:t>
      </w:r>
    </w:p>
    <w:p>
      <w:pPr>
        <w:pStyle w:val="Heading2"/>
      </w:pPr>
      <w:r>
        <w:rPr>
          <w:color w:val="00458B"/>
        </w:rPr>
        <w:t xml:space="preserve">3.1 Why These Technologies?</w:t>
      </w:r>
    </w:p>
    <w:p>
      <w:pPr>
        <w:spacing w:after="120"/>
      </w:pPr>
      <w:r>
        <w:rPr>
          <w:b/>
          <w:bCs/>
          <w:color w:val="00458B"/>
          <w:sz w:val="22"/>
          <w:szCs w:val="22"/>
        </w:rPr>
        <w:t xml:space="preserve">React: </w:t>
      </w:r>
      <w:r>
        <w:rPr>
          <w:color w:val="4A5568"/>
          <w:sz w:val="22"/>
          <w:szCs w:val="22"/>
        </w:rPr>
        <w:t xml:space="preserve">Industry-standard UI library with massive ecosystem. Component-based architecture enables rapid development and easy maintenance by future BOCRA developers.</w:t>
      </w:r>
    </w:p>
    <w:p>
      <w:pPr>
        <w:spacing w:after="120"/>
      </w:pPr>
      <w:r>
        <w:rPr>
          <w:b/>
          <w:bCs/>
          <w:color w:val="00458B"/>
          <w:sz w:val="22"/>
          <w:szCs w:val="22"/>
        </w:rPr>
        <w:t xml:space="preserve">Supabase: </w:t>
      </w:r>
      <w:r>
        <w:rPr>
          <w:color w:val="4A5568"/>
          <w:sz w:val="22"/>
          <w:szCs w:val="22"/>
        </w:rPr>
        <w:t xml:space="preserve">Open-source Firebase alternative with PostgreSQL, PostGIS (for DQoS maps), built-in auth, and Row Level Security that eliminates entire classes of vulnerabilities.</w:t>
      </w:r>
    </w:p>
    <w:p>
      <w:pPr>
        <w:spacing w:after="120"/>
      </w:pPr>
      <w:r>
        <w:rPr>
          <w:b/>
          <w:bCs/>
          <w:color w:val="00458B"/>
          <w:sz w:val="22"/>
          <w:szCs w:val="22"/>
        </w:rPr>
        <w:t xml:space="preserve">GitHub Pages: </w:t>
      </w:r>
      <w:r>
        <w:rPr>
          <w:color w:val="4A5568"/>
          <w:sz w:val="22"/>
          <w:szCs w:val="22"/>
        </w:rPr>
        <w:t xml:space="preserve">Free hosting with automatic HTTPS, DDoS protection, and global CDN. Deployment is as simple as pushing code to the repository.</w:t>
      </w:r>
    </w:p>
    <w:p>
      <w:pPr>
        <w:spacing w:after="120"/>
      </w:pPr>
      <w:r>
        <w:rPr>
          <w:b/>
          <w:bCs/>
          <w:color w:val="00458B"/>
          <w:sz w:val="22"/>
          <w:szCs w:val="22"/>
        </w:rPr>
        <w:t xml:space="preserve">GSAP: </w:t>
      </w:r>
      <w:r>
        <w:rPr>
          <w:color w:val="4A5568"/>
          <w:sz w:val="22"/>
          <w:szCs w:val="22"/>
        </w:rPr>
        <w:t xml:space="preserve">Professional animation library used by Apple, Google, and NASA. ScrollTrigger creates smooth, accessible scroll-driven animations without performance issues.</w:t>
      </w:r>
    </w:p>
    <w:p>
      <w:r>
        <w:br w:type="page"/>
      </w:r>
    </w:p>
    <w:p>
      <w:pPr>
        <w:pStyle w:val="Heading1"/>
      </w:pPr>
      <w:r>
        <w:rPr>
          <w:color w:val="00458B"/>
        </w:rPr>
        <w:t xml:space="preserve">4. Features Implemented</w:t>
      </w:r>
    </w:p>
    <w:p>
      <w:pPr>
        <w:pStyle w:val="Heading2"/>
      </w:pPr>
      <w:r>
        <w:rPr>
          <w:color w:val="00458B"/>
        </w:rPr>
        <w:t xml:space="preserve">4.1 User Experience</w:t>
      </w:r>
    </w:p>
    <w:p>
      <w:pPr>
        <w:pStyle w:val="ListParagraph"/>
        <w:numPr>
          <w:ilvl w:val="0"/>
          <w:numId w:val="2"/>
        </w:numPr>
        <w:spacing w:after="80"/>
      </w:pPr>
      <w:r>
        <w:rPr>
          <w:color w:val="4A5568"/>
          <w:sz w:val="22"/>
          <w:szCs w:val="22"/>
        </w:rPr>
        <w:t xml:space="preserve">Modern, clean landing page with clear visual hierarchy and generous whitespace</w:t>
      </w:r>
    </w:p>
    <w:p>
      <w:pPr>
        <w:pStyle w:val="ListParagraph"/>
        <w:numPr>
          <w:ilvl w:val="0"/>
          <w:numId w:val="2"/>
        </w:numPr>
        <w:spacing w:after="80"/>
      </w:pPr>
      <w:r>
        <w:rPr>
          <w:color w:val="4A5568"/>
          <w:sz w:val="22"/>
          <w:szCs w:val="22"/>
        </w:rPr>
        <w:t xml:space="preserve">Responsive design tested on mobile, tablet, and desktop</w:t>
      </w:r>
    </w:p>
    <w:p>
      <w:pPr>
        <w:pStyle w:val="ListParagraph"/>
        <w:numPr>
          <w:ilvl w:val="0"/>
          <w:numId w:val="2"/>
        </w:numPr>
        <w:spacing w:after="80"/>
      </w:pPr>
      <w:r>
        <w:rPr>
          <w:color w:val="4A5568"/>
          <w:sz w:val="22"/>
          <w:szCs w:val="22"/>
        </w:rPr>
        <w:t xml:space="preserve">Accessible to adults and older adults: minimum 48px touch targets, clear typography, high contrast</w:t>
      </w:r>
    </w:p>
    <w:p>
      <w:pPr>
        <w:pStyle w:val="ListParagraph"/>
        <w:numPr>
          <w:ilvl w:val="0"/>
          <w:numId w:val="2"/>
        </w:numPr>
        <w:spacing w:after="80"/>
      </w:pPr>
      <w:r>
        <w:rPr>
          <w:color w:val="4A5568"/>
          <w:sz w:val="22"/>
          <w:szCs w:val="22"/>
        </w:rPr>
        <w:t xml:space="preserve">WCAG 2.1 AA compliance: keyboard navigation, ARIA labels, skip-to-content link, focus indicators</w:t>
      </w:r>
    </w:p>
    <w:p>
      <w:pPr>
        <w:pStyle w:val="ListParagraph"/>
        <w:numPr>
          <w:ilvl w:val="0"/>
          <w:numId w:val="2"/>
        </w:numPr>
        <w:spacing w:after="80"/>
      </w:pPr>
      <w:r>
        <w:rPr>
          <w:color w:val="4A5568"/>
          <w:sz w:val="22"/>
          <w:szCs w:val="22"/>
        </w:rPr>
        <w:t xml:space="preserve">Smooth GSAP scroll animations: fade-up reveals, parallax depth, staggered card entrances, animated counters</w:t>
      </w:r>
    </w:p>
    <w:p>
      <w:pPr>
        <w:pStyle w:val="ListParagraph"/>
        <w:numPr>
          <w:ilvl w:val="0"/>
          <w:numId w:val="2"/>
        </w:numPr>
        <w:spacing w:after="80"/>
      </w:pPr>
      <w:r>
        <w:rPr>
          <w:color w:val="4A5568"/>
          <w:sz w:val="22"/>
          <w:szCs w:val="22"/>
        </w:rPr>
        <w:t xml:space="preserve">Fast page loads with Vite code-splitting and GitHub Pages CDN</w:t>
      </w:r>
    </w:p>
    <w:p>
      <w:pPr>
        <w:pStyle w:val="Heading2"/>
      </w:pPr>
      <w:r>
        <w:rPr>
          <w:color w:val="00458B"/>
        </w:rPr>
        <w:t xml:space="preserve">4.2 Pages Built</w:t>
      </w:r>
    </w:p>
    <w:p>
      <w:pPr>
        <w:pStyle w:val="ListParagraph"/>
        <w:numPr>
          <w:ilvl w:val="0"/>
          <w:numId w:val="2"/>
        </w:numPr>
        <w:spacing w:after="80"/>
      </w:pPr>
      <w:r>
        <w:rPr>
          <w:color w:val="4A5568"/>
          <w:sz w:val="22"/>
          <w:szCs w:val="22"/>
        </w:rPr>
        <w:t xml:space="preserve">Home page with hero, 4 regulated sectors, 6 citizen services, animated statistics, news grid</w:t>
      </w:r>
    </w:p>
    <w:p>
      <w:pPr>
        <w:pStyle w:val="ListParagraph"/>
        <w:numPr>
          <w:ilvl w:val="0"/>
          <w:numId w:val="2"/>
        </w:numPr>
        <w:spacing w:after="80"/>
      </w:pPr>
      <w:r>
        <w:rPr>
          <w:color w:val="4A5568"/>
          <w:sz w:val="22"/>
          <w:szCs w:val="22"/>
        </w:rPr>
        <w:t xml:space="preserve">About BOCRA with mission, vision, values, core business areas, leadership links</w:t>
      </w:r>
    </w:p>
    <w:p>
      <w:pPr>
        <w:pStyle w:val="ListParagraph"/>
        <w:numPr>
          <w:ilvl w:val="0"/>
          <w:numId w:val="2"/>
        </w:numPr>
        <w:spacing w:after="80"/>
      </w:pPr>
      <w:r>
        <w:rPr>
          <w:color w:val="4A5568"/>
          <w:sz w:val="22"/>
          <w:szCs w:val="22"/>
        </w:rPr>
        <w:t xml:space="preserve">All Mandate sub-pages: Telecommunications, Broadcasting, Postal, Internet, Legislation, Licensing</w:t>
      </w:r>
    </w:p>
    <w:p>
      <w:pPr>
        <w:pStyle w:val="ListParagraph"/>
        <w:numPr>
          <w:ilvl w:val="0"/>
          <w:numId w:val="2"/>
        </w:numPr>
        <w:spacing w:after="80"/>
      </w:pPr>
      <w:r>
        <w:rPr>
          <w:color w:val="4A5568"/>
          <w:sz w:val="22"/>
          <w:szCs w:val="22"/>
        </w:rPr>
        <w:t xml:space="preserve">Services: File a Complaint (full form), Licence Verification, Type Approval, Register .BW, QoS Monitoring, Spectrum Management</w:t>
      </w:r>
    </w:p>
    <w:p>
      <w:pPr>
        <w:pStyle w:val="ListParagraph"/>
        <w:numPr>
          <w:ilvl w:val="0"/>
          <w:numId w:val="2"/>
        </w:numPr>
        <w:spacing w:after="80"/>
      </w:pPr>
      <w:r>
        <w:rPr>
          <w:color w:val="4A5568"/>
          <w:sz w:val="22"/>
          <w:szCs w:val="22"/>
        </w:rPr>
        <w:t xml:space="preserve">Documents library with category filtering and search across 20+ documents</w:t>
      </w:r>
    </w:p>
    <w:p>
      <w:pPr>
        <w:pStyle w:val="ListParagraph"/>
        <w:numPr>
          <w:ilvl w:val="0"/>
          <w:numId w:val="2"/>
        </w:numPr>
        <w:spacing w:after="80"/>
      </w:pPr>
      <w:r>
        <w:rPr>
          <w:color w:val="4A5568"/>
          <w:sz w:val="22"/>
          <w:szCs w:val="22"/>
        </w:rPr>
        <w:t xml:space="preserve">News &amp; Events with category tabs, search, and paginated article grid</w:t>
      </w:r>
    </w:p>
    <w:p>
      <w:pPr>
        <w:pStyle w:val="ListParagraph"/>
        <w:numPr>
          <w:ilvl w:val="0"/>
          <w:numId w:val="2"/>
        </w:numPr>
        <w:spacing w:after="80"/>
      </w:pPr>
      <w:r>
        <w:rPr>
          <w:color w:val="4A5568"/>
          <w:sz w:val="22"/>
          <w:szCs w:val="22"/>
        </w:rPr>
        <w:t xml:space="preserve">Contact page with form, map embed, and full contact information</w:t>
      </w:r>
    </w:p>
    <w:p>
      <w:pPr>
        <w:pStyle w:val="ListParagraph"/>
        <w:numPr>
          <w:ilvl w:val="0"/>
          <w:numId w:val="2"/>
        </w:numPr>
        <w:spacing w:after="80"/>
      </w:pPr>
      <w:r>
        <w:rPr>
          <w:color w:val="4A5568"/>
          <w:sz w:val="22"/>
          <w:szCs w:val="22"/>
        </w:rPr>
        <w:t xml:space="preserve">Authentication: Login page for BOCRA Portal access</w:t>
      </w:r>
    </w:p>
    <w:p>
      <w:pPr>
        <w:pStyle w:val="Heading2"/>
      </w:pPr>
      <w:r>
        <w:rPr>
          <w:color w:val="00458B"/>
        </w:rPr>
        <w:t xml:space="preserve">4.3 Self-Service Capabilities</w:t>
      </w:r>
    </w:p>
    <w:p>
      <w:pPr>
        <w:pStyle w:val="ListParagraph"/>
        <w:numPr>
          <w:ilvl w:val="0"/>
          <w:numId w:val="2"/>
        </w:numPr>
        <w:spacing w:after="80"/>
      </w:pPr>
      <w:r>
        <w:rPr>
          <w:color w:val="4A5568"/>
          <w:sz w:val="22"/>
          <w:szCs w:val="22"/>
        </w:rPr>
        <w:t xml:space="preserve">Online complaint filing with input validation and rate limiting</w:t>
      </w:r>
    </w:p>
    <w:p>
      <w:pPr>
        <w:pStyle w:val="ListParagraph"/>
        <w:numPr>
          <w:ilvl w:val="0"/>
          <w:numId w:val="2"/>
        </w:numPr>
        <w:spacing w:after="80"/>
      </w:pPr>
      <w:r>
        <w:rPr>
          <w:color w:val="4A5568"/>
          <w:sz w:val="22"/>
          <w:szCs w:val="22"/>
        </w:rPr>
        <w:t xml:space="preserve">Document search and download</w:t>
      </w:r>
    </w:p>
    <w:p>
      <w:pPr>
        <w:pStyle w:val="ListParagraph"/>
        <w:numPr>
          <w:ilvl w:val="0"/>
          <w:numId w:val="2"/>
        </w:numPr>
        <w:spacing w:after="80"/>
      </w:pPr>
      <w:r>
        <w:rPr>
          <w:color w:val="4A5568"/>
          <w:sz w:val="22"/>
          <w:szCs w:val="22"/>
        </w:rPr>
        <w:t xml:space="preserve">Licence verification tool</w:t>
      </w:r>
    </w:p>
    <w:p>
      <w:pPr>
        <w:pStyle w:val="ListParagraph"/>
        <w:numPr>
          <w:ilvl w:val="0"/>
          <w:numId w:val="2"/>
        </w:numPr>
        <w:spacing w:after="80"/>
      </w:pPr>
      <w:r>
        <w:rPr>
          <w:color w:val="4A5568"/>
          <w:sz w:val="22"/>
          <w:szCs w:val="22"/>
        </w:rPr>
        <w:t xml:space="preserve">Equipment type approval status checking</w:t>
      </w:r>
    </w:p>
    <w:p>
      <w:pPr>
        <w:pStyle w:val="ListParagraph"/>
        <w:numPr>
          <w:ilvl w:val="0"/>
          <w:numId w:val="2"/>
        </w:numPr>
        <w:spacing w:after="80"/>
      </w:pPr>
      <w:r>
        <w:rPr>
          <w:color w:val="4A5568"/>
          <w:sz w:val="22"/>
          <w:szCs w:val="22"/>
        </w:rPr>
        <w:t xml:space="preserve">Contact form with Supabase backend storage</w:t>
      </w:r>
    </w:p>
    <w:p>
      <w:pPr>
        <w:pStyle w:val="Heading2"/>
      </w:pPr>
      <w:r>
        <w:rPr>
          <w:color w:val="00458B"/>
        </w:rPr>
        <w:t xml:space="preserve">4.4 Data-Driven Features</w:t>
      </w:r>
    </w:p>
    <w:p>
      <w:pPr>
        <w:pStyle w:val="ListParagraph"/>
        <w:numPr>
          <w:ilvl w:val="0"/>
          <w:numId w:val="2"/>
        </w:numPr>
        <w:spacing w:after="80"/>
      </w:pPr>
      <w:r>
        <w:rPr>
          <w:color w:val="4A5568"/>
          <w:sz w:val="22"/>
          <w:szCs w:val="22"/>
        </w:rPr>
        <w:t xml:space="preserve">Animated telecom statistics dashboard with 4 key indicators</w:t>
      </w:r>
    </w:p>
    <w:p>
      <w:pPr>
        <w:pStyle w:val="ListParagraph"/>
        <w:numPr>
          <w:ilvl w:val="0"/>
          <w:numId w:val="2"/>
        </w:numPr>
        <w:spacing w:after="80"/>
      </w:pPr>
      <w:r>
        <w:rPr>
          <w:color w:val="4A5568"/>
          <w:sz w:val="22"/>
          <w:szCs w:val="22"/>
        </w:rPr>
        <w:t xml:space="preserve">QoS monitoring page with operator performance data</w:t>
      </w:r>
    </w:p>
    <w:p>
      <w:pPr>
        <w:pStyle w:val="ListParagraph"/>
        <w:numPr>
          <w:ilvl w:val="0"/>
          <w:numId w:val="2"/>
        </w:numPr>
        <w:spacing w:after="80"/>
      </w:pPr>
      <w:r>
        <w:rPr>
          <w:color w:val="4A5568"/>
          <w:sz w:val="22"/>
          <w:szCs w:val="22"/>
        </w:rPr>
        <w:t xml:space="preserve">Supabase database schema with 9 tables ready for real data population</w:t>
      </w:r>
    </w:p>
    <w:p>
      <w:pPr>
        <w:pStyle w:val="ListParagraph"/>
        <w:numPr>
          <w:ilvl w:val="0"/>
          <w:numId w:val="2"/>
        </w:numPr>
        <w:spacing w:after="80"/>
      </w:pPr>
      <w:r>
        <w:rPr>
          <w:color w:val="4A5568"/>
          <w:sz w:val="22"/>
          <w:szCs w:val="22"/>
        </w:rPr>
        <w:t xml:space="preserve">Admin CMS architecture for staff content management without developer help</w:t>
      </w:r>
    </w:p>
    <w:p>
      <w:r>
        <w:br w:type="page"/>
      </w:r>
    </w:p>
    <w:p>
      <w:pPr>
        <w:pStyle w:val="Heading1"/>
      </w:pPr>
      <w:r>
        <w:rPr>
          <w:color w:val="00458B"/>
        </w:rPr>
        <w:t xml:space="preserve">5. Lessons Learned</w:t>
      </w:r>
    </w:p>
    <w:p>
      <w:pPr>
        <w:pStyle w:val="Heading2"/>
      </w:pPr>
      <w:r>
        <w:rPr>
          <w:color w:val="00458B"/>
        </w:rPr>
        <w:t xml:space="preserve">5.1 Research-First Approach</w:t>
      </w:r>
    </w:p>
    <w:p>
      <w:pPr>
        <w:spacing w:after="120"/>
      </w:pPr>
      <w:r>
        <w:rPr>
          <w:color w:val="4A5568"/>
          <w:sz w:val="22"/>
          <w:szCs w:val="22"/>
        </w:rPr>
        <w:t xml:space="preserve">We invested significant time auditing the existing website page-by-page and studying the penetration test report before writing any code. This research revealed that many of BOCRA’s problems were architectural: the fragmented multi-subdomain approach created an unmanageable attack surface. A unified SPA solved both security and usability issues simultaneously.</w:t>
      </w:r>
    </w:p>
    <w:p>
      <w:pPr>
        <w:pStyle w:val="Heading2"/>
      </w:pPr>
      <w:r>
        <w:rPr>
          <w:color w:val="00458B"/>
        </w:rPr>
        <w:t xml:space="preserve">5.2 Security Cannot Be an Afterthought</w:t>
      </w:r>
    </w:p>
    <w:p>
      <w:pPr>
        <w:spacing w:after="120"/>
      </w:pPr>
      <w:r>
        <w:rPr>
          <w:color w:val="4A5568"/>
          <w:sz w:val="22"/>
          <w:szCs w:val="22"/>
        </w:rPr>
        <w:t xml:space="preserve">The penetration test revealed that the existing DQoS platform had critical vulnerabilities because security was not built into the architecture. We designed security into every layer from day one: RLS at the database, input sanitization at the frontend, encrypted key storage, Content Security Policy headers, and role-based access control. Defense-in-depth means no single failure compromises the system.</w:t>
      </w:r>
    </w:p>
    <w:p>
      <w:pPr>
        <w:pStyle w:val="Heading2"/>
      </w:pPr>
      <w:r>
        <w:rPr>
          <w:color w:val="00458B"/>
        </w:rPr>
        <w:t xml:space="preserve">5.3 Accessibility is Not Optional</w:t>
      </w:r>
    </w:p>
    <w:p>
      <w:pPr>
        <w:spacing w:after="120"/>
      </w:pPr>
      <w:r>
        <w:rPr>
          <w:color w:val="4A5568"/>
          <w:sz w:val="22"/>
          <w:szCs w:val="22"/>
        </w:rPr>
        <w:t xml:space="preserve">BOCRA serves all Batswana, including older adults and people with disabilities. We designed for accessibility from the start: large touch targets (48px minimum), high-contrast text, keyboard navigation, screen reader support, and clear visual hierarchy. Animations are kept smooth and non-disruptive.</w:t>
      </w:r>
    </w:p>
    <w:p>
      <w:pPr>
        <w:pStyle w:val="Heading2"/>
      </w:pPr>
      <w:r>
        <w:rPr>
          <w:color w:val="00458B"/>
        </w:rPr>
        <w:t xml:space="preserve">5.4 Zero-Cost Infrastructure is Viable</w:t>
      </w:r>
    </w:p>
    <w:p>
      <w:pPr>
        <w:spacing w:after="120"/>
      </w:pPr>
      <w:r>
        <w:rPr>
          <w:color w:val="4A5568"/>
          <w:sz w:val="22"/>
          <w:szCs w:val="22"/>
        </w:rPr>
        <w:t xml:space="preserve">Using Supabase free tier and GitHub Pages, we demonstrated that a professional government website can run at $0/month without sacrificing performance, security, or functionality. This reduces BOCRA’s technology costs while providing modern capabilities.</w:t>
      </w:r>
    </w:p>
    <w:p>
      <w:pPr>
        <w:pStyle w:val="Heading2"/>
      </w:pPr>
      <w:r>
        <w:rPr>
          <w:color w:val="00458B"/>
        </w:rPr>
        <w:t xml:space="preserve">5.5 Modern UX Builds Public Trust</w:t>
      </w:r>
    </w:p>
    <w:p>
      <w:pPr>
        <w:spacing w:after="120"/>
      </w:pPr>
      <w:r>
        <w:rPr>
          <w:color w:val="4A5568"/>
          <w:sz w:val="22"/>
          <w:szCs w:val="22"/>
        </w:rPr>
        <w:t xml:space="preserve">A regulatory authority’s website is often a citizen’s first interaction with the organization. Smooth animations, clean design, and working functionality communicate competence and trustworthiness. The broken links and outdated content on the current site undermine public confidence in BOCRA’s ability to regulate a modern communications sector.</w:t>
      </w:r>
    </w:p>
    <w:p>
      <w:pPr>
        <w:spacing w:before="600"/>
        <w:jc w:val="center"/>
      </w:pPr>
      <w:r>
        <w:rPr>
          <w:i/>
          <w:iCs/>
          <w:color w:val="4A5568"/>
          <w:sz w:val="20"/>
          <w:szCs w:val="20"/>
        </w:rPr>
        <w:t xml:space="preserve">— End of Technical Proposal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58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458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A6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2026-03-15T05:58:17.619Z</dcterms:created>
  <dcterms:modified xsi:type="dcterms:W3CDTF">2026-03-15T05:58:17.619Z</dcterms:modified>
</cp:coreProperties>
</file>

<file path=docProps/custom.xml><?xml version="1.0" encoding="utf-8"?>
<Properties xmlns="http://schemas.openxmlformats.org/officeDocument/2006/custom-properties" xmlns:vt="http://schemas.openxmlformats.org/officeDocument/2006/docPropsVTypes"/>
</file>