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93" w:rsidRPr="002D1598" w:rsidRDefault="00136E0F">
      <w:pPr>
        <w:rPr>
          <w:b/>
        </w:rPr>
      </w:pPr>
      <w:r w:rsidRPr="002D1598">
        <w:rPr>
          <w:b/>
        </w:rPr>
        <w:t>List of Workbooks:</w:t>
      </w:r>
    </w:p>
    <w:p w:rsidR="00136E0F" w:rsidRDefault="00136E0F">
      <w:r>
        <w:t xml:space="preserve">1. </w:t>
      </w:r>
      <w:r w:rsidRPr="002D1598">
        <w:rPr>
          <w:b/>
        </w:rPr>
        <w:t>WQU_609.xlsm:</w:t>
      </w:r>
      <w:r>
        <w:t xml:space="preserve"> This consists of all the tasks for final project</w:t>
      </w:r>
    </w:p>
    <w:p w:rsidR="00136E0F" w:rsidRDefault="00136E0F">
      <w:r>
        <w:t xml:space="preserve">2. </w:t>
      </w:r>
      <w:r w:rsidRPr="002D1598">
        <w:rPr>
          <w:b/>
        </w:rPr>
        <w:t>BS_Alternate.xlsm:</w:t>
      </w:r>
      <w:r>
        <w:t xml:space="preserve"> This consists of an alternative way of performing Black-Scholes, where the spot price is derived from F, and used in the formula, instead of using F (Thereby making it Black Model or Balck-76 Model)</w:t>
      </w:r>
    </w:p>
    <w:p w:rsidR="00136E0F" w:rsidRDefault="00136E0F"/>
    <w:p w:rsidR="00136E0F" w:rsidRDefault="00136E0F">
      <w:r>
        <w:t>List of Sheets:</w:t>
      </w:r>
    </w:p>
    <w:p w:rsidR="00136E0F" w:rsidRDefault="00136E0F">
      <w:r>
        <w:t xml:space="preserve">1. </w:t>
      </w:r>
      <w:r w:rsidRPr="002D1598">
        <w:rPr>
          <w:b/>
        </w:rPr>
        <w:t>Dividend Discount Model:</w:t>
      </w:r>
      <w:r>
        <w:t xml:space="preserve"> This contains Part – I of </w:t>
      </w:r>
      <w:r w:rsidR="00B02B49">
        <w:t>Final project, where DDM must be calculated</w:t>
      </w:r>
    </w:p>
    <w:p w:rsidR="00B02B49" w:rsidRDefault="00B02B49">
      <w:r>
        <w:t xml:space="preserve">2. </w:t>
      </w:r>
      <w:r w:rsidRPr="002D1598">
        <w:rPr>
          <w:b/>
        </w:rPr>
        <w:t>Single Index Model – Data:</w:t>
      </w:r>
      <w:r>
        <w:t xml:space="preserve"> This worksheet consists of the Data used for performing the Single Index Model Analysis</w:t>
      </w:r>
    </w:p>
    <w:p w:rsidR="00B02B49" w:rsidRDefault="00B02B49">
      <w:r>
        <w:t xml:space="preserve">3. </w:t>
      </w:r>
      <w:r w:rsidRPr="002D1598">
        <w:rPr>
          <w:b/>
        </w:rPr>
        <w:t>Single Index Model – Analysis:</w:t>
      </w:r>
      <w:r>
        <w:t xml:space="preserve"> This worksheet consists of the Regression output, used on the Data given in ‘Single Index Model Data’. This is where the Single Index Model is implemented</w:t>
      </w:r>
    </w:p>
    <w:p w:rsidR="00B02B49" w:rsidRDefault="00B02B49">
      <w:r>
        <w:t xml:space="preserve">4. </w:t>
      </w:r>
      <w:r w:rsidRPr="002D1598">
        <w:rPr>
          <w:b/>
        </w:rPr>
        <w:t>Black Scholes Model – I:</w:t>
      </w:r>
      <w:r>
        <w:t xml:space="preserve"> This consist</w:t>
      </w:r>
      <w:r w:rsidR="004F46CF">
        <w:t>s</w:t>
      </w:r>
      <w:r>
        <w:t xml:space="preserve"> of the </w:t>
      </w:r>
      <w:r w:rsidR="004F46CF">
        <w:t>1</w:t>
      </w:r>
      <w:r w:rsidR="004F46CF" w:rsidRPr="004F46CF">
        <w:rPr>
          <w:vertAlign w:val="superscript"/>
        </w:rPr>
        <w:t>st</w:t>
      </w:r>
      <w:r w:rsidR="004F46CF">
        <w:t xml:space="preserve"> part of BSM model, where f=49 and k=49</w:t>
      </w:r>
    </w:p>
    <w:p w:rsidR="004F46CF" w:rsidRDefault="004F46CF">
      <w:r>
        <w:t xml:space="preserve">5. </w:t>
      </w:r>
      <w:r w:rsidRPr="002D1598">
        <w:rPr>
          <w:b/>
        </w:rPr>
        <w:t>Black Scholes Model – II:</w:t>
      </w:r>
      <w:r>
        <w:t xml:space="preserve"> This consists of the 2</w:t>
      </w:r>
      <w:r w:rsidRPr="004F46CF">
        <w:rPr>
          <w:vertAlign w:val="superscript"/>
        </w:rPr>
        <w:t>nd</w:t>
      </w:r>
      <w:r>
        <w:t xml:space="preserve"> part of the BSM model, where f=50, k = 45</w:t>
      </w:r>
    </w:p>
    <w:p w:rsidR="004F46CF" w:rsidRDefault="004F46CF"/>
    <w:p w:rsidR="002D1598" w:rsidRPr="0029500C" w:rsidRDefault="0029500C">
      <w:pPr>
        <w:rPr>
          <w:b/>
          <w:sz w:val="32"/>
          <w:szCs w:val="32"/>
        </w:rPr>
      </w:pPr>
      <w:r w:rsidRPr="0029500C">
        <w:rPr>
          <w:b/>
          <w:sz w:val="32"/>
          <w:szCs w:val="32"/>
        </w:rPr>
        <w:t>Dividend Discount Model (DDM)</w:t>
      </w:r>
    </w:p>
    <w:p w:rsidR="004F46CF" w:rsidRDefault="0029500C">
      <w:r w:rsidRPr="0029500C">
        <w:t>The dividend discount model (DDM) is a procedure for valuing the price of a stock by using the predicted dividends and discounting them back to the present value. If the value obtained from the DDM is higher than what the shares are currently trading at, then the stock is undervalued.</w:t>
      </w:r>
    </w:p>
    <w:p w:rsidR="0029500C" w:rsidRPr="0029500C" w:rsidRDefault="0029500C" w:rsidP="0029500C">
      <w:r w:rsidRPr="0029500C">
        <w:t>This model is applied to companies that are consistently paying dividends.  This payment allows investors to put a value on the stock.  The formula is as follows:</w:t>
      </w:r>
    </w:p>
    <w:p w:rsidR="0029500C" w:rsidRPr="0029500C" w:rsidRDefault="0029500C" w:rsidP="0029500C">
      <w:proofErr w:type="spellStart"/>
      <w:r w:rsidRPr="0029500C">
        <w:t>PV</w:t>
      </w:r>
      <w:r w:rsidRPr="0029500C">
        <w:rPr>
          <w:vertAlign w:val="subscript"/>
        </w:rPr>
        <w:t>cs</w:t>
      </w:r>
      <w:proofErr w:type="spellEnd"/>
      <w:r w:rsidRPr="0029500C">
        <w:t> =</w:t>
      </w:r>
      <w:r w:rsidRPr="0029500C">
        <w:rPr>
          <w:u w:val="single"/>
        </w:rPr>
        <w:t>    D</w:t>
      </w:r>
      <w:r w:rsidRPr="0029500C">
        <w:rPr>
          <w:u w:val="single"/>
          <w:vertAlign w:val="subscript"/>
        </w:rPr>
        <w:t>1</w:t>
      </w:r>
      <w:r w:rsidRPr="0029500C">
        <w:rPr>
          <w:u w:val="single"/>
        </w:rPr>
        <w:t>__</w:t>
      </w:r>
      <w:r w:rsidRPr="0029500C">
        <w:br/>
        <w:t>             </w:t>
      </w:r>
      <w:proofErr w:type="spellStart"/>
      <w:r w:rsidRPr="0029500C">
        <w:t>k</w:t>
      </w:r>
      <w:r w:rsidRPr="0029500C">
        <w:rPr>
          <w:vertAlign w:val="subscript"/>
        </w:rPr>
        <w:t>cs</w:t>
      </w:r>
      <w:proofErr w:type="spellEnd"/>
      <w:r w:rsidRPr="0029500C">
        <w:t>- g</w:t>
      </w:r>
    </w:p>
    <w:p w:rsidR="0029500C" w:rsidRPr="0029500C" w:rsidRDefault="0029500C" w:rsidP="0029500C">
      <w:r w:rsidRPr="0029500C">
        <w:t>Where:</w:t>
      </w:r>
    </w:p>
    <w:p w:rsidR="0029500C" w:rsidRDefault="0029500C" w:rsidP="0029500C">
      <w:proofErr w:type="spellStart"/>
      <w:r w:rsidRPr="0029500C">
        <w:rPr>
          <w:b/>
          <w:bCs/>
        </w:rPr>
        <w:t>PV</w:t>
      </w:r>
      <w:r w:rsidRPr="0029500C">
        <w:rPr>
          <w:b/>
          <w:bCs/>
          <w:vertAlign w:val="subscript"/>
        </w:rPr>
        <w:t>cs</w:t>
      </w:r>
      <w:proofErr w:type="spellEnd"/>
      <w:r w:rsidRPr="0029500C">
        <w:rPr>
          <w:b/>
          <w:bCs/>
        </w:rPr>
        <w:t> </w:t>
      </w:r>
      <w:r w:rsidRPr="0029500C">
        <w:t>= Common stock value</w:t>
      </w:r>
      <w:r w:rsidRPr="0029500C">
        <w:br/>
      </w:r>
      <w:r w:rsidRPr="0029500C">
        <w:rPr>
          <w:b/>
          <w:bCs/>
        </w:rPr>
        <w:t>D</w:t>
      </w:r>
      <w:r w:rsidRPr="0029500C">
        <w:rPr>
          <w:b/>
          <w:bCs/>
          <w:vertAlign w:val="subscript"/>
        </w:rPr>
        <w:t>1 </w:t>
      </w:r>
      <w:r w:rsidRPr="0029500C">
        <w:t>= dividend in year 1</w:t>
      </w:r>
      <w:r w:rsidRPr="0029500C">
        <w:br/>
      </w:r>
      <w:proofErr w:type="spellStart"/>
      <w:r w:rsidRPr="0029500C">
        <w:rPr>
          <w:b/>
          <w:bCs/>
        </w:rPr>
        <w:t>K</w:t>
      </w:r>
      <w:r w:rsidRPr="0029500C">
        <w:rPr>
          <w:b/>
          <w:bCs/>
          <w:vertAlign w:val="subscript"/>
        </w:rPr>
        <w:t>cs</w:t>
      </w:r>
      <w:proofErr w:type="spellEnd"/>
      <w:proofErr w:type="gramStart"/>
      <w:r w:rsidRPr="0029500C">
        <w:rPr>
          <w:b/>
          <w:bCs/>
          <w:vertAlign w:val="subscript"/>
        </w:rPr>
        <w:t> </w:t>
      </w:r>
      <w:r w:rsidRPr="0029500C">
        <w:t> =</w:t>
      </w:r>
      <w:proofErr w:type="gramEnd"/>
      <w:r w:rsidRPr="0029500C">
        <w:t xml:space="preserve"> required rate of return</w:t>
      </w:r>
      <w:r w:rsidRPr="0029500C">
        <w:br/>
      </w:r>
      <w:r w:rsidRPr="0029500C">
        <w:rPr>
          <w:b/>
          <w:bCs/>
        </w:rPr>
        <w:t>g</w:t>
      </w:r>
      <w:r w:rsidRPr="0029500C">
        <w:t> = growth rate</w:t>
      </w:r>
    </w:p>
    <w:p w:rsidR="0029500C" w:rsidRDefault="0029500C" w:rsidP="0029500C"/>
    <w:p w:rsidR="0029500C" w:rsidRDefault="0029500C" w:rsidP="0029500C">
      <w:r>
        <w:t>In our example, we have the following data points:</w:t>
      </w:r>
    </w:p>
    <w:p w:rsidR="0029500C" w:rsidRDefault="0029500C" w:rsidP="0029500C">
      <w:r>
        <w:t xml:space="preserve">We have </w:t>
      </w:r>
      <w:proofErr w:type="gramStart"/>
      <w:r>
        <w:t>D(</w:t>
      </w:r>
      <w:proofErr w:type="gramEnd"/>
      <w:r>
        <w:t xml:space="preserve">0) with us, which is given as 100. Using </w:t>
      </w:r>
      <w:proofErr w:type="gramStart"/>
      <w:r>
        <w:t>D(</w:t>
      </w:r>
      <w:proofErr w:type="gramEnd"/>
      <w:r>
        <w:t xml:space="preserve">0), we calculate D(1) using the formula </w:t>
      </w:r>
      <w:r w:rsidRPr="0029500C">
        <w:t>D</w:t>
      </w:r>
      <w:r w:rsidRPr="0029500C">
        <w:rPr>
          <w:vertAlign w:val="subscript"/>
        </w:rPr>
        <w:t>1</w:t>
      </w:r>
      <w:r w:rsidRPr="0029500C">
        <w:t> = D</w:t>
      </w:r>
      <w:r w:rsidRPr="0029500C">
        <w:rPr>
          <w:vertAlign w:val="subscript"/>
        </w:rPr>
        <w:t>0</w:t>
      </w:r>
      <w:r w:rsidRPr="0029500C">
        <w:t>(1+g)</w:t>
      </w:r>
      <w:r>
        <w:t xml:space="preserve">. This way, </w:t>
      </w:r>
      <w:proofErr w:type="gramStart"/>
      <w:r>
        <w:t>D(</w:t>
      </w:r>
      <w:proofErr w:type="gramEnd"/>
      <w:r>
        <w:t>1)  = 100 * (1+0.02) = 102</w:t>
      </w:r>
    </w:p>
    <w:p w:rsidR="0029500C" w:rsidRDefault="0029500C" w:rsidP="0029500C">
      <w:r>
        <w:t xml:space="preserve">After getting </w:t>
      </w:r>
      <w:proofErr w:type="gramStart"/>
      <w:r>
        <w:t>D(</w:t>
      </w:r>
      <w:proofErr w:type="gramEnd"/>
      <w:r>
        <w:t xml:space="preserve">1), we calculate </w:t>
      </w:r>
      <w:proofErr w:type="spellStart"/>
      <w:r>
        <w:t>PVcs</w:t>
      </w:r>
      <w:proofErr w:type="spellEnd"/>
      <w:r>
        <w:t xml:space="preserve"> using the aforementioned formula, and get the value to be 5.1k</w:t>
      </w:r>
      <w:r w:rsidR="00CC6D19">
        <w:t xml:space="preserve">. I assume the dividends to be in cents, therefore, the final amount is 5.1 dollars. </w:t>
      </w:r>
    </w:p>
    <w:p w:rsidR="0029500C" w:rsidRDefault="0029500C" w:rsidP="0029500C"/>
    <w:p w:rsidR="0029500C" w:rsidRDefault="0029500C" w:rsidP="0029500C"/>
    <w:p w:rsidR="00EE7E37" w:rsidRPr="0029500C" w:rsidRDefault="00EE7E37" w:rsidP="00EE7E37">
      <w:pPr>
        <w:rPr>
          <w:b/>
          <w:sz w:val="32"/>
          <w:szCs w:val="32"/>
        </w:rPr>
      </w:pPr>
      <w:r>
        <w:rPr>
          <w:b/>
          <w:sz w:val="32"/>
          <w:szCs w:val="32"/>
        </w:rPr>
        <w:t>Single Index Pricing Model</w:t>
      </w:r>
      <w:r w:rsidRPr="0029500C">
        <w:rPr>
          <w:b/>
          <w:sz w:val="32"/>
          <w:szCs w:val="32"/>
        </w:rPr>
        <w:t xml:space="preserve"> (</w:t>
      </w:r>
      <w:r w:rsidR="00C246F9">
        <w:rPr>
          <w:b/>
          <w:sz w:val="32"/>
          <w:szCs w:val="32"/>
        </w:rPr>
        <w:t>SIM</w:t>
      </w:r>
      <w:r w:rsidRPr="0029500C">
        <w:rPr>
          <w:b/>
          <w:sz w:val="32"/>
          <w:szCs w:val="32"/>
        </w:rPr>
        <w:t>)</w:t>
      </w:r>
    </w:p>
    <w:p w:rsidR="0029500C" w:rsidRDefault="0029500C" w:rsidP="0029500C"/>
    <w:p w:rsidR="008A3E3D" w:rsidRPr="008A3E3D" w:rsidRDefault="008A3E3D" w:rsidP="0029500C">
      <w:pPr>
        <w:rPr>
          <w:b/>
        </w:rPr>
      </w:pPr>
      <w:r w:rsidRPr="008A3E3D">
        <w:rPr>
          <w:b/>
        </w:rPr>
        <w:t>Bac</w:t>
      </w:r>
      <w:r>
        <w:rPr>
          <w:b/>
        </w:rPr>
        <w:t>k</w:t>
      </w:r>
      <w:r w:rsidRPr="008A3E3D">
        <w:rPr>
          <w:b/>
        </w:rPr>
        <w:t>ground:</w:t>
      </w:r>
    </w:p>
    <w:p w:rsidR="0029500C" w:rsidRDefault="006C26D6">
      <w:r>
        <w:t>Single Index Pricing Model is based on Markowitz’s model. Here, Markowitz tries to find what he calls ‘Optimally Risky Portfolio’</w:t>
      </w:r>
      <w:r w:rsidR="00463DE5">
        <w:t>. This model is a full covariance model. That is, it requires a large number of data estimates, which is of the factor n*(n-1)/2. The single index model reduces the number of data inputs required. This ease comes at a cost. It sacrifices accuracy.</w:t>
      </w:r>
    </w:p>
    <w:p w:rsidR="00463DE5" w:rsidRDefault="00463DE5">
      <w:r>
        <w:t xml:space="preserve">The return of a security, </w:t>
      </w:r>
      <w:proofErr w:type="spellStart"/>
      <w:r>
        <w:t>ri</w:t>
      </w:r>
      <w:proofErr w:type="spellEnd"/>
      <w:r>
        <w:t xml:space="preserve">, consists of an expected part </w:t>
      </w:r>
      <w:proofErr w:type="gramStart"/>
      <w:r>
        <w:t>E(</w:t>
      </w:r>
      <w:proofErr w:type="spellStart"/>
      <w:proofErr w:type="gramEnd"/>
      <w:r>
        <w:t>ri</w:t>
      </w:r>
      <w:proofErr w:type="spellEnd"/>
      <w:r>
        <w:t xml:space="preserve">) and an unexpected part </w:t>
      </w:r>
      <w:proofErr w:type="spellStart"/>
      <w:r>
        <w:t>ei</w:t>
      </w:r>
      <w:proofErr w:type="spellEnd"/>
      <w:r>
        <w:t xml:space="preserve">. </w:t>
      </w:r>
      <w:proofErr w:type="spellStart"/>
      <w:r>
        <w:t>Ei</w:t>
      </w:r>
      <w:proofErr w:type="spellEnd"/>
      <w:r>
        <w:t xml:space="preserve"> is assumed to have 0 mean with </w:t>
      </w:r>
      <w:proofErr w:type="spellStart"/>
      <w:proofErr w:type="gramStart"/>
      <w:r>
        <w:t>std</w:t>
      </w:r>
      <w:proofErr w:type="spellEnd"/>
      <w:proofErr w:type="gramEnd"/>
      <w:r>
        <w:t xml:space="preserve"> as sigma. A common macro-economic factor, m, is going to cause the change in the returns of the securities in the universe. Therefore,</w:t>
      </w:r>
    </w:p>
    <w:p w:rsidR="00463DE5" w:rsidRDefault="00463DE5">
      <w:proofErr w:type="spellStart"/>
      <w:r>
        <w:t>Ri</w:t>
      </w:r>
      <w:proofErr w:type="spellEnd"/>
      <w:r>
        <w:t xml:space="preserve"> = </w:t>
      </w:r>
      <w:proofErr w:type="gramStart"/>
      <w:r>
        <w:t>E(</w:t>
      </w:r>
      <w:proofErr w:type="spellStart"/>
      <w:proofErr w:type="gramEnd"/>
      <w:r>
        <w:t>ri</w:t>
      </w:r>
      <w:proofErr w:type="spellEnd"/>
      <w:r>
        <w:t xml:space="preserve">) + m + </w:t>
      </w:r>
      <w:proofErr w:type="spellStart"/>
      <w:r>
        <w:t>ei</w:t>
      </w:r>
      <w:proofErr w:type="spellEnd"/>
    </w:p>
    <w:p w:rsidR="00463DE5" w:rsidRDefault="00463DE5">
      <w:r>
        <w:t xml:space="preserve">The mean for macro-economic factors will 0 out over time, and the std. dev. Is </w:t>
      </w:r>
      <w:proofErr w:type="spellStart"/>
      <w:r>
        <w:t>sigm</w:t>
      </w:r>
      <w:proofErr w:type="spellEnd"/>
      <w:r w:rsidR="00360ED3">
        <w:t xml:space="preserve">. M and </w:t>
      </w:r>
      <w:proofErr w:type="spellStart"/>
      <w:r w:rsidR="00360ED3">
        <w:t>ei</w:t>
      </w:r>
      <w:proofErr w:type="spellEnd"/>
      <w:r w:rsidR="00360ED3">
        <w:t xml:space="preserve"> are un-correlated. </w:t>
      </w:r>
      <w:proofErr w:type="gramStart"/>
      <w:r w:rsidR="00360ED3">
        <w:t>m</w:t>
      </w:r>
      <w:proofErr w:type="gramEnd"/>
      <w:r w:rsidR="00360ED3">
        <w:t xml:space="preserve"> is known as systematic factor and </w:t>
      </w:r>
      <w:proofErr w:type="spellStart"/>
      <w:r w:rsidR="00360ED3">
        <w:t>ei</w:t>
      </w:r>
      <w:proofErr w:type="spellEnd"/>
      <w:r w:rsidR="00360ED3">
        <w:t xml:space="preserve"> is known as unsystematic factor. Therefore, variance of </w:t>
      </w:r>
      <w:proofErr w:type="spellStart"/>
      <w:proofErr w:type="gramStart"/>
      <w:r w:rsidR="00360ED3">
        <w:t>ri</w:t>
      </w:r>
      <w:proofErr w:type="spellEnd"/>
      <w:proofErr w:type="gramEnd"/>
      <w:r w:rsidR="00360ED3">
        <w:t xml:space="preserve"> is nothing but a sum of variances of systematic and unsystematic factors. </w:t>
      </w:r>
    </w:p>
    <w:p w:rsidR="00360ED3" w:rsidRDefault="00360ED3">
      <w:r>
        <w:t xml:space="preserve">Covariance is going to arrive from the uncertain part of the equation, that is, </w:t>
      </w:r>
      <w:proofErr w:type="spellStart"/>
      <w:r>
        <w:t>m+ei</w:t>
      </w:r>
      <w:proofErr w:type="spellEnd"/>
      <w:r>
        <w:t xml:space="preserve"> for </w:t>
      </w:r>
      <w:proofErr w:type="spellStart"/>
      <w:r>
        <w:t>ith</w:t>
      </w:r>
      <w:proofErr w:type="spellEnd"/>
      <w:r>
        <w:t xml:space="preserve"> security and </w:t>
      </w:r>
      <w:proofErr w:type="spellStart"/>
      <w:r>
        <w:t>m+ej</w:t>
      </w:r>
      <w:proofErr w:type="spellEnd"/>
      <w:r>
        <w:t xml:space="preserve"> for </w:t>
      </w:r>
      <w:proofErr w:type="spellStart"/>
      <w:r>
        <w:t>jth</w:t>
      </w:r>
      <w:proofErr w:type="spellEnd"/>
      <w:r>
        <w:t xml:space="preserve"> security. Since e’s are uncorrelated, we have </w:t>
      </w:r>
      <w:proofErr w:type="spellStart"/>
      <w:proofErr w:type="gramStart"/>
      <w:r>
        <w:t>cov</w:t>
      </w:r>
      <w:proofErr w:type="spellEnd"/>
      <w:r>
        <w:t>(</w:t>
      </w:r>
      <w:proofErr w:type="spellStart"/>
      <w:proofErr w:type="gramEnd"/>
      <w:r>
        <w:t>I,j</w:t>
      </w:r>
      <w:proofErr w:type="spellEnd"/>
      <w:r>
        <w:t xml:space="preserve">) = </w:t>
      </w:r>
      <w:proofErr w:type="spellStart"/>
      <w:r>
        <w:t>sigm</w:t>
      </w:r>
      <w:proofErr w:type="spellEnd"/>
      <w:r>
        <w:t xml:space="preserve"> = variance of macro-economic factor.</w:t>
      </w:r>
    </w:p>
    <w:p w:rsidR="00360ED3" w:rsidRDefault="00360ED3">
      <w:r>
        <w:t xml:space="preserve">Beta is the sensitivity co-efficient. Therefore </w:t>
      </w:r>
      <w:proofErr w:type="spellStart"/>
      <w:r>
        <w:t>ri</w:t>
      </w:r>
      <w:proofErr w:type="spellEnd"/>
      <w:r>
        <w:t xml:space="preserve"> = </w:t>
      </w:r>
      <w:proofErr w:type="gramStart"/>
      <w:r>
        <w:t>E(</w:t>
      </w:r>
      <w:proofErr w:type="spellStart"/>
      <w:proofErr w:type="gramEnd"/>
      <w:r>
        <w:t>ri</w:t>
      </w:r>
      <w:proofErr w:type="spellEnd"/>
      <w:r>
        <w:t>) + beta(</w:t>
      </w:r>
      <w:proofErr w:type="spellStart"/>
      <w:r>
        <w:t>i</w:t>
      </w:r>
      <w:proofErr w:type="spellEnd"/>
      <w:r>
        <w:t xml:space="preserve">)m + </w:t>
      </w:r>
      <w:proofErr w:type="spellStart"/>
      <w:r>
        <w:t>ei</w:t>
      </w:r>
      <w:proofErr w:type="spellEnd"/>
      <w:r>
        <w:t xml:space="preserve">. This is the </w:t>
      </w:r>
      <w:r w:rsidRPr="006E2856">
        <w:rPr>
          <w:b/>
        </w:rPr>
        <w:t>single factor model</w:t>
      </w:r>
      <w:r>
        <w:t xml:space="preserve">. For variance of </w:t>
      </w:r>
      <w:proofErr w:type="spellStart"/>
      <w:r>
        <w:t>ith</w:t>
      </w:r>
      <w:proofErr w:type="spellEnd"/>
      <w:r>
        <w:t xml:space="preserve"> security, we have </w:t>
      </w:r>
      <w:proofErr w:type="spellStart"/>
      <w:proofErr w:type="gramStart"/>
      <w:r>
        <w:t>var</w:t>
      </w:r>
      <w:proofErr w:type="spellEnd"/>
      <w:r>
        <w:t>(</w:t>
      </w:r>
      <w:proofErr w:type="spellStart"/>
      <w:proofErr w:type="gramEnd"/>
      <w:r>
        <w:t>i</w:t>
      </w:r>
      <w:proofErr w:type="spellEnd"/>
      <w:r>
        <w:t>) = beta(</w:t>
      </w:r>
      <w:proofErr w:type="spellStart"/>
      <w:r>
        <w:t>i</w:t>
      </w:r>
      <w:proofErr w:type="spellEnd"/>
      <w:r>
        <w:t xml:space="preserve">)^2 * </w:t>
      </w:r>
      <w:proofErr w:type="spellStart"/>
      <w:r>
        <w:t>var</w:t>
      </w:r>
      <w:proofErr w:type="spellEnd"/>
      <w:r>
        <w:t xml:space="preserve">(m) + </w:t>
      </w:r>
      <w:proofErr w:type="spellStart"/>
      <w:r>
        <w:t>var</w:t>
      </w:r>
      <w:proofErr w:type="spellEnd"/>
      <w:r>
        <w:t>(</w:t>
      </w:r>
      <w:proofErr w:type="spellStart"/>
      <w:r>
        <w:t>ei</w:t>
      </w:r>
      <w:proofErr w:type="spellEnd"/>
      <w:r>
        <w:t xml:space="preserve">). </w:t>
      </w:r>
      <w:proofErr w:type="spellStart"/>
      <w:proofErr w:type="gramStart"/>
      <w:r>
        <w:t>Var</w:t>
      </w:r>
      <w:proofErr w:type="spellEnd"/>
      <w:r>
        <w:t>(</w:t>
      </w:r>
      <w:proofErr w:type="spellStart"/>
      <w:proofErr w:type="gramEnd"/>
      <w:r>
        <w:t>ei</w:t>
      </w:r>
      <w:proofErr w:type="spellEnd"/>
      <w:r>
        <w:t>) is known as residual</w:t>
      </w:r>
      <w:r w:rsidR="00B90B40">
        <w:t xml:space="preserve"> variance or firm specific risk.</w:t>
      </w:r>
      <w:r w:rsidR="00DD13B4">
        <w:t xml:space="preserve"> Therefore </w:t>
      </w:r>
      <w:proofErr w:type="spellStart"/>
      <w:proofErr w:type="gramStart"/>
      <w:r w:rsidR="00DD13B4">
        <w:t>cov</w:t>
      </w:r>
      <w:proofErr w:type="spellEnd"/>
      <w:r w:rsidR="00DD13B4">
        <w:t>(</w:t>
      </w:r>
      <w:proofErr w:type="spellStart"/>
      <w:proofErr w:type="gramEnd"/>
      <w:r w:rsidR="00DD13B4">
        <w:t>i,j</w:t>
      </w:r>
      <w:proofErr w:type="spellEnd"/>
      <w:r w:rsidR="00DD13B4">
        <w:t>) will be beta(</w:t>
      </w:r>
      <w:proofErr w:type="spellStart"/>
      <w:r w:rsidR="00DD13B4">
        <w:t>i</w:t>
      </w:r>
      <w:proofErr w:type="spellEnd"/>
      <w:r w:rsidR="00DD13B4">
        <w:t xml:space="preserve">) * beta(j) * </w:t>
      </w:r>
      <w:proofErr w:type="spellStart"/>
      <w:r w:rsidR="00DD13B4">
        <w:t>var</w:t>
      </w:r>
      <w:proofErr w:type="spellEnd"/>
      <w:r w:rsidR="00DD13B4">
        <w:t>(m)</w:t>
      </w:r>
      <w:r w:rsidR="00BE62AF">
        <w:t xml:space="preserve">. </w:t>
      </w:r>
    </w:p>
    <w:p w:rsidR="00BE62AF" w:rsidRDefault="00BE62AF">
      <w:r>
        <w:t>Giving a contextual name to our macro-economic factor, we have, m as SnP500, which is a market index being used as a proxy.</w:t>
      </w:r>
      <w:r w:rsidR="004C541F">
        <w:t xml:space="preserve"> </w:t>
      </w:r>
    </w:p>
    <w:p w:rsidR="004C541F" w:rsidRDefault="004C541F">
      <w:r>
        <w:t>The single index model is simply arrived at by regressing excess market returns on excess security returns.</w:t>
      </w:r>
      <w:r w:rsidR="006E2856">
        <w:t xml:space="preserve"> Therefore, </w:t>
      </w:r>
      <w:proofErr w:type="gramStart"/>
      <w:r w:rsidR="006E2856">
        <w:t>E(</w:t>
      </w:r>
      <w:proofErr w:type="spellStart"/>
      <w:proofErr w:type="gramEnd"/>
      <w:r w:rsidR="006E2856">
        <w:t>ri</w:t>
      </w:r>
      <w:proofErr w:type="spellEnd"/>
      <w:r w:rsidR="006E2856">
        <w:t xml:space="preserve">) – </w:t>
      </w:r>
      <w:proofErr w:type="spellStart"/>
      <w:r w:rsidR="006E2856">
        <w:t>rf</w:t>
      </w:r>
      <w:proofErr w:type="spellEnd"/>
      <w:r w:rsidR="006E2856">
        <w:t xml:space="preserve"> = </w:t>
      </w:r>
      <w:proofErr w:type="spellStart"/>
      <w:r w:rsidR="006E2856">
        <w:t>Ri</w:t>
      </w:r>
      <w:proofErr w:type="spellEnd"/>
      <w:r w:rsidR="006E2856">
        <w:t>, and for our market, it would be E(</w:t>
      </w:r>
      <w:proofErr w:type="spellStart"/>
      <w:r w:rsidR="006E2856">
        <w:t>rm</w:t>
      </w:r>
      <w:proofErr w:type="spellEnd"/>
      <w:r w:rsidR="006E2856">
        <w:t xml:space="preserve">) – </w:t>
      </w:r>
      <w:proofErr w:type="spellStart"/>
      <w:r w:rsidR="006E2856">
        <w:t>rf</w:t>
      </w:r>
      <w:proofErr w:type="spellEnd"/>
      <w:r w:rsidR="006E2856">
        <w:t xml:space="preserve"> = Rm</w:t>
      </w:r>
    </w:p>
    <w:p w:rsidR="009804D5" w:rsidRDefault="009804D5">
      <w:r>
        <w:t xml:space="preserve">Single index model at time period t would be, </w:t>
      </w:r>
      <w:proofErr w:type="gramStart"/>
      <w:r>
        <w:t>R(</w:t>
      </w:r>
      <w:proofErr w:type="gramEnd"/>
      <w:r>
        <w:t>I at t) = alpha(</w:t>
      </w:r>
      <w:proofErr w:type="spellStart"/>
      <w:r>
        <w:t>i</w:t>
      </w:r>
      <w:proofErr w:type="spellEnd"/>
      <w:r>
        <w:t>) + b(</w:t>
      </w:r>
      <w:proofErr w:type="spellStart"/>
      <w:r>
        <w:t>i</w:t>
      </w:r>
      <w:proofErr w:type="spellEnd"/>
      <w:r>
        <w:t>) * Rm at t+ e(it), where the alpha is our intercept, the slope is beta, and e(it) is the error</w:t>
      </w:r>
      <w:r w:rsidR="00155953">
        <w:t>. Alpha gives excess returns when market return is 0.</w:t>
      </w:r>
      <w:r w:rsidR="008407BF">
        <w:t xml:space="preserve"> Beta gives us the sensitivity coefficient</w:t>
      </w:r>
      <w:r w:rsidR="00401ED4">
        <w:t xml:space="preserve"> while measuring the systematic part of the risk</w:t>
      </w:r>
      <w:r w:rsidR="008407BF">
        <w:t>.</w:t>
      </w:r>
      <w:r w:rsidR="00E452DE">
        <w:t xml:space="preserve"> The error term represents the firm specific surprise element.</w:t>
      </w:r>
    </w:p>
    <w:p w:rsidR="00B622FB" w:rsidRDefault="00B622FB"/>
    <w:p w:rsidR="00B622FB" w:rsidRDefault="00B622FB">
      <w:pPr>
        <w:rPr>
          <w:b/>
        </w:rPr>
      </w:pPr>
      <w:r>
        <w:rPr>
          <w:b/>
        </w:rPr>
        <w:t>Steps:</w:t>
      </w:r>
    </w:p>
    <w:p w:rsidR="00B622FB" w:rsidRDefault="00B622FB">
      <w:r>
        <w:t>The following steps were performed for single index model.</w:t>
      </w:r>
    </w:p>
    <w:p w:rsidR="00B622FB" w:rsidRDefault="00B622FB">
      <w:r>
        <w:t>1. Fetch the data for IBM and Snp500 for 5 years (2012-2017) from yahoo finance</w:t>
      </w:r>
    </w:p>
    <w:p w:rsidR="00B622FB" w:rsidRDefault="00B622FB">
      <w:r>
        <w:t>2. Calculate the daily returns</w:t>
      </w:r>
    </w:p>
    <w:p w:rsidR="00B622FB" w:rsidRDefault="00B622FB">
      <w:r>
        <w:t>3. Calculate the monthly returns</w:t>
      </w:r>
    </w:p>
    <w:p w:rsidR="00181A2F" w:rsidRDefault="00181A2F">
      <w:r>
        <w:t>4. Calculate the excess returns (here, assume the risk free rate of return to be any arbitrary number. I have considered it to be 0.044)</w:t>
      </w:r>
    </w:p>
    <w:p w:rsidR="00B622FB" w:rsidRDefault="00181A2F">
      <w:r>
        <w:lastRenderedPageBreak/>
        <w:t>5</w:t>
      </w:r>
      <w:r w:rsidR="00B622FB">
        <w:t>. Regress the values</w:t>
      </w:r>
      <w:r>
        <w:t xml:space="preserve"> obtained from 4</w:t>
      </w:r>
    </w:p>
    <w:p w:rsidR="00B622FB" w:rsidRDefault="00B622FB"/>
    <w:p w:rsidR="00B622FB" w:rsidRDefault="009B26F0">
      <w:pPr>
        <w:rPr>
          <w:b/>
        </w:rPr>
      </w:pPr>
      <w:r>
        <w:rPr>
          <w:b/>
        </w:rPr>
        <w:t>Explanation</w:t>
      </w:r>
      <w:r w:rsidR="00B622FB">
        <w:rPr>
          <w:b/>
        </w:rPr>
        <w:t>:</w:t>
      </w:r>
    </w:p>
    <w:tbl>
      <w:tblPr>
        <w:tblW w:w="3376" w:type="dxa"/>
        <w:tblLook w:val="04A0" w:firstRow="1" w:lastRow="0" w:firstColumn="1" w:lastColumn="0" w:noHBand="0" w:noVBand="1"/>
      </w:tblPr>
      <w:tblGrid>
        <w:gridCol w:w="1785"/>
        <w:gridCol w:w="1676"/>
      </w:tblGrid>
      <w:tr w:rsidR="008755EB" w:rsidRPr="008755EB" w:rsidTr="008755EB">
        <w:trPr>
          <w:trHeight w:val="300"/>
        </w:trPr>
        <w:tc>
          <w:tcPr>
            <w:tcW w:w="3376" w:type="dxa"/>
            <w:gridSpan w:val="2"/>
            <w:tcBorders>
              <w:top w:val="single" w:sz="8" w:space="0" w:color="auto"/>
              <w:left w:val="nil"/>
              <w:bottom w:val="single" w:sz="4" w:space="0" w:color="auto"/>
              <w:right w:val="nil"/>
            </w:tcBorders>
            <w:shd w:val="clear" w:color="auto" w:fill="auto"/>
            <w:noWrap/>
            <w:vAlign w:val="bottom"/>
            <w:hideMark/>
          </w:tcPr>
          <w:p w:rsidR="008755EB" w:rsidRPr="008755EB" w:rsidRDefault="008755EB" w:rsidP="008755EB">
            <w:pPr>
              <w:spacing w:after="0" w:line="240" w:lineRule="auto"/>
              <w:jc w:val="center"/>
              <w:rPr>
                <w:rFonts w:ascii="Calibri" w:eastAsia="Times New Roman" w:hAnsi="Calibri" w:cs="Calibri"/>
                <w:i/>
                <w:iCs/>
                <w:color w:val="000000"/>
                <w:lang w:eastAsia="en-IN"/>
              </w:rPr>
            </w:pPr>
            <w:r w:rsidRPr="008755EB">
              <w:rPr>
                <w:rFonts w:ascii="Calibri" w:eastAsia="Times New Roman" w:hAnsi="Calibri" w:cs="Calibri"/>
                <w:i/>
                <w:iCs/>
                <w:color w:val="000000"/>
                <w:lang w:eastAsia="en-IN"/>
              </w:rPr>
              <w:t>Regression Statistics</w:t>
            </w:r>
          </w:p>
        </w:tc>
      </w:tr>
      <w:tr w:rsidR="008755EB" w:rsidRPr="008755EB" w:rsidTr="008755EB">
        <w:trPr>
          <w:trHeight w:val="300"/>
        </w:trPr>
        <w:tc>
          <w:tcPr>
            <w:tcW w:w="1785" w:type="dxa"/>
            <w:tcBorders>
              <w:top w:val="nil"/>
              <w:left w:val="nil"/>
              <w:bottom w:val="nil"/>
              <w:right w:val="nil"/>
            </w:tcBorders>
            <w:shd w:val="clear" w:color="auto" w:fill="auto"/>
            <w:noWrap/>
            <w:vAlign w:val="bottom"/>
            <w:hideMark/>
          </w:tcPr>
          <w:p w:rsidR="008755EB" w:rsidRPr="008755EB" w:rsidRDefault="008755EB" w:rsidP="008755EB">
            <w:pPr>
              <w:spacing w:after="0" w:line="240" w:lineRule="auto"/>
              <w:rPr>
                <w:rFonts w:ascii="Calibri" w:eastAsia="Times New Roman" w:hAnsi="Calibri" w:cs="Calibri"/>
                <w:color w:val="000000"/>
                <w:lang w:eastAsia="en-IN"/>
              </w:rPr>
            </w:pPr>
            <w:r w:rsidRPr="008755EB">
              <w:rPr>
                <w:rFonts w:ascii="Calibri" w:eastAsia="Times New Roman" w:hAnsi="Calibri" w:cs="Calibri"/>
                <w:color w:val="000000"/>
                <w:lang w:eastAsia="en-IN"/>
              </w:rPr>
              <w:t>Multiple R</w:t>
            </w:r>
          </w:p>
        </w:tc>
        <w:tc>
          <w:tcPr>
            <w:tcW w:w="1591" w:type="dxa"/>
            <w:tcBorders>
              <w:top w:val="nil"/>
              <w:left w:val="nil"/>
              <w:bottom w:val="nil"/>
              <w:right w:val="nil"/>
            </w:tcBorders>
            <w:shd w:val="clear" w:color="auto" w:fill="auto"/>
            <w:noWrap/>
            <w:vAlign w:val="bottom"/>
            <w:hideMark/>
          </w:tcPr>
          <w:p w:rsidR="008755EB" w:rsidRPr="008755EB" w:rsidRDefault="008755EB" w:rsidP="008755EB">
            <w:pPr>
              <w:spacing w:after="0" w:line="240" w:lineRule="auto"/>
              <w:rPr>
                <w:rFonts w:ascii="Calibri" w:eastAsia="Times New Roman" w:hAnsi="Calibri" w:cs="Calibri"/>
                <w:color w:val="000000"/>
                <w:lang w:eastAsia="en-IN"/>
              </w:rPr>
            </w:pPr>
          </w:p>
          <w:tbl>
            <w:tblPr>
              <w:tblW w:w="0" w:type="auto"/>
              <w:tblCellSpacing w:w="0" w:type="dxa"/>
              <w:tblCellMar>
                <w:left w:w="0" w:type="dxa"/>
                <w:right w:w="0" w:type="dxa"/>
              </w:tblCellMar>
              <w:tblLook w:val="04A0" w:firstRow="1" w:lastRow="0" w:firstColumn="1" w:lastColumn="0" w:noHBand="0" w:noVBand="1"/>
            </w:tblPr>
            <w:tblGrid>
              <w:gridCol w:w="1460"/>
            </w:tblGrid>
            <w:tr w:rsidR="008755EB" w:rsidRPr="008755EB">
              <w:trPr>
                <w:trHeight w:val="300"/>
                <w:tblCellSpacing w:w="0" w:type="dxa"/>
              </w:trPr>
              <w:tc>
                <w:tcPr>
                  <w:tcW w:w="1460" w:type="dxa"/>
                  <w:tcBorders>
                    <w:top w:val="nil"/>
                    <w:left w:val="nil"/>
                    <w:bottom w:val="nil"/>
                    <w:right w:val="nil"/>
                  </w:tcBorders>
                  <w:shd w:val="clear" w:color="auto" w:fill="auto"/>
                  <w:noWrap/>
                  <w:vAlign w:val="bottom"/>
                  <w:hideMark/>
                </w:tcPr>
                <w:p w:rsidR="008755EB" w:rsidRPr="008755EB" w:rsidRDefault="008755EB" w:rsidP="008755EB">
                  <w:pPr>
                    <w:spacing w:after="0" w:line="240" w:lineRule="auto"/>
                    <w:jc w:val="right"/>
                    <w:rPr>
                      <w:rFonts w:ascii="Calibri" w:eastAsia="Times New Roman" w:hAnsi="Calibri" w:cs="Calibri"/>
                      <w:color w:val="000000"/>
                      <w:lang w:eastAsia="en-IN"/>
                    </w:rPr>
                  </w:pPr>
                  <w:r w:rsidRPr="008755EB">
                    <w:rPr>
                      <w:rFonts w:ascii="Calibri" w:eastAsia="Times New Roman" w:hAnsi="Calibri" w:cs="Calibri"/>
                      <w:color w:val="000000"/>
                      <w:lang w:eastAsia="en-IN"/>
                    </w:rPr>
                    <w:t>0.549175558</w:t>
                  </w:r>
                </w:p>
              </w:tc>
            </w:tr>
          </w:tbl>
          <w:p w:rsidR="008755EB" w:rsidRPr="008755EB" w:rsidRDefault="008755EB" w:rsidP="008755EB">
            <w:pPr>
              <w:spacing w:after="0" w:line="240" w:lineRule="auto"/>
              <w:rPr>
                <w:rFonts w:ascii="Calibri" w:eastAsia="Times New Roman" w:hAnsi="Calibri" w:cs="Calibri"/>
                <w:color w:val="000000"/>
                <w:lang w:eastAsia="en-IN"/>
              </w:rPr>
            </w:pPr>
          </w:p>
        </w:tc>
      </w:tr>
      <w:tr w:rsidR="008755EB" w:rsidRPr="008755EB" w:rsidTr="008755EB">
        <w:trPr>
          <w:trHeight w:val="300"/>
        </w:trPr>
        <w:tc>
          <w:tcPr>
            <w:tcW w:w="1785" w:type="dxa"/>
            <w:tcBorders>
              <w:top w:val="nil"/>
              <w:left w:val="nil"/>
              <w:bottom w:val="nil"/>
              <w:right w:val="nil"/>
            </w:tcBorders>
            <w:shd w:val="clear" w:color="000000" w:fill="FFFF00"/>
            <w:noWrap/>
            <w:vAlign w:val="bottom"/>
            <w:hideMark/>
          </w:tcPr>
          <w:p w:rsidR="008755EB" w:rsidRPr="008755EB" w:rsidRDefault="008755EB" w:rsidP="008755EB">
            <w:pPr>
              <w:spacing w:after="0" w:line="240" w:lineRule="auto"/>
              <w:rPr>
                <w:rFonts w:ascii="Calibri" w:eastAsia="Times New Roman" w:hAnsi="Calibri" w:cs="Calibri"/>
                <w:color w:val="0066FF"/>
                <w:lang w:eastAsia="en-IN"/>
              </w:rPr>
            </w:pPr>
            <w:r w:rsidRPr="008755EB">
              <w:rPr>
                <w:rFonts w:ascii="Calibri" w:eastAsia="Times New Roman" w:hAnsi="Calibri" w:cs="Calibri"/>
                <w:color w:val="0066FF"/>
                <w:lang w:eastAsia="en-IN"/>
              </w:rPr>
              <w:t>R Square</w:t>
            </w:r>
          </w:p>
        </w:tc>
        <w:tc>
          <w:tcPr>
            <w:tcW w:w="1591" w:type="dxa"/>
            <w:tcBorders>
              <w:top w:val="nil"/>
              <w:left w:val="nil"/>
              <w:bottom w:val="nil"/>
              <w:right w:val="nil"/>
            </w:tcBorders>
            <w:shd w:val="clear" w:color="000000" w:fill="FFFF00"/>
            <w:noWrap/>
            <w:vAlign w:val="bottom"/>
            <w:hideMark/>
          </w:tcPr>
          <w:p w:rsidR="008755EB" w:rsidRPr="008755EB" w:rsidRDefault="008755EB" w:rsidP="008755EB">
            <w:pPr>
              <w:spacing w:after="0" w:line="240" w:lineRule="auto"/>
              <w:jc w:val="right"/>
              <w:rPr>
                <w:rFonts w:ascii="Calibri" w:eastAsia="Times New Roman" w:hAnsi="Calibri" w:cs="Calibri"/>
                <w:color w:val="0066FF"/>
                <w:lang w:eastAsia="en-IN"/>
              </w:rPr>
            </w:pPr>
            <w:r w:rsidRPr="008755EB">
              <w:rPr>
                <w:rFonts w:ascii="Calibri" w:eastAsia="Times New Roman" w:hAnsi="Calibri" w:cs="Calibri"/>
                <w:color w:val="0066FF"/>
                <w:lang w:eastAsia="en-IN"/>
              </w:rPr>
              <w:t>0.301593794</w:t>
            </w:r>
          </w:p>
        </w:tc>
      </w:tr>
      <w:tr w:rsidR="008755EB" w:rsidRPr="008755EB" w:rsidTr="008755EB">
        <w:trPr>
          <w:trHeight w:val="300"/>
        </w:trPr>
        <w:tc>
          <w:tcPr>
            <w:tcW w:w="1785" w:type="dxa"/>
            <w:tcBorders>
              <w:top w:val="nil"/>
              <w:left w:val="nil"/>
              <w:bottom w:val="nil"/>
              <w:right w:val="nil"/>
            </w:tcBorders>
            <w:shd w:val="clear" w:color="auto" w:fill="auto"/>
            <w:noWrap/>
            <w:vAlign w:val="bottom"/>
            <w:hideMark/>
          </w:tcPr>
          <w:p w:rsidR="008755EB" w:rsidRPr="008755EB" w:rsidRDefault="008755EB" w:rsidP="008755EB">
            <w:pPr>
              <w:spacing w:after="0" w:line="240" w:lineRule="auto"/>
              <w:rPr>
                <w:rFonts w:ascii="Calibri" w:eastAsia="Times New Roman" w:hAnsi="Calibri" w:cs="Calibri"/>
                <w:color w:val="000000"/>
                <w:lang w:eastAsia="en-IN"/>
              </w:rPr>
            </w:pPr>
            <w:r w:rsidRPr="008755EB">
              <w:rPr>
                <w:rFonts w:ascii="Calibri" w:eastAsia="Times New Roman" w:hAnsi="Calibri" w:cs="Calibri"/>
                <w:color w:val="000000"/>
                <w:lang w:eastAsia="en-IN"/>
              </w:rPr>
              <w:t>Adjusted R Square</w:t>
            </w:r>
          </w:p>
        </w:tc>
        <w:tc>
          <w:tcPr>
            <w:tcW w:w="1591" w:type="dxa"/>
            <w:tcBorders>
              <w:top w:val="nil"/>
              <w:left w:val="nil"/>
              <w:bottom w:val="nil"/>
              <w:right w:val="nil"/>
            </w:tcBorders>
            <w:shd w:val="clear" w:color="auto" w:fill="auto"/>
            <w:noWrap/>
            <w:vAlign w:val="bottom"/>
            <w:hideMark/>
          </w:tcPr>
          <w:p w:rsidR="008755EB" w:rsidRPr="008755EB" w:rsidRDefault="008755EB" w:rsidP="008755EB">
            <w:pPr>
              <w:spacing w:after="0" w:line="240" w:lineRule="auto"/>
              <w:jc w:val="right"/>
              <w:rPr>
                <w:rFonts w:ascii="Calibri" w:eastAsia="Times New Roman" w:hAnsi="Calibri" w:cs="Calibri"/>
                <w:color w:val="000000"/>
                <w:lang w:eastAsia="en-IN"/>
              </w:rPr>
            </w:pPr>
            <w:r w:rsidRPr="008755EB">
              <w:rPr>
                <w:rFonts w:ascii="Calibri" w:eastAsia="Times New Roman" w:hAnsi="Calibri" w:cs="Calibri"/>
                <w:color w:val="000000"/>
                <w:lang w:eastAsia="en-IN"/>
              </w:rPr>
              <w:t>0.289552308</w:t>
            </w:r>
          </w:p>
        </w:tc>
      </w:tr>
      <w:tr w:rsidR="008755EB" w:rsidRPr="008755EB" w:rsidTr="008755EB">
        <w:trPr>
          <w:trHeight w:val="300"/>
        </w:trPr>
        <w:tc>
          <w:tcPr>
            <w:tcW w:w="1785" w:type="dxa"/>
            <w:tcBorders>
              <w:top w:val="nil"/>
              <w:left w:val="nil"/>
              <w:bottom w:val="nil"/>
              <w:right w:val="nil"/>
            </w:tcBorders>
            <w:shd w:val="clear" w:color="000000" w:fill="FFFF00"/>
            <w:noWrap/>
            <w:vAlign w:val="bottom"/>
            <w:hideMark/>
          </w:tcPr>
          <w:p w:rsidR="008755EB" w:rsidRPr="008755EB" w:rsidRDefault="008755EB" w:rsidP="008755EB">
            <w:pPr>
              <w:spacing w:after="0" w:line="240" w:lineRule="auto"/>
              <w:rPr>
                <w:rFonts w:ascii="Calibri" w:eastAsia="Times New Roman" w:hAnsi="Calibri" w:cs="Calibri"/>
                <w:color w:val="0066FF"/>
                <w:lang w:eastAsia="en-IN"/>
              </w:rPr>
            </w:pPr>
            <w:r w:rsidRPr="008755EB">
              <w:rPr>
                <w:rFonts w:ascii="Calibri" w:eastAsia="Times New Roman" w:hAnsi="Calibri" w:cs="Calibri"/>
                <w:color w:val="0066FF"/>
                <w:lang w:eastAsia="en-IN"/>
              </w:rPr>
              <w:t>Standard Error</w:t>
            </w:r>
          </w:p>
        </w:tc>
        <w:tc>
          <w:tcPr>
            <w:tcW w:w="1591" w:type="dxa"/>
            <w:tcBorders>
              <w:top w:val="nil"/>
              <w:left w:val="nil"/>
              <w:bottom w:val="nil"/>
              <w:right w:val="nil"/>
            </w:tcBorders>
            <w:shd w:val="clear" w:color="000000" w:fill="FFFF00"/>
            <w:noWrap/>
            <w:vAlign w:val="bottom"/>
            <w:hideMark/>
          </w:tcPr>
          <w:p w:rsidR="008755EB" w:rsidRPr="008755EB" w:rsidRDefault="008755EB" w:rsidP="008755EB">
            <w:pPr>
              <w:spacing w:after="0" w:line="240" w:lineRule="auto"/>
              <w:jc w:val="right"/>
              <w:rPr>
                <w:rFonts w:ascii="Calibri" w:eastAsia="Times New Roman" w:hAnsi="Calibri" w:cs="Calibri"/>
                <w:color w:val="0066FF"/>
                <w:lang w:eastAsia="en-IN"/>
              </w:rPr>
            </w:pPr>
            <w:r w:rsidRPr="008755EB">
              <w:rPr>
                <w:rFonts w:ascii="Calibri" w:eastAsia="Times New Roman" w:hAnsi="Calibri" w:cs="Calibri"/>
                <w:color w:val="0066FF"/>
                <w:lang w:eastAsia="en-IN"/>
              </w:rPr>
              <w:t>0.002042655</w:t>
            </w:r>
          </w:p>
        </w:tc>
      </w:tr>
      <w:tr w:rsidR="008755EB" w:rsidRPr="008755EB" w:rsidTr="008755EB">
        <w:trPr>
          <w:trHeight w:val="315"/>
        </w:trPr>
        <w:tc>
          <w:tcPr>
            <w:tcW w:w="1785" w:type="dxa"/>
            <w:tcBorders>
              <w:top w:val="nil"/>
              <w:left w:val="nil"/>
              <w:bottom w:val="single" w:sz="8" w:space="0" w:color="auto"/>
              <w:right w:val="nil"/>
            </w:tcBorders>
            <w:shd w:val="clear" w:color="auto" w:fill="auto"/>
            <w:noWrap/>
            <w:vAlign w:val="bottom"/>
            <w:hideMark/>
          </w:tcPr>
          <w:p w:rsidR="008755EB" w:rsidRPr="008755EB" w:rsidRDefault="008755EB" w:rsidP="008755EB">
            <w:pPr>
              <w:spacing w:after="0" w:line="240" w:lineRule="auto"/>
              <w:rPr>
                <w:rFonts w:ascii="Calibri" w:eastAsia="Times New Roman" w:hAnsi="Calibri" w:cs="Calibri"/>
                <w:color w:val="000000"/>
                <w:lang w:eastAsia="en-IN"/>
              </w:rPr>
            </w:pPr>
            <w:r w:rsidRPr="008755EB">
              <w:rPr>
                <w:rFonts w:ascii="Calibri" w:eastAsia="Times New Roman" w:hAnsi="Calibri" w:cs="Calibri"/>
                <w:color w:val="000000"/>
                <w:lang w:eastAsia="en-IN"/>
              </w:rPr>
              <w:t>Observations</w:t>
            </w:r>
          </w:p>
        </w:tc>
        <w:tc>
          <w:tcPr>
            <w:tcW w:w="1591" w:type="dxa"/>
            <w:tcBorders>
              <w:top w:val="nil"/>
              <w:left w:val="nil"/>
              <w:bottom w:val="single" w:sz="8" w:space="0" w:color="auto"/>
              <w:right w:val="nil"/>
            </w:tcBorders>
            <w:shd w:val="clear" w:color="auto" w:fill="auto"/>
            <w:noWrap/>
            <w:vAlign w:val="bottom"/>
            <w:hideMark/>
          </w:tcPr>
          <w:p w:rsidR="008755EB" w:rsidRPr="008755EB" w:rsidRDefault="008755EB" w:rsidP="008755EB">
            <w:pPr>
              <w:spacing w:after="0" w:line="240" w:lineRule="auto"/>
              <w:jc w:val="right"/>
              <w:rPr>
                <w:rFonts w:ascii="Calibri" w:eastAsia="Times New Roman" w:hAnsi="Calibri" w:cs="Calibri"/>
                <w:color w:val="000000"/>
                <w:lang w:eastAsia="en-IN"/>
              </w:rPr>
            </w:pPr>
            <w:r w:rsidRPr="008755EB">
              <w:rPr>
                <w:rFonts w:ascii="Calibri" w:eastAsia="Times New Roman" w:hAnsi="Calibri" w:cs="Calibri"/>
                <w:color w:val="000000"/>
                <w:lang w:eastAsia="en-IN"/>
              </w:rPr>
              <w:t>60</w:t>
            </w:r>
          </w:p>
        </w:tc>
      </w:tr>
    </w:tbl>
    <w:p w:rsidR="00B622FB" w:rsidRDefault="00B622FB"/>
    <w:p w:rsidR="008755EB" w:rsidRDefault="008755EB">
      <w:r>
        <w:t>Multiple R indicates that IBM tracks SnP500 fairly closely, that is, around 54% close.</w:t>
      </w:r>
    </w:p>
    <w:p w:rsidR="008755EB" w:rsidRDefault="008755EB">
      <w:r>
        <w:t>Co-efficient of determination or R-Squared tells us that 30% of variation in IBMs index is represented by SnP500</w:t>
      </w:r>
      <w:r w:rsidR="00B20135">
        <w:t>. The adjusted R is adjusting for estimates</w:t>
      </w:r>
    </w:p>
    <w:p w:rsidR="00B20135" w:rsidRDefault="00B20135">
      <w:r>
        <w:t xml:space="preserve">Standard Error is the standard deviation of the residual </w:t>
      </w:r>
      <w:r w:rsidR="001C0C14">
        <w:t>return</w:t>
      </w:r>
      <w:r w:rsidR="00181A2F">
        <w:t>.</w:t>
      </w:r>
    </w:p>
    <w:p w:rsidR="001F78EA" w:rsidRDefault="001F78EA">
      <w:r w:rsidRPr="001F78EA">
        <w:t>R</w:t>
      </w:r>
      <w:r w:rsidRPr="001F78EA">
        <w:rPr>
          <w:vertAlign w:val="superscript"/>
        </w:rPr>
        <w:t>2</w:t>
      </w:r>
      <w:r w:rsidRPr="001F78EA">
        <w:t xml:space="preserve"> = % of variability of IBM that is explained by variability in sp500. Here, it's 30%. Sharpe's rule of thumb is that the typical stock has an R</w:t>
      </w:r>
      <w:r w:rsidRPr="001F78EA">
        <w:rPr>
          <w:vertAlign w:val="superscript"/>
        </w:rPr>
        <w:t>2</w:t>
      </w:r>
      <w:r w:rsidRPr="001F78EA">
        <w:t xml:space="preserve"> of 30%</w:t>
      </w:r>
      <w:r>
        <w:t xml:space="preserve">. </w:t>
      </w:r>
      <w:r w:rsidRPr="001F78EA">
        <w:t xml:space="preserve">Estimate of </w:t>
      </w:r>
      <w:proofErr w:type="gramStart"/>
      <w:r w:rsidRPr="001F78EA">
        <w:t>SD(</w:t>
      </w:r>
      <w:proofErr w:type="gramEnd"/>
      <w:r w:rsidRPr="001F78EA">
        <w:t xml:space="preserve">e(t)). This is the typical size of </w:t>
      </w:r>
      <w:proofErr w:type="gramStart"/>
      <w:r w:rsidRPr="001F78EA">
        <w:t>e(</w:t>
      </w:r>
      <w:proofErr w:type="gramEnd"/>
      <w:r w:rsidRPr="001F78EA">
        <w:t>t).</w:t>
      </w:r>
    </w:p>
    <w:p w:rsidR="001F78EA" w:rsidRDefault="001F78EA"/>
    <w:tbl>
      <w:tblPr>
        <w:tblW w:w="3392" w:type="dxa"/>
        <w:tblLook w:val="04A0" w:firstRow="1" w:lastRow="0" w:firstColumn="1" w:lastColumn="0" w:noHBand="0" w:noVBand="1"/>
      </w:tblPr>
      <w:tblGrid>
        <w:gridCol w:w="2116"/>
        <w:gridCol w:w="1476"/>
      </w:tblGrid>
      <w:tr w:rsidR="001F78EA" w:rsidRPr="001F78EA" w:rsidTr="001F78EA">
        <w:trPr>
          <w:trHeight w:val="300"/>
        </w:trPr>
        <w:tc>
          <w:tcPr>
            <w:tcW w:w="1916" w:type="dxa"/>
            <w:tcBorders>
              <w:top w:val="single" w:sz="8" w:space="0" w:color="auto"/>
              <w:left w:val="nil"/>
              <w:bottom w:val="single" w:sz="4" w:space="0" w:color="auto"/>
              <w:right w:val="nil"/>
            </w:tcBorders>
            <w:shd w:val="clear" w:color="auto" w:fill="auto"/>
            <w:noWrap/>
            <w:vAlign w:val="bottom"/>
            <w:hideMark/>
          </w:tcPr>
          <w:p w:rsidR="001F78EA" w:rsidRPr="001F78EA" w:rsidRDefault="001F78EA" w:rsidP="001F78EA">
            <w:pPr>
              <w:spacing w:after="0" w:line="240" w:lineRule="auto"/>
              <w:jc w:val="center"/>
              <w:rPr>
                <w:rFonts w:ascii="Calibri" w:eastAsia="Times New Roman" w:hAnsi="Calibri" w:cs="Calibri"/>
                <w:i/>
                <w:iCs/>
                <w:color w:val="000000"/>
                <w:lang w:eastAsia="en-IN"/>
              </w:rPr>
            </w:pPr>
            <w:r w:rsidRPr="001F78EA">
              <w:rPr>
                <w:rFonts w:ascii="Calibri" w:eastAsia="Times New Roman" w:hAnsi="Calibri" w:cs="Calibri"/>
                <w:i/>
                <w:iCs/>
                <w:color w:val="000000"/>
                <w:lang w:eastAsia="en-IN"/>
              </w:rPr>
              <w:t> </w:t>
            </w:r>
          </w:p>
        </w:tc>
        <w:tc>
          <w:tcPr>
            <w:tcW w:w="1476" w:type="dxa"/>
            <w:tcBorders>
              <w:top w:val="single" w:sz="8" w:space="0" w:color="auto"/>
              <w:left w:val="nil"/>
              <w:bottom w:val="single" w:sz="4" w:space="0" w:color="auto"/>
              <w:right w:val="nil"/>
            </w:tcBorders>
            <w:shd w:val="clear" w:color="000000" w:fill="FFFF00"/>
            <w:noWrap/>
            <w:vAlign w:val="bottom"/>
            <w:hideMark/>
          </w:tcPr>
          <w:p w:rsidR="001F78EA" w:rsidRPr="001F78EA" w:rsidRDefault="001F78EA" w:rsidP="001F78EA">
            <w:pPr>
              <w:spacing w:after="0" w:line="240" w:lineRule="auto"/>
              <w:jc w:val="center"/>
              <w:rPr>
                <w:rFonts w:ascii="Calibri" w:eastAsia="Times New Roman" w:hAnsi="Calibri" w:cs="Calibri"/>
                <w:i/>
                <w:iCs/>
                <w:color w:val="0066FF"/>
                <w:lang w:eastAsia="en-IN"/>
              </w:rPr>
            </w:pPr>
            <w:r w:rsidRPr="001F78EA">
              <w:rPr>
                <w:rFonts w:ascii="Calibri" w:eastAsia="Times New Roman" w:hAnsi="Calibri" w:cs="Calibri"/>
                <w:i/>
                <w:iCs/>
                <w:color w:val="0066FF"/>
                <w:lang w:eastAsia="en-IN"/>
              </w:rPr>
              <w:t>Coefficients</w:t>
            </w:r>
          </w:p>
        </w:tc>
      </w:tr>
      <w:tr w:rsidR="001F78EA" w:rsidRPr="001F78EA" w:rsidTr="001F78EA">
        <w:trPr>
          <w:trHeight w:val="300"/>
        </w:trPr>
        <w:tc>
          <w:tcPr>
            <w:tcW w:w="1916" w:type="dxa"/>
            <w:tcBorders>
              <w:top w:val="nil"/>
              <w:left w:val="nil"/>
              <w:bottom w:val="nil"/>
              <w:right w:val="nil"/>
            </w:tcBorders>
            <w:shd w:val="clear" w:color="auto" w:fill="auto"/>
            <w:noWrap/>
            <w:vAlign w:val="bottom"/>
            <w:hideMark/>
          </w:tcPr>
          <w:p w:rsidR="001F78EA" w:rsidRPr="001F78EA" w:rsidRDefault="001F78EA" w:rsidP="001F78EA">
            <w:pPr>
              <w:spacing w:after="0" w:line="240" w:lineRule="auto"/>
              <w:rPr>
                <w:rFonts w:ascii="Calibri" w:eastAsia="Times New Roman" w:hAnsi="Calibri" w:cs="Calibri"/>
                <w:color w:val="000000"/>
                <w:lang w:eastAsia="en-IN"/>
              </w:rPr>
            </w:pPr>
          </w:p>
          <w:tbl>
            <w:tblPr>
              <w:tblW w:w="0" w:type="auto"/>
              <w:tblCellSpacing w:w="0" w:type="dxa"/>
              <w:tblCellMar>
                <w:left w:w="0" w:type="dxa"/>
                <w:right w:w="0" w:type="dxa"/>
              </w:tblCellMar>
              <w:tblLook w:val="04A0" w:firstRow="1" w:lastRow="0" w:firstColumn="1" w:lastColumn="0" w:noHBand="0" w:noVBand="1"/>
            </w:tblPr>
            <w:tblGrid>
              <w:gridCol w:w="1900"/>
            </w:tblGrid>
            <w:tr w:rsidR="001F78EA" w:rsidRPr="001F78EA">
              <w:trPr>
                <w:trHeight w:val="300"/>
                <w:tblCellSpacing w:w="0" w:type="dxa"/>
              </w:trPr>
              <w:tc>
                <w:tcPr>
                  <w:tcW w:w="1900" w:type="dxa"/>
                  <w:tcBorders>
                    <w:top w:val="nil"/>
                    <w:left w:val="nil"/>
                    <w:bottom w:val="nil"/>
                    <w:right w:val="nil"/>
                  </w:tcBorders>
                  <w:shd w:val="clear" w:color="auto" w:fill="auto"/>
                  <w:noWrap/>
                  <w:vAlign w:val="bottom"/>
                  <w:hideMark/>
                </w:tcPr>
                <w:p w:rsidR="001F78EA" w:rsidRPr="001F78EA" w:rsidRDefault="001F78EA" w:rsidP="001F78EA">
                  <w:pPr>
                    <w:spacing w:after="0" w:line="240" w:lineRule="auto"/>
                    <w:rPr>
                      <w:rFonts w:ascii="Calibri" w:eastAsia="Times New Roman" w:hAnsi="Calibri" w:cs="Calibri"/>
                      <w:color w:val="000000"/>
                      <w:lang w:eastAsia="en-IN"/>
                    </w:rPr>
                  </w:pPr>
                  <w:r w:rsidRPr="001F78EA">
                    <w:rPr>
                      <w:rFonts w:ascii="Calibri" w:eastAsia="Times New Roman" w:hAnsi="Calibri" w:cs="Calibri"/>
                      <w:color w:val="000000"/>
                      <w:lang w:eastAsia="en-IN"/>
                    </w:rPr>
                    <w:t>Intercept</w:t>
                  </w:r>
                </w:p>
              </w:tc>
            </w:tr>
          </w:tbl>
          <w:p w:rsidR="001F78EA" w:rsidRPr="001F78EA" w:rsidRDefault="001F78EA" w:rsidP="001F78EA">
            <w:pPr>
              <w:spacing w:after="0" w:line="240" w:lineRule="auto"/>
              <w:rPr>
                <w:rFonts w:ascii="Calibri" w:eastAsia="Times New Roman" w:hAnsi="Calibri" w:cs="Calibri"/>
                <w:color w:val="000000"/>
                <w:lang w:eastAsia="en-IN"/>
              </w:rPr>
            </w:pPr>
          </w:p>
        </w:tc>
        <w:tc>
          <w:tcPr>
            <w:tcW w:w="1476" w:type="dxa"/>
            <w:tcBorders>
              <w:top w:val="nil"/>
              <w:left w:val="nil"/>
              <w:bottom w:val="nil"/>
              <w:right w:val="nil"/>
            </w:tcBorders>
            <w:shd w:val="clear" w:color="000000" w:fill="FFFF00"/>
            <w:noWrap/>
            <w:vAlign w:val="bottom"/>
            <w:hideMark/>
          </w:tcPr>
          <w:p w:rsidR="001F78EA" w:rsidRPr="001F78EA" w:rsidRDefault="001F78EA" w:rsidP="001F78EA">
            <w:pPr>
              <w:spacing w:after="0" w:line="240" w:lineRule="auto"/>
              <w:jc w:val="right"/>
              <w:rPr>
                <w:rFonts w:ascii="Calibri" w:eastAsia="Times New Roman" w:hAnsi="Calibri" w:cs="Calibri"/>
                <w:color w:val="0066FF"/>
                <w:lang w:eastAsia="en-IN"/>
              </w:rPr>
            </w:pPr>
            <w:r w:rsidRPr="001F78EA">
              <w:rPr>
                <w:rFonts w:ascii="Calibri" w:eastAsia="Times New Roman" w:hAnsi="Calibri" w:cs="Calibri"/>
                <w:color w:val="0066FF"/>
                <w:lang w:eastAsia="en-IN"/>
              </w:rPr>
              <w:t>-0.000560651</w:t>
            </w:r>
          </w:p>
        </w:tc>
      </w:tr>
      <w:tr w:rsidR="001F78EA" w:rsidRPr="001F78EA" w:rsidTr="001F78EA">
        <w:trPr>
          <w:trHeight w:val="315"/>
        </w:trPr>
        <w:tc>
          <w:tcPr>
            <w:tcW w:w="1916" w:type="dxa"/>
            <w:tcBorders>
              <w:top w:val="nil"/>
              <w:left w:val="nil"/>
              <w:bottom w:val="single" w:sz="8" w:space="0" w:color="auto"/>
              <w:right w:val="nil"/>
            </w:tcBorders>
            <w:shd w:val="clear" w:color="auto" w:fill="auto"/>
            <w:noWrap/>
            <w:vAlign w:val="bottom"/>
            <w:hideMark/>
          </w:tcPr>
          <w:p w:rsidR="001F78EA" w:rsidRPr="001F78EA" w:rsidRDefault="001F78EA" w:rsidP="001F78EA">
            <w:pPr>
              <w:spacing w:after="0" w:line="240" w:lineRule="auto"/>
              <w:rPr>
                <w:rFonts w:ascii="Calibri" w:eastAsia="Times New Roman" w:hAnsi="Calibri" w:cs="Calibri"/>
                <w:color w:val="000000"/>
                <w:lang w:eastAsia="en-IN"/>
              </w:rPr>
            </w:pPr>
            <w:proofErr w:type="spellStart"/>
            <w:r w:rsidRPr="001F78EA">
              <w:rPr>
                <w:rFonts w:ascii="Calibri" w:eastAsia="Times New Roman" w:hAnsi="Calibri" w:cs="Calibri"/>
                <w:color w:val="000000"/>
                <w:lang w:eastAsia="en-IN"/>
              </w:rPr>
              <w:t>SnP</w:t>
            </w:r>
            <w:proofErr w:type="spellEnd"/>
          </w:p>
        </w:tc>
        <w:tc>
          <w:tcPr>
            <w:tcW w:w="1476" w:type="dxa"/>
            <w:tcBorders>
              <w:top w:val="nil"/>
              <w:left w:val="nil"/>
              <w:bottom w:val="single" w:sz="8" w:space="0" w:color="auto"/>
              <w:right w:val="nil"/>
            </w:tcBorders>
            <w:shd w:val="clear" w:color="000000" w:fill="FFFF00"/>
            <w:noWrap/>
            <w:vAlign w:val="bottom"/>
            <w:hideMark/>
          </w:tcPr>
          <w:p w:rsidR="001F78EA" w:rsidRPr="001F78EA" w:rsidRDefault="001F78EA" w:rsidP="001F78EA">
            <w:pPr>
              <w:spacing w:after="0" w:line="240" w:lineRule="auto"/>
              <w:jc w:val="right"/>
              <w:rPr>
                <w:rFonts w:ascii="Calibri" w:eastAsia="Times New Roman" w:hAnsi="Calibri" w:cs="Calibri"/>
                <w:color w:val="0066FF"/>
                <w:lang w:eastAsia="en-IN"/>
              </w:rPr>
            </w:pPr>
            <w:r w:rsidRPr="001F78EA">
              <w:rPr>
                <w:rFonts w:ascii="Calibri" w:eastAsia="Times New Roman" w:hAnsi="Calibri" w:cs="Calibri"/>
                <w:color w:val="0066FF"/>
                <w:lang w:eastAsia="en-IN"/>
              </w:rPr>
              <w:t>1.02275801</w:t>
            </w:r>
          </w:p>
        </w:tc>
      </w:tr>
    </w:tbl>
    <w:p w:rsidR="00181A2F" w:rsidRDefault="00181A2F"/>
    <w:p w:rsidR="001F78EA" w:rsidRDefault="001F78EA">
      <w:r>
        <w:t>Here the intercept is alpha and the slope is the beta</w:t>
      </w:r>
    </w:p>
    <w:tbl>
      <w:tblPr>
        <w:tblW w:w="6220" w:type="dxa"/>
        <w:tblLook w:val="04A0" w:firstRow="1" w:lastRow="0" w:firstColumn="1" w:lastColumn="0" w:noHBand="0" w:noVBand="1"/>
      </w:tblPr>
      <w:tblGrid>
        <w:gridCol w:w="1556"/>
        <w:gridCol w:w="1053"/>
        <w:gridCol w:w="976"/>
        <w:gridCol w:w="1436"/>
        <w:gridCol w:w="1387"/>
      </w:tblGrid>
      <w:tr w:rsidR="00A77A54" w:rsidRPr="00A77A54" w:rsidTr="00A77A54">
        <w:trPr>
          <w:trHeight w:val="300"/>
        </w:trPr>
        <w:tc>
          <w:tcPr>
            <w:tcW w:w="1556" w:type="dxa"/>
            <w:tcBorders>
              <w:top w:val="single" w:sz="8" w:space="0" w:color="auto"/>
              <w:left w:val="nil"/>
              <w:bottom w:val="single" w:sz="4" w:space="0" w:color="auto"/>
              <w:right w:val="nil"/>
            </w:tcBorders>
            <w:shd w:val="clear" w:color="000000" w:fill="FFFF00"/>
            <w:noWrap/>
            <w:vAlign w:val="bottom"/>
            <w:hideMark/>
          </w:tcPr>
          <w:p w:rsidR="00A77A54" w:rsidRPr="00A77A54" w:rsidRDefault="00A77A54" w:rsidP="00A77A54">
            <w:pPr>
              <w:spacing w:after="0" w:line="240" w:lineRule="auto"/>
              <w:jc w:val="center"/>
              <w:rPr>
                <w:rFonts w:ascii="Calibri" w:eastAsia="Times New Roman" w:hAnsi="Calibri" w:cs="Calibri"/>
                <w:i/>
                <w:iCs/>
                <w:color w:val="0066FF"/>
                <w:lang w:eastAsia="en-IN"/>
              </w:rPr>
            </w:pPr>
            <w:r w:rsidRPr="00A77A54">
              <w:rPr>
                <w:rFonts w:ascii="Calibri" w:eastAsia="Times New Roman" w:hAnsi="Calibri" w:cs="Calibri"/>
                <w:i/>
                <w:iCs/>
                <w:color w:val="0066FF"/>
                <w:lang w:eastAsia="en-IN"/>
              </w:rPr>
              <w:t>Standard Error</w:t>
            </w:r>
          </w:p>
        </w:tc>
        <w:tc>
          <w:tcPr>
            <w:tcW w:w="976" w:type="dxa"/>
            <w:tcBorders>
              <w:top w:val="single" w:sz="8" w:space="0" w:color="auto"/>
              <w:left w:val="nil"/>
              <w:bottom w:val="single" w:sz="4" w:space="0" w:color="auto"/>
              <w:right w:val="nil"/>
            </w:tcBorders>
            <w:shd w:val="clear" w:color="auto" w:fill="auto"/>
            <w:noWrap/>
            <w:vAlign w:val="bottom"/>
            <w:hideMark/>
          </w:tcPr>
          <w:p w:rsidR="00A77A54" w:rsidRPr="00A77A54" w:rsidRDefault="00A77A54" w:rsidP="00A77A54">
            <w:pPr>
              <w:spacing w:after="0" w:line="240" w:lineRule="auto"/>
              <w:jc w:val="center"/>
              <w:rPr>
                <w:rFonts w:ascii="Calibri" w:eastAsia="Times New Roman" w:hAnsi="Calibri" w:cs="Calibri"/>
                <w:i/>
                <w:iCs/>
                <w:color w:val="000000"/>
                <w:lang w:eastAsia="en-IN"/>
              </w:rPr>
            </w:pPr>
            <w:r w:rsidRPr="00A77A54">
              <w:rPr>
                <w:rFonts w:ascii="Calibri" w:eastAsia="Times New Roman" w:hAnsi="Calibri" w:cs="Calibri"/>
                <w:i/>
                <w:iCs/>
                <w:color w:val="000000"/>
                <w:lang w:eastAsia="en-IN"/>
              </w:rPr>
              <w:t>t Stat</w:t>
            </w:r>
          </w:p>
        </w:tc>
        <w:tc>
          <w:tcPr>
            <w:tcW w:w="976" w:type="dxa"/>
            <w:tcBorders>
              <w:top w:val="single" w:sz="8" w:space="0" w:color="auto"/>
              <w:left w:val="nil"/>
              <w:bottom w:val="single" w:sz="4" w:space="0" w:color="auto"/>
              <w:right w:val="nil"/>
            </w:tcBorders>
            <w:shd w:val="clear" w:color="auto" w:fill="auto"/>
            <w:noWrap/>
            <w:vAlign w:val="bottom"/>
            <w:hideMark/>
          </w:tcPr>
          <w:p w:rsidR="00A77A54" w:rsidRPr="00A77A54" w:rsidRDefault="00A77A54" w:rsidP="00A77A54">
            <w:pPr>
              <w:spacing w:after="0" w:line="240" w:lineRule="auto"/>
              <w:jc w:val="center"/>
              <w:rPr>
                <w:rFonts w:ascii="Calibri" w:eastAsia="Times New Roman" w:hAnsi="Calibri" w:cs="Calibri"/>
                <w:i/>
                <w:iCs/>
                <w:color w:val="000000"/>
                <w:lang w:eastAsia="en-IN"/>
              </w:rPr>
            </w:pPr>
            <w:r w:rsidRPr="00A77A54">
              <w:rPr>
                <w:rFonts w:ascii="Calibri" w:eastAsia="Times New Roman" w:hAnsi="Calibri" w:cs="Calibri"/>
                <w:i/>
                <w:iCs/>
                <w:color w:val="000000"/>
                <w:lang w:eastAsia="en-IN"/>
              </w:rPr>
              <w:t>P-value</w:t>
            </w:r>
          </w:p>
        </w:tc>
        <w:tc>
          <w:tcPr>
            <w:tcW w:w="1436" w:type="dxa"/>
            <w:tcBorders>
              <w:top w:val="single" w:sz="8" w:space="0" w:color="auto"/>
              <w:left w:val="nil"/>
              <w:bottom w:val="single" w:sz="4" w:space="0" w:color="auto"/>
              <w:right w:val="nil"/>
            </w:tcBorders>
            <w:shd w:val="clear" w:color="000000" w:fill="FFFF00"/>
            <w:noWrap/>
            <w:vAlign w:val="bottom"/>
            <w:hideMark/>
          </w:tcPr>
          <w:p w:rsidR="00A77A54" w:rsidRPr="00A77A54" w:rsidRDefault="00A77A54" w:rsidP="00A77A54">
            <w:pPr>
              <w:spacing w:after="0" w:line="240" w:lineRule="auto"/>
              <w:jc w:val="center"/>
              <w:rPr>
                <w:rFonts w:ascii="Calibri" w:eastAsia="Times New Roman" w:hAnsi="Calibri" w:cs="Calibri"/>
                <w:i/>
                <w:iCs/>
                <w:color w:val="0066FF"/>
                <w:lang w:eastAsia="en-IN"/>
              </w:rPr>
            </w:pPr>
            <w:r w:rsidRPr="00A77A54">
              <w:rPr>
                <w:rFonts w:ascii="Calibri" w:eastAsia="Times New Roman" w:hAnsi="Calibri" w:cs="Calibri"/>
                <w:i/>
                <w:iCs/>
                <w:color w:val="0066FF"/>
                <w:lang w:eastAsia="en-IN"/>
              </w:rPr>
              <w:t>Lower 95%</w:t>
            </w:r>
          </w:p>
        </w:tc>
        <w:tc>
          <w:tcPr>
            <w:tcW w:w="1276" w:type="dxa"/>
            <w:tcBorders>
              <w:top w:val="single" w:sz="8" w:space="0" w:color="auto"/>
              <w:left w:val="nil"/>
              <w:bottom w:val="single" w:sz="4" w:space="0" w:color="auto"/>
              <w:right w:val="nil"/>
            </w:tcBorders>
            <w:shd w:val="clear" w:color="000000" w:fill="FFFF00"/>
            <w:noWrap/>
            <w:vAlign w:val="bottom"/>
            <w:hideMark/>
          </w:tcPr>
          <w:p w:rsidR="00A77A54" w:rsidRPr="00A77A54" w:rsidRDefault="00A77A54" w:rsidP="00A77A54">
            <w:pPr>
              <w:spacing w:after="0" w:line="240" w:lineRule="auto"/>
              <w:jc w:val="center"/>
              <w:rPr>
                <w:rFonts w:ascii="Calibri" w:eastAsia="Times New Roman" w:hAnsi="Calibri" w:cs="Calibri"/>
                <w:i/>
                <w:iCs/>
                <w:color w:val="0066FF"/>
                <w:lang w:eastAsia="en-IN"/>
              </w:rPr>
            </w:pPr>
            <w:r w:rsidRPr="00A77A54">
              <w:rPr>
                <w:rFonts w:ascii="Calibri" w:eastAsia="Times New Roman" w:hAnsi="Calibri" w:cs="Calibri"/>
                <w:i/>
                <w:iCs/>
                <w:color w:val="0066FF"/>
                <w:lang w:eastAsia="en-IN"/>
              </w:rPr>
              <w:t>Upper 95%</w:t>
            </w:r>
          </w:p>
        </w:tc>
      </w:tr>
      <w:tr w:rsidR="00A77A54" w:rsidRPr="00A77A54" w:rsidTr="00A77A54">
        <w:trPr>
          <w:trHeight w:val="300"/>
        </w:trPr>
        <w:tc>
          <w:tcPr>
            <w:tcW w:w="1556" w:type="dxa"/>
            <w:tcBorders>
              <w:top w:val="nil"/>
              <w:left w:val="nil"/>
              <w:bottom w:val="nil"/>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0.000841636</w:t>
            </w:r>
          </w:p>
        </w:tc>
        <w:tc>
          <w:tcPr>
            <w:tcW w:w="976" w:type="dxa"/>
            <w:tcBorders>
              <w:top w:val="nil"/>
              <w:left w:val="nil"/>
              <w:bottom w:val="nil"/>
              <w:right w:val="nil"/>
            </w:tcBorders>
            <w:shd w:val="clear" w:color="auto" w:fill="auto"/>
            <w:noWrap/>
            <w:vAlign w:val="bottom"/>
            <w:hideMark/>
          </w:tcPr>
          <w:p w:rsidR="00A77A54" w:rsidRPr="00A77A54" w:rsidRDefault="00A77A54" w:rsidP="00A77A54">
            <w:pPr>
              <w:spacing w:after="0" w:line="240" w:lineRule="auto"/>
              <w:jc w:val="right"/>
              <w:rPr>
                <w:rFonts w:ascii="Calibri" w:eastAsia="Times New Roman" w:hAnsi="Calibri" w:cs="Calibri"/>
                <w:color w:val="000000"/>
                <w:lang w:eastAsia="en-IN"/>
              </w:rPr>
            </w:pPr>
            <w:r w:rsidRPr="00A77A54">
              <w:rPr>
                <w:rFonts w:ascii="Calibri" w:eastAsia="Times New Roman" w:hAnsi="Calibri" w:cs="Calibri"/>
                <w:color w:val="000000"/>
                <w:lang w:eastAsia="en-IN"/>
              </w:rPr>
              <w:t>-0.66614</w:t>
            </w:r>
          </w:p>
        </w:tc>
        <w:tc>
          <w:tcPr>
            <w:tcW w:w="976" w:type="dxa"/>
            <w:tcBorders>
              <w:top w:val="nil"/>
              <w:left w:val="nil"/>
              <w:bottom w:val="nil"/>
              <w:right w:val="nil"/>
            </w:tcBorders>
            <w:shd w:val="clear" w:color="auto" w:fill="auto"/>
            <w:noWrap/>
            <w:vAlign w:val="bottom"/>
            <w:hideMark/>
          </w:tcPr>
          <w:p w:rsidR="00A77A54" w:rsidRPr="00A77A54" w:rsidRDefault="00A77A54" w:rsidP="00A77A54">
            <w:pPr>
              <w:spacing w:after="0" w:line="240" w:lineRule="auto"/>
              <w:jc w:val="right"/>
              <w:rPr>
                <w:rFonts w:ascii="Calibri" w:eastAsia="Times New Roman" w:hAnsi="Calibri" w:cs="Calibri"/>
                <w:color w:val="000000"/>
                <w:lang w:eastAsia="en-IN"/>
              </w:rPr>
            </w:pPr>
            <w:r w:rsidRPr="00A77A54">
              <w:rPr>
                <w:rFonts w:ascii="Calibri" w:eastAsia="Times New Roman" w:hAnsi="Calibri" w:cs="Calibri"/>
                <w:color w:val="000000"/>
                <w:lang w:eastAsia="en-IN"/>
              </w:rPr>
              <w:t>0.50796</w:t>
            </w:r>
          </w:p>
        </w:tc>
        <w:tc>
          <w:tcPr>
            <w:tcW w:w="1436" w:type="dxa"/>
            <w:tcBorders>
              <w:top w:val="nil"/>
              <w:left w:val="nil"/>
              <w:bottom w:val="nil"/>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-0.002245369</w:t>
            </w:r>
          </w:p>
        </w:tc>
        <w:tc>
          <w:tcPr>
            <w:tcW w:w="1276" w:type="dxa"/>
            <w:tcBorders>
              <w:top w:val="nil"/>
              <w:left w:val="nil"/>
              <w:bottom w:val="nil"/>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0.001124067</w:t>
            </w:r>
          </w:p>
        </w:tc>
      </w:tr>
      <w:tr w:rsidR="00A77A54" w:rsidRPr="00A77A54" w:rsidTr="00A77A54">
        <w:trPr>
          <w:trHeight w:val="315"/>
        </w:trPr>
        <w:tc>
          <w:tcPr>
            <w:tcW w:w="1556" w:type="dxa"/>
            <w:tcBorders>
              <w:top w:val="nil"/>
              <w:left w:val="nil"/>
              <w:bottom w:val="single" w:sz="8" w:space="0" w:color="auto"/>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0.20436275</w:t>
            </w:r>
          </w:p>
        </w:tc>
        <w:tc>
          <w:tcPr>
            <w:tcW w:w="976" w:type="dxa"/>
            <w:tcBorders>
              <w:top w:val="nil"/>
              <w:left w:val="nil"/>
              <w:bottom w:val="single" w:sz="8" w:space="0" w:color="auto"/>
              <w:right w:val="nil"/>
            </w:tcBorders>
            <w:shd w:val="clear" w:color="auto" w:fill="auto"/>
            <w:noWrap/>
            <w:vAlign w:val="bottom"/>
            <w:hideMark/>
          </w:tcPr>
          <w:p w:rsidR="00A77A54" w:rsidRPr="00A77A54" w:rsidRDefault="00A77A54" w:rsidP="00A77A54">
            <w:pPr>
              <w:spacing w:after="0" w:line="240" w:lineRule="auto"/>
              <w:jc w:val="right"/>
              <w:rPr>
                <w:rFonts w:ascii="Calibri" w:eastAsia="Times New Roman" w:hAnsi="Calibri" w:cs="Calibri"/>
                <w:color w:val="000000"/>
                <w:lang w:eastAsia="en-IN"/>
              </w:rPr>
            </w:pPr>
            <w:r w:rsidRPr="00A77A54">
              <w:rPr>
                <w:rFonts w:ascii="Calibri" w:eastAsia="Times New Roman" w:hAnsi="Calibri" w:cs="Calibri"/>
                <w:color w:val="000000"/>
                <w:lang w:eastAsia="en-IN"/>
              </w:rPr>
              <w:t>5.004621</w:t>
            </w:r>
          </w:p>
        </w:tc>
        <w:tc>
          <w:tcPr>
            <w:tcW w:w="976" w:type="dxa"/>
            <w:tcBorders>
              <w:top w:val="nil"/>
              <w:left w:val="nil"/>
              <w:bottom w:val="single" w:sz="8" w:space="0" w:color="auto"/>
              <w:right w:val="nil"/>
            </w:tcBorders>
            <w:shd w:val="clear" w:color="auto" w:fill="auto"/>
            <w:noWrap/>
            <w:vAlign w:val="bottom"/>
            <w:hideMark/>
          </w:tcPr>
          <w:p w:rsidR="00A77A54" w:rsidRPr="00A77A54" w:rsidRDefault="00A77A54" w:rsidP="00A77A54">
            <w:pPr>
              <w:spacing w:after="0" w:line="240" w:lineRule="auto"/>
              <w:jc w:val="right"/>
              <w:rPr>
                <w:rFonts w:ascii="Calibri" w:eastAsia="Times New Roman" w:hAnsi="Calibri" w:cs="Calibri"/>
                <w:color w:val="000000"/>
                <w:lang w:eastAsia="en-IN"/>
              </w:rPr>
            </w:pPr>
            <w:r w:rsidRPr="00A77A54">
              <w:rPr>
                <w:rFonts w:ascii="Calibri" w:eastAsia="Times New Roman" w:hAnsi="Calibri" w:cs="Calibri"/>
                <w:color w:val="000000"/>
                <w:lang w:eastAsia="en-IN"/>
              </w:rPr>
              <w:t>5.53E-06</w:t>
            </w:r>
          </w:p>
        </w:tc>
        <w:tc>
          <w:tcPr>
            <w:tcW w:w="1436" w:type="dxa"/>
            <w:tcBorders>
              <w:top w:val="nil"/>
              <w:left w:val="nil"/>
              <w:bottom w:val="single" w:sz="8" w:space="0" w:color="auto"/>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0.613681521</w:t>
            </w:r>
          </w:p>
        </w:tc>
        <w:tc>
          <w:tcPr>
            <w:tcW w:w="1276" w:type="dxa"/>
            <w:tcBorders>
              <w:top w:val="nil"/>
              <w:left w:val="nil"/>
              <w:bottom w:val="single" w:sz="8" w:space="0" w:color="auto"/>
              <w:right w:val="nil"/>
            </w:tcBorders>
            <w:shd w:val="clear" w:color="000000" w:fill="FFFF00"/>
            <w:noWrap/>
            <w:vAlign w:val="bottom"/>
            <w:hideMark/>
          </w:tcPr>
          <w:p w:rsidR="00A77A54" w:rsidRPr="00A77A54" w:rsidRDefault="00A77A54" w:rsidP="00A77A54">
            <w:pPr>
              <w:spacing w:after="0" w:line="240" w:lineRule="auto"/>
              <w:jc w:val="right"/>
              <w:rPr>
                <w:rFonts w:ascii="Calibri" w:eastAsia="Times New Roman" w:hAnsi="Calibri" w:cs="Calibri"/>
                <w:color w:val="0066FF"/>
                <w:lang w:eastAsia="en-IN"/>
              </w:rPr>
            </w:pPr>
            <w:r w:rsidRPr="00A77A54">
              <w:rPr>
                <w:rFonts w:ascii="Calibri" w:eastAsia="Times New Roman" w:hAnsi="Calibri" w:cs="Calibri"/>
                <w:color w:val="0066FF"/>
                <w:lang w:eastAsia="en-IN"/>
              </w:rPr>
              <w:t>1.431834499</w:t>
            </w:r>
          </w:p>
        </w:tc>
      </w:tr>
    </w:tbl>
    <w:p w:rsidR="001F78EA" w:rsidRDefault="001F78EA"/>
    <w:p w:rsidR="00A77A54" w:rsidRDefault="00A77A54" w:rsidP="00A77A54">
      <w:r>
        <w:t xml:space="preserve">Standard Error column consists of </w:t>
      </w:r>
      <w:proofErr w:type="gramStart"/>
      <w:r w:rsidRPr="00A77A54">
        <w:t>SE(</w:t>
      </w:r>
      <w:proofErr w:type="gramEnd"/>
      <w:r w:rsidRPr="00A77A54">
        <w:t>a hat) and SE(b hat)</w:t>
      </w:r>
      <w:r>
        <w:t xml:space="preserve"> and lower and upper  </w:t>
      </w:r>
      <w:r w:rsidRPr="00A77A54">
        <w:t>95%  confidence interval = estimate +/- 2*SE</w:t>
      </w:r>
    </w:p>
    <w:p w:rsidR="00DF1B30" w:rsidRDefault="00DF1B30" w:rsidP="00A77A54"/>
    <w:p w:rsidR="00DF1B30" w:rsidRDefault="00DF1B30" w:rsidP="00A77A54"/>
    <w:p w:rsidR="00DF1B30" w:rsidRDefault="00DF1B30" w:rsidP="00A77A54"/>
    <w:p w:rsidR="00DF1B30" w:rsidRDefault="00DF1B30" w:rsidP="00A77A54"/>
    <w:p w:rsidR="00DF1B30" w:rsidRDefault="00DF1B30" w:rsidP="00A77A54"/>
    <w:p w:rsidR="00DF1B30" w:rsidRDefault="00DF1B30" w:rsidP="00A77A54"/>
    <w:tbl>
      <w:tblPr>
        <w:tblW w:w="3032" w:type="dxa"/>
        <w:tblLook w:val="04A0" w:firstRow="1" w:lastRow="0" w:firstColumn="1" w:lastColumn="0" w:noHBand="0" w:noVBand="1"/>
      </w:tblPr>
      <w:tblGrid>
        <w:gridCol w:w="1476"/>
        <w:gridCol w:w="1556"/>
      </w:tblGrid>
      <w:tr w:rsidR="00DF1B30" w:rsidRPr="00DF1B30" w:rsidTr="00DF1B30">
        <w:trPr>
          <w:trHeight w:val="300"/>
        </w:trPr>
        <w:tc>
          <w:tcPr>
            <w:tcW w:w="1476" w:type="dxa"/>
            <w:tcBorders>
              <w:top w:val="single" w:sz="8" w:space="0" w:color="auto"/>
              <w:left w:val="nil"/>
              <w:bottom w:val="single" w:sz="4" w:space="0" w:color="auto"/>
              <w:right w:val="nil"/>
            </w:tcBorders>
            <w:shd w:val="clear" w:color="auto" w:fill="auto"/>
            <w:noWrap/>
            <w:vAlign w:val="bottom"/>
            <w:hideMark/>
          </w:tcPr>
          <w:p w:rsidR="00DF1B30" w:rsidRPr="00DF1B30" w:rsidRDefault="00DF1B30" w:rsidP="00DF1B30">
            <w:pPr>
              <w:spacing w:after="0" w:line="240" w:lineRule="auto"/>
              <w:jc w:val="center"/>
              <w:rPr>
                <w:rFonts w:ascii="Calibri" w:eastAsia="Times New Roman" w:hAnsi="Calibri" w:cs="Calibri"/>
                <w:i/>
                <w:iCs/>
                <w:color w:val="000000"/>
                <w:lang w:eastAsia="en-IN"/>
              </w:rPr>
            </w:pPr>
            <w:r w:rsidRPr="00DF1B30">
              <w:rPr>
                <w:rFonts w:ascii="Calibri" w:eastAsia="Times New Roman" w:hAnsi="Calibri" w:cs="Calibri"/>
                <w:i/>
                <w:iCs/>
                <w:color w:val="000000"/>
                <w:lang w:eastAsia="en-IN"/>
              </w:rPr>
              <w:t>Predicted IBM</w:t>
            </w:r>
          </w:p>
        </w:tc>
        <w:tc>
          <w:tcPr>
            <w:tcW w:w="1556" w:type="dxa"/>
            <w:tcBorders>
              <w:top w:val="single" w:sz="8" w:space="0" w:color="auto"/>
              <w:left w:val="nil"/>
              <w:bottom w:val="single" w:sz="4" w:space="0" w:color="auto"/>
              <w:right w:val="nil"/>
            </w:tcBorders>
            <w:shd w:val="clear" w:color="auto" w:fill="auto"/>
            <w:noWrap/>
            <w:vAlign w:val="bottom"/>
            <w:hideMark/>
          </w:tcPr>
          <w:p w:rsidR="00DF1B30" w:rsidRPr="00DF1B30" w:rsidRDefault="00DF1B30" w:rsidP="00DF1B30">
            <w:pPr>
              <w:spacing w:after="0" w:line="240" w:lineRule="auto"/>
              <w:jc w:val="center"/>
              <w:rPr>
                <w:rFonts w:ascii="Calibri" w:eastAsia="Times New Roman" w:hAnsi="Calibri" w:cs="Calibri"/>
                <w:i/>
                <w:iCs/>
                <w:color w:val="000000"/>
                <w:lang w:eastAsia="en-IN"/>
              </w:rPr>
            </w:pPr>
            <w:r w:rsidRPr="00DF1B30">
              <w:rPr>
                <w:rFonts w:ascii="Calibri" w:eastAsia="Times New Roman" w:hAnsi="Calibri" w:cs="Calibri"/>
                <w:i/>
                <w:iCs/>
                <w:color w:val="000000"/>
                <w:lang w:eastAsia="en-IN"/>
              </w:rPr>
              <w:t>Residuals</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-0.003467634</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0.002351794</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-0.0060116</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-0.001343947</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-0.004875899</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-0.000577323</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-0.004674211</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0.000686165</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-0.002642914</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0.001093727</w:t>
            </w:r>
          </w:p>
        </w:tc>
      </w:tr>
      <w:tr w:rsidR="00DF1B30" w:rsidRPr="00DF1B30" w:rsidTr="00DF1B30">
        <w:trPr>
          <w:trHeight w:val="300"/>
        </w:trPr>
        <w:tc>
          <w:tcPr>
            <w:tcW w:w="147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-0.004435142</w:t>
            </w:r>
          </w:p>
        </w:tc>
        <w:tc>
          <w:tcPr>
            <w:tcW w:w="1556" w:type="dxa"/>
            <w:tcBorders>
              <w:top w:val="nil"/>
              <w:left w:val="nil"/>
              <w:bottom w:val="nil"/>
              <w:right w:val="nil"/>
            </w:tcBorders>
            <w:shd w:val="clear" w:color="auto" w:fill="auto"/>
            <w:noWrap/>
            <w:vAlign w:val="bottom"/>
            <w:hideMark/>
          </w:tcPr>
          <w:p w:rsidR="00DF1B30" w:rsidRPr="00DF1B30" w:rsidRDefault="00DF1B30" w:rsidP="00DF1B30">
            <w:pPr>
              <w:spacing w:after="0" w:line="240" w:lineRule="auto"/>
              <w:jc w:val="right"/>
              <w:rPr>
                <w:rFonts w:ascii="Calibri" w:eastAsia="Times New Roman" w:hAnsi="Calibri" w:cs="Calibri"/>
                <w:color w:val="000000"/>
                <w:lang w:eastAsia="en-IN"/>
              </w:rPr>
            </w:pPr>
            <w:r w:rsidRPr="00DF1B30">
              <w:rPr>
                <w:rFonts w:ascii="Calibri" w:eastAsia="Times New Roman" w:hAnsi="Calibri" w:cs="Calibri"/>
                <w:color w:val="000000"/>
                <w:lang w:eastAsia="en-IN"/>
              </w:rPr>
              <w:t>-0.000510617</w:t>
            </w:r>
          </w:p>
        </w:tc>
      </w:tr>
    </w:tbl>
    <w:p w:rsidR="00DF1B30" w:rsidRDefault="00DF1B30" w:rsidP="00A77A54"/>
    <w:p w:rsidR="00DF1B30" w:rsidRPr="00DF1B30" w:rsidRDefault="00DF1B30" w:rsidP="00DF1B30">
      <w:r w:rsidRPr="00DF1B30">
        <w:t>Predicted Y = predicted return = a hat + b hat*</w:t>
      </w:r>
      <w:proofErr w:type="spellStart"/>
      <w:r w:rsidRPr="00DF1B30">
        <w:t>Rm</w:t>
      </w:r>
      <w:proofErr w:type="gramStart"/>
      <w:r w:rsidRPr="00DF1B30">
        <w:t>,t</w:t>
      </w:r>
      <w:proofErr w:type="spellEnd"/>
      <w:proofErr w:type="gramEnd"/>
    </w:p>
    <w:p w:rsidR="00DF1B30" w:rsidRPr="00DF1B30" w:rsidRDefault="00DF1B30" w:rsidP="00DF1B30">
      <w:proofErr w:type="spellStart"/>
      <w:r w:rsidRPr="00DF1B30">
        <w:t>Resisual</w:t>
      </w:r>
      <w:proofErr w:type="spellEnd"/>
      <w:r w:rsidRPr="00DF1B30">
        <w:t xml:space="preserve"> = actual return - predicted return</w:t>
      </w:r>
    </w:p>
    <w:p w:rsidR="00DF1B30" w:rsidRPr="00DF1B30" w:rsidRDefault="00DF1B30" w:rsidP="00DF1B30">
      <w:r w:rsidRPr="00DF1B30">
        <w:t xml:space="preserve">             = </w:t>
      </w:r>
      <w:proofErr w:type="spellStart"/>
      <w:r w:rsidRPr="00DF1B30">
        <w:t>Ribm</w:t>
      </w:r>
      <w:proofErr w:type="gramStart"/>
      <w:r w:rsidRPr="00DF1B30">
        <w:t>,t</w:t>
      </w:r>
      <w:proofErr w:type="spellEnd"/>
      <w:proofErr w:type="gramEnd"/>
      <w:r w:rsidRPr="00DF1B30">
        <w:t xml:space="preserve"> - a hat - b hat *</w:t>
      </w:r>
      <w:proofErr w:type="spellStart"/>
      <w:r w:rsidRPr="00DF1B30">
        <w:t>Rm,t</w:t>
      </w:r>
      <w:proofErr w:type="spellEnd"/>
    </w:p>
    <w:p w:rsidR="00DF1B30" w:rsidRPr="00DF1B30" w:rsidRDefault="00DF1B30" w:rsidP="00DF1B30">
      <w:r w:rsidRPr="00DF1B30">
        <w:t xml:space="preserve">             = e hat, t</w:t>
      </w:r>
    </w:p>
    <w:p w:rsidR="00DF1B30" w:rsidRDefault="00DF1B30" w:rsidP="00A77A54"/>
    <w:p w:rsidR="00DF1B30" w:rsidRPr="00DF1B30" w:rsidRDefault="00DF1B30" w:rsidP="00A77A54">
      <w:r>
        <w:t xml:space="preserve">For </w:t>
      </w:r>
      <w:r>
        <w:rPr>
          <w:b/>
        </w:rPr>
        <w:t>expected returns</w:t>
      </w:r>
      <w:r>
        <w:t>, I’ve plotted a chart instead of substituting in a formula and finding out the answer</w:t>
      </w:r>
    </w:p>
    <w:p w:rsidR="00DF1B30" w:rsidRPr="00A77A54" w:rsidRDefault="00DF1B30" w:rsidP="00A77A54">
      <w:r>
        <w:rPr>
          <w:noProof/>
          <w:lang w:eastAsia="en-IN"/>
        </w:rPr>
        <w:drawing>
          <wp:inline distT="0" distB="0" distL="0" distR="0" wp14:anchorId="61CA9E3F" wp14:editId="0409198D">
            <wp:extent cx="4724400" cy="3676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7A54" w:rsidRDefault="00A77A54"/>
    <w:p w:rsidR="00DF1B30" w:rsidRPr="00DF1B30" w:rsidRDefault="00DF1B30" w:rsidP="00DF1B30">
      <w:r w:rsidRPr="00DF1B30">
        <w:t>Regression output is created using Tools/Data Analysis Regression. The y variable is there return on IBM and the x variable is the return on the S&amp;P500.</w:t>
      </w:r>
    </w:p>
    <w:p w:rsidR="00DF1B30" w:rsidRPr="00DF1B30" w:rsidRDefault="00DF1B30" w:rsidP="00DF1B30">
      <w:r w:rsidRPr="00DF1B30">
        <w:t xml:space="preserve">The estimated single index model </w:t>
      </w:r>
      <w:proofErr w:type="gramStart"/>
      <w:r w:rsidRPr="00DF1B30">
        <w:t xml:space="preserve">is  </w:t>
      </w:r>
      <w:proofErr w:type="spellStart"/>
      <w:r w:rsidRPr="00DF1B30">
        <w:t>Ribm</w:t>
      </w:r>
      <w:proofErr w:type="spellEnd"/>
      <w:proofErr w:type="gramEnd"/>
      <w:r w:rsidRPr="00DF1B30">
        <w:t xml:space="preserve"> = -0.00056 + 1.02275*Rsnp500</w:t>
      </w:r>
    </w:p>
    <w:p w:rsidR="00DF1B30" w:rsidRPr="00DF1B30" w:rsidRDefault="00DF1B30" w:rsidP="00DF1B30">
      <w:r w:rsidRPr="00DF1B30">
        <w:t xml:space="preserve">                                                                        (0.00084)   (0.20436)</w:t>
      </w:r>
    </w:p>
    <w:p w:rsidR="00DF1B30" w:rsidRPr="00DF1B30" w:rsidRDefault="00DF1B30" w:rsidP="00DF1B30">
      <w:proofErr w:type="gramStart"/>
      <w:r w:rsidRPr="00DF1B30">
        <w:lastRenderedPageBreak/>
        <w:t>where</w:t>
      </w:r>
      <w:proofErr w:type="gramEnd"/>
      <w:r w:rsidRPr="00DF1B30">
        <w:t xml:space="preserve"> the SE values are in parentheses beneath the estimates. The R</w:t>
      </w:r>
      <w:r w:rsidRPr="00DF1B30">
        <w:rPr>
          <w:vertAlign w:val="superscript"/>
        </w:rPr>
        <w:t>2</w:t>
      </w:r>
      <w:r w:rsidRPr="00DF1B30">
        <w:t xml:space="preserve"> of the regression is 0.30. This is illustrated by the wide scatter about the regression line. 1 - R</w:t>
      </w:r>
      <w:r w:rsidRPr="00DF1B30">
        <w:rPr>
          <w:vertAlign w:val="superscript"/>
        </w:rPr>
        <w:t>2</w:t>
      </w:r>
      <w:r w:rsidRPr="00DF1B30">
        <w:t xml:space="preserve"> = 0.70 so that 70% of IBM's return is not explained by the market. This is the percentage of diversifiable risk. The standard error of the regression (SD of </w:t>
      </w:r>
      <w:proofErr w:type="gramStart"/>
      <w:r w:rsidRPr="00DF1B30">
        <w:t>e(</w:t>
      </w:r>
      <w:proofErr w:type="gramEnd"/>
      <w:r w:rsidRPr="00DF1B30">
        <w:t xml:space="preserve">t)) is 0.0020. This is the typical distance of a dot from the regression line. </w:t>
      </w:r>
    </w:p>
    <w:p w:rsidR="00DF1B30" w:rsidRDefault="00DF1B30"/>
    <w:p w:rsidR="00C246F9" w:rsidRDefault="00C246F9" w:rsidP="00C246F9">
      <w:pPr>
        <w:rPr>
          <w:b/>
          <w:sz w:val="32"/>
          <w:szCs w:val="32"/>
        </w:rPr>
      </w:pPr>
      <w:r>
        <w:rPr>
          <w:b/>
          <w:sz w:val="32"/>
          <w:szCs w:val="32"/>
        </w:rPr>
        <w:t>Black-Scholes</w:t>
      </w:r>
      <w:r w:rsidR="005E0002">
        <w:rPr>
          <w:b/>
          <w:sz w:val="32"/>
          <w:szCs w:val="32"/>
        </w:rPr>
        <w:t>-Merton</w:t>
      </w:r>
      <w:r>
        <w:rPr>
          <w:b/>
          <w:sz w:val="32"/>
          <w:szCs w:val="32"/>
        </w:rPr>
        <w:t xml:space="preserve"> </w:t>
      </w:r>
      <w:r>
        <w:rPr>
          <w:b/>
          <w:sz w:val="32"/>
          <w:szCs w:val="32"/>
        </w:rPr>
        <w:t>Model</w:t>
      </w:r>
      <w:r w:rsidRPr="0029500C">
        <w:rPr>
          <w:b/>
          <w:sz w:val="32"/>
          <w:szCs w:val="32"/>
        </w:rPr>
        <w:t xml:space="preserve"> (</w:t>
      </w:r>
      <w:r>
        <w:rPr>
          <w:b/>
          <w:sz w:val="32"/>
          <w:szCs w:val="32"/>
        </w:rPr>
        <w:t>BSM</w:t>
      </w:r>
      <w:r w:rsidR="005E0002">
        <w:rPr>
          <w:b/>
          <w:sz w:val="32"/>
          <w:szCs w:val="32"/>
        </w:rPr>
        <w:t>M</w:t>
      </w:r>
      <w:r w:rsidRPr="0029500C">
        <w:rPr>
          <w:b/>
          <w:sz w:val="32"/>
          <w:szCs w:val="32"/>
        </w:rPr>
        <w:t>)</w:t>
      </w:r>
    </w:p>
    <w:p w:rsidR="00651DBE" w:rsidRPr="00651DBE" w:rsidRDefault="00651DBE" w:rsidP="00C246F9">
      <w:pPr>
        <w:rPr>
          <w:b/>
          <w:i/>
          <w:u w:val="single"/>
        </w:rPr>
      </w:pPr>
      <w:r w:rsidRPr="00651DBE">
        <w:rPr>
          <w:b/>
          <w:i/>
          <w:u w:val="single"/>
        </w:rPr>
        <w:t>Note to professor:</w:t>
      </w:r>
    </w:p>
    <w:p w:rsidR="00C246F9" w:rsidRDefault="00C246F9">
      <w:r>
        <w:t>There are a few estimates here. Black Scholes model speaks of underlying spot price. However, the Black Model or the Black-76 Model is similar to BSM, just that instead of using the Spot Price, one uses the Forward Price. One can derive the Spot price from the forward rate, using the given formula:</w:t>
      </w:r>
    </w:p>
    <w:p w:rsidR="00C246F9" w:rsidRDefault="00C246F9">
      <w:r>
        <w:rPr>
          <w:noProof/>
          <w:lang w:eastAsia="en-IN"/>
        </w:rPr>
        <w:drawing>
          <wp:inline distT="0" distB="0" distL="0" distR="0" wp14:anchorId="50B44C67" wp14:editId="142F15AE">
            <wp:extent cx="56197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2333625"/>
                    </a:xfrm>
                    <a:prstGeom prst="rect">
                      <a:avLst/>
                    </a:prstGeom>
                  </pic:spPr>
                </pic:pic>
              </a:graphicData>
            </a:graphic>
          </wp:inline>
        </w:drawing>
      </w:r>
    </w:p>
    <w:p w:rsidR="00C246F9" w:rsidRDefault="00C246F9">
      <w:r>
        <w:t xml:space="preserve">Here, we assume cost of carry to be 0, and that there is no dividend, therefore the </w:t>
      </w:r>
      <w:r w:rsidR="005E0002">
        <w:t>substation</w:t>
      </w:r>
      <w:r>
        <w:t xml:space="preserve"> becomes 0. Hence, our spot price becomes:</w:t>
      </w:r>
    </w:p>
    <w:p w:rsidR="00C246F9" w:rsidRDefault="00C246F9">
      <w:r>
        <w:t>S0 = F/e^(r</w:t>
      </w:r>
      <w:proofErr w:type="gramStart"/>
      <w:r>
        <w:t>)T</w:t>
      </w:r>
      <w:proofErr w:type="gramEnd"/>
    </w:p>
    <w:p w:rsidR="005E0002" w:rsidRDefault="005E0002">
      <w:r>
        <w:t>I then use this spot price to calculate call and put using BSM Model. I present the answers of this method in the alternative workbook. This was done because there was a confusion w.r.t. what would be accepted as the correct answer, and personally, I didn’t want loss of marks, therefore both of them are presented</w:t>
      </w:r>
      <w:r w:rsidR="00751DF1">
        <w:t>.</w:t>
      </w:r>
    </w:p>
    <w:p w:rsidR="00751DF1" w:rsidRDefault="00751DF1"/>
    <w:p w:rsidR="00751DF1" w:rsidRDefault="00751DF1">
      <w:pPr>
        <w:rPr>
          <w:b/>
        </w:rPr>
      </w:pPr>
      <w:r>
        <w:rPr>
          <w:b/>
        </w:rPr>
        <w:t>Theory:</w:t>
      </w:r>
    </w:p>
    <w:p w:rsidR="00751DF1" w:rsidRDefault="008B4C20" w:rsidP="008B4C20">
      <w:r>
        <w:t>The Black-Scholes/Merton approach compensates for the main li</w:t>
      </w:r>
      <w:r>
        <w:t xml:space="preserve">mitation of the binomial model: </w:t>
      </w:r>
      <w:r>
        <w:t>its relatively slow calculation speed. To calculate a thousand n</w:t>
      </w:r>
      <w:r>
        <w:t xml:space="preserve">ode points is unwieldy with the </w:t>
      </w:r>
      <w:r>
        <w:t>binomial model—but the Black-Scholes model can give a result in a s</w:t>
      </w:r>
      <w:r>
        <w:t xml:space="preserve">econd. As we will see, however, </w:t>
      </w:r>
      <w:r>
        <w:t>the Black-Scholes model has another limitation: it works primarily for</w:t>
      </w:r>
      <w:r>
        <w:t xml:space="preserve"> European call and put options, </w:t>
      </w:r>
      <w:r>
        <w:t>with limited use for American calls and none at all for American puts.</w:t>
      </w:r>
    </w:p>
    <w:p w:rsidR="008B4C20" w:rsidRDefault="008B4C20" w:rsidP="008B4C20"/>
    <w:p w:rsidR="008B4C20" w:rsidRDefault="008B4C20" w:rsidP="008B4C20"/>
    <w:p w:rsidR="008B4C20" w:rsidRDefault="008B4C20" w:rsidP="008B4C20">
      <w:r>
        <w:rPr>
          <w:noProof/>
          <w:lang w:eastAsia="en-IN"/>
        </w:rPr>
        <w:lastRenderedPageBreak/>
        <w:drawing>
          <wp:inline distT="0" distB="0" distL="0" distR="0" wp14:anchorId="7D609EB8" wp14:editId="25CCB6EF">
            <wp:extent cx="56197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810000"/>
                    </a:xfrm>
                    <a:prstGeom prst="rect">
                      <a:avLst/>
                    </a:prstGeom>
                  </pic:spPr>
                </pic:pic>
              </a:graphicData>
            </a:graphic>
          </wp:inline>
        </w:drawing>
      </w:r>
    </w:p>
    <w:p w:rsidR="008B4C20" w:rsidRDefault="008B4C20" w:rsidP="008B4C20">
      <w:r>
        <w:t xml:space="preserve">Based on put-call parity, </w:t>
      </w:r>
      <w:r>
        <w:t>the Black-Scholes formula for a Europea</w:t>
      </w:r>
      <w:r>
        <w:t xml:space="preserve">n put option, P, can be derived </w:t>
      </w:r>
      <w:r>
        <w:t>from the European call formula above:</w:t>
      </w:r>
    </w:p>
    <w:p w:rsidR="008B4C20" w:rsidRPr="008B4C20" w:rsidRDefault="008B4C20" w:rsidP="008B4C20">
      <w:r>
        <w:rPr>
          <w:noProof/>
          <w:lang w:eastAsia="en-IN"/>
        </w:rPr>
        <w:drawing>
          <wp:inline distT="0" distB="0" distL="0" distR="0" wp14:anchorId="007B76C9" wp14:editId="5B213172">
            <wp:extent cx="249555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409575"/>
                    </a:xfrm>
                    <a:prstGeom prst="rect">
                      <a:avLst/>
                    </a:prstGeom>
                  </pic:spPr>
                </pic:pic>
              </a:graphicData>
            </a:graphic>
          </wp:inline>
        </w:drawing>
      </w:r>
      <w:bookmarkStart w:id="0" w:name="_GoBack"/>
      <w:bookmarkEnd w:id="0"/>
    </w:p>
    <w:sectPr w:rsidR="008B4C20" w:rsidRPr="008B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F75C7"/>
    <w:multiLevelType w:val="multilevel"/>
    <w:tmpl w:val="6D26D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89"/>
    <w:rsid w:val="00136E0F"/>
    <w:rsid w:val="00155953"/>
    <w:rsid w:val="00181A2F"/>
    <w:rsid w:val="001C0C14"/>
    <w:rsid w:val="001E6B89"/>
    <w:rsid w:val="001F78EA"/>
    <w:rsid w:val="0029500C"/>
    <w:rsid w:val="002D1598"/>
    <w:rsid w:val="00360ED3"/>
    <w:rsid w:val="00401ED4"/>
    <w:rsid w:val="00463DE5"/>
    <w:rsid w:val="004C541F"/>
    <w:rsid w:val="004F46CF"/>
    <w:rsid w:val="005E0002"/>
    <w:rsid w:val="00625793"/>
    <w:rsid w:val="00651DBE"/>
    <w:rsid w:val="006C26D6"/>
    <w:rsid w:val="006E2856"/>
    <w:rsid w:val="00751DF1"/>
    <w:rsid w:val="008407BF"/>
    <w:rsid w:val="008755EB"/>
    <w:rsid w:val="008A3E3D"/>
    <w:rsid w:val="008B4C20"/>
    <w:rsid w:val="009804D5"/>
    <w:rsid w:val="009B26F0"/>
    <w:rsid w:val="00A77A54"/>
    <w:rsid w:val="00B02B49"/>
    <w:rsid w:val="00B20135"/>
    <w:rsid w:val="00B622FB"/>
    <w:rsid w:val="00B90B40"/>
    <w:rsid w:val="00BE62AF"/>
    <w:rsid w:val="00C246F9"/>
    <w:rsid w:val="00CC6D19"/>
    <w:rsid w:val="00DD13B4"/>
    <w:rsid w:val="00DF1B30"/>
    <w:rsid w:val="00E452DE"/>
    <w:rsid w:val="00EE4888"/>
    <w:rsid w:val="00EE7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97FC3-2F02-47FD-89D8-A9B1691B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00C"/>
    <w:rPr>
      <w:color w:val="0563C1" w:themeColor="hyperlink"/>
      <w:u w:val="single"/>
    </w:rPr>
  </w:style>
  <w:style w:type="paragraph" w:styleId="NormalWeb">
    <w:name w:val="Normal (Web)"/>
    <w:basedOn w:val="Normal"/>
    <w:uiPriority w:val="99"/>
    <w:semiHidden/>
    <w:unhideWhenUsed/>
    <w:rsid w:val="001F78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1323">
      <w:bodyDiv w:val="1"/>
      <w:marLeft w:val="0"/>
      <w:marRight w:val="0"/>
      <w:marTop w:val="0"/>
      <w:marBottom w:val="0"/>
      <w:divBdr>
        <w:top w:val="none" w:sz="0" w:space="0" w:color="auto"/>
        <w:left w:val="none" w:sz="0" w:space="0" w:color="auto"/>
        <w:bottom w:val="none" w:sz="0" w:space="0" w:color="auto"/>
        <w:right w:val="none" w:sz="0" w:space="0" w:color="auto"/>
      </w:divBdr>
    </w:div>
    <w:div w:id="233198389">
      <w:bodyDiv w:val="1"/>
      <w:marLeft w:val="0"/>
      <w:marRight w:val="0"/>
      <w:marTop w:val="0"/>
      <w:marBottom w:val="0"/>
      <w:divBdr>
        <w:top w:val="none" w:sz="0" w:space="0" w:color="auto"/>
        <w:left w:val="none" w:sz="0" w:space="0" w:color="auto"/>
        <w:bottom w:val="none" w:sz="0" w:space="0" w:color="auto"/>
        <w:right w:val="none" w:sz="0" w:space="0" w:color="auto"/>
      </w:divBdr>
    </w:div>
    <w:div w:id="311716361">
      <w:bodyDiv w:val="1"/>
      <w:marLeft w:val="0"/>
      <w:marRight w:val="0"/>
      <w:marTop w:val="0"/>
      <w:marBottom w:val="0"/>
      <w:divBdr>
        <w:top w:val="none" w:sz="0" w:space="0" w:color="auto"/>
        <w:left w:val="none" w:sz="0" w:space="0" w:color="auto"/>
        <w:bottom w:val="none" w:sz="0" w:space="0" w:color="auto"/>
        <w:right w:val="none" w:sz="0" w:space="0" w:color="auto"/>
      </w:divBdr>
    </w:div>
    <w:div w:id="405734738">
      <w:bodyDiv w:val="1"/>
      <w:marLeft w:val="0"/>
      <w:marRight w:val="0"/>
      <w:marTop w:val="0"/>
      <w:marBottom w:val="0"/>
      <w:divBdr>
        <w:top w:val="none" w:sz="0" w:space="0" w:color="auto"/>
        <w:left w:val="none" w:sz="0" w:space="0" w:color="auto"/>
        <w:bottom w:val="none" w:sz="0" w:space="0" w:color="auto"/>
        <w:right w:val="none" w:sz="0" w:space="0" w:color="auto"/>
      </w:divBdr>
    </w:div>
    <w:div w:id="426581010">
      <w:bodyDiv w:val="1"/>
      <w:marLeft w:val="0"/>
      <w:marRight w:val="0"/>
      <w:marTop w:val="0"/>
      <w:marBottom w:val="0"/>
      <w:divBdr>
        <w:top w:val="none" w:sz="0" w:space="0" w:color="auto"/>
        <w:left w:val="none" w:sz="0" w:space="0" w:color="auto"/>
        <w:bottom w:val="none" w:sz="0" w:space="0" w:color="auto"/>
        <w:right w:val="none" w:sz="0" w:space="0" w:color="auto"/>
      </w:divBdr>
    </w:div>
    <w:div w:id="431900831">
      <w:bodyDiv w:val="1"/>
      <w:marLeft w:val="0"/>
      <w:marRight w:val="0"/>
      <w:marTop w:val="0"/>
      <w:marBottom w:val="0"/>
      <w:divBdr>
        <w:top w:val="none" w:sz="0" w:space="0" w:color="auto"/>
        <w:left w:val="none" w:sz="0" w:space="0" w:color="auto"/>
        <w:bottom w:val="none" w:sz="0" w:space="0" w:color="auto"/>
        <w:right w:val="none" w:sz="0" w:space="0" w:color="auto"/>
      </w:divBdr>
    </w:div>
    <w:div w:id="465465119">
      <w:bodyDiv w:val="1"/>
      <w:marLeft w:val="0"/>
      <w:marRight w:val="0"/>
      <w:marTop w:val="0"/>
      <w:marBottom w:val="0"/>
      <w:divBdr>
        <w:top w:val="none" w:sz="0" w:space="0" w:color="auto"/>
        <w:left w:val="none" w:sz="0" w:space="0" w:color="auto"/>
        <w:bottom w:val="none" w:sz="0" w:space="0" w:color="auto"/>
        <w:right w:val="none" w:sz="0" w:space="0" w:color="auto"/>
      </w:divBdr>
    </w:div>
    <w:div w:id="498430656">
      <w:bodyDiv w:val="1"/>
      <w:marLeft w:val="0"/>
      <w:marRight w:val="0"/>
      <w:marTop w:val="0"/>
      <w:marBottom w:val="0"/>
      <w:divBdr>
        <w:top w:val="none" w:sz="0" w:space="0" w:color="auto"/>
        <w:left w:val="none" w:sz="0" w:space="0" w:color="auto"/>
        <w:bottom w:val="none" w:sz="0" w:space="0" w:color="auto"/>
        <w:right w:val="none" w:sz="0" w:space="0" w:color="auto"/>
      </w:divBdr>
    </w:div>
    <w:div w:id="659357901">
      <w:bodyDiv w:val="1"/>
      <w:marLeft w:val="0"/>
      <w:marRight w:val="0"/>
      <w:marTop w:val="0"/>
      <w:marBottom w:val="0"/>
      <w:divBdr>
        <w:top w:val="none" w:sz="0" w:space="0" w:color="auto"/>
        <w:left w:val="none" w:sz="0" w:space="0" w:color="auto"/>
        <w:bottom w:val="none" w:sz="0" w:space="0" w:color="auto"/>
        <w:right w:val="none" w:sz="0" w:space="0" w:color="auto"/>
      </w:divBdr>
    </w:div>
    <w:div w:id="700009056">
      <w:bodyDiv w:val="1"/>
      <w:marLeft w:val="0"/>
      <w:marRight w:val="0"/>
      <w:marTop w:val="0"/>
      <w:marBottom w:val="0"/>
      <w:divBdr>
        <w:top w:val="none" w:sz="0" w:space="0" w:color="auto"/>
        <w:left w:val="none" w:sz="0" w:space="0" w:color="auto"/>
        <w:bottom w:val="none" w:sz="0" w:space="0" w:color="auto"/>
        <w:right w:val="none" w:sz="0" w:space="0" w:color="auto"/>
      </w:divBdr>
    </w:div>
    <w:div w:id="830414849">
      <w:bodyDiv w:val="1"/>
      <w:marLeft w:val="0"/>
      <w:marRight w:val="0"/>
      <w:marTop w:val="0"/>
      <w:marBottom w:val="0"/>
      <w:divBdr>
        <w:top w:val="none" w:sz="0" w:space="0" w:color="auto"/>
        <w:left w:val="none" w:sz="0" w:space="0" w:color="auto"/>
        <w:bottom w:val="none" w:sz="0" w:space="0" w:color="auto"/>
        <w:right w:val="none" w:sz="0" w:space="0" w:color="auto"/>
      </w:divBdr>
    </w:div>
    <w:div w:id="1784613927">
      <w:bodyDiv w:val="1"/>
      <w:marLeft w:val="0"/>
      <w:marRight w:val="0"/>
      <w:marTop w:val="0"/>
      <w:marBottom w:val="0"/>
      <w:divBdr>
        <w:top w:val="none" w:sz="0" w:space="0" w:color="auto"/>
        <w:left w:val="none" w:sz="0" w:space="0" w:color="auto"/>
        <w:bottom w:val="none" w:sz="0" w:space="0" w:color="auto"/>
        <w:right w:val="none" w:sz="0" w:space="0" w:color="auto"/>
      </w:divBdr>
    </w:div>
    <w:div w:id="18723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WQU609\WQU_6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SnP Line Fit  Plot</a:t>
            </a:r>
          </a:p>
        </c:rich>
      </c:tx>
      <c:overlay val="0"/>
    </c:title>
    <c:autoTitleDeleted val="0"/>
    <c:plotArea>
      <c:layout/>
      <c:scatterChart>
        <c:scatterStyle val="lineMarker"/>
        <c:varyColors val="0"/>
        <c:ser>
          <c:idx val="0"/>
          <c:order val="0"/>
          <c:tx>
            <c:v>IBM</c:v>
          </c:tx>
          <c:spPr>
            <a:ln w="19050">
              <a:noFill/>
            </a:ln>
          </c:spPr>
          <c:xVal>
            <c:numRef>
              <c:f>'Single Index Model - Data'!$V$3:$V$62</c:f>
              <c:numCache>
                <c:formatCode>General</c:formatCode>
                <c:ptCount val="60"/>
                <c:pt idx="0">
                  <c:v>-2.8422980713340854E-3</c:v>
                </c:pt>
                <c:pt idx="1">
                  <c:v>-5.3296567721295967E-3</c:v>
                </c:pt>
                <c:pt idx="2">
                  <c:v>-4.2192263222525237E-3</c:v>
                </c:pt>
                <c:pt idx="3">
                  <c:v>-4.0220270144700277E-3</c:v>
                </c:pt>
                <c:pt idx="4">
                  <c:v>-2.0359289087551928E-3</c:v>
                </c:pt>
                <c:pt idx="5">
                  <c:v>-3.7882769988860231E-3</c:v>
                </c:pt>
                <c:pt idx="6">
                  <c:v>-2.6201503075012531E-3</c:v>
                </c:pt>
                <c:pt idx="7">
                  <c:v>-3.5468787582700841E-3</c:v>
                </c:pt>
                <c:pt idx="8">
                  <c:v>-3.4428183009562793E-3</c:v>
                </c:pt>
                <c:pt idx="9">
                  <c:v>-5.0991846220358478E-3</c:v>
                </c:pt>
                <c:pt idx="10">
                  <c:v>-2.1942115017249968E-3</c:v>
                </c:pt>
                <c:pt idx="11">
                  <c:v>-5.8236973417766895E-3</c:v>
                </c:pt>
                <c:pt idx="12">
                  <c:v>-2.9187194842090276E-3</c:v>
                </c:pt>
                <c:pt idx="13">
                  <c:v>-2.4719384629884877E-3</c:v>
                </c:pt>
                <c:pt idx="14">
                  <c:v>-3.000750030228407E-3</c:v>
                </c:pt>
                <c:pt idx="15">
                  <c:v>-3.2733057509677773E-3</c:v>
                </c:pt>
                <c:pt idx="16">
                  <c:v>-6.0940943438982965E-3</c:v>
                </c:pt>
                <c:pt idx="17">
                  <c:v>-2.1451588734876749E-3</c:v>
                </c:pt>
                <c:pt idx="18">
                  <c:v>-4.0503886623582093E-3</c:v>
                </c:pt>
                <c:pt idx="19">
                  <c:v>-4.073033927265597E-3</c:v>
                </c:pt>
                <c:pt idx="20">
                  <c:v>-3.3957277573726861E-3</c:v>
                </c:pt>
                <c:pt idx="21">
                  <c:v>-3.4942912873573992E-3</c:v>
                </c:pt>
                <c:pt idx="22">
                  <c:v>-5.0689672137213945E-3</c:v>
                </c:pt>
                <c:pt idx="23">
                  <c:v>-2.6268548858653625E-3</c:v>
                </c:pt>
                <c:pt idx="24">
                  <c:v>-5.1273179698045407E-3</c:v>
                </c:pt>
                <c:pt idx="25">
                  <c:v>-3.3387775977083084E-3</c:v>
                </c:pt>
                <c:pt idx="26">
                  <c:v>-3.1203991767050059E-3</c:v>
                </c:pt>
                <c:pt idx="27">
                  <c:v>-4.5456645193011477E-3</c:v>
                </c:pt>
                <c:pt idx="28">
                  <c:v>-5.9209363766385657E-3</c:v>
                </c:pt>
                <c:pt idx="29">
                  <c:v>-1.5661662056346208E-3</c:v>
                </c:pt>
                <c:pt idx="30">
                  <c:v>-5.1585402581017263E-3</c:v>
                </c:pt>
                <c:pt idx="31">
                  <c:v>-3.9822728995850959E-3</c:v>
                </c:pt>
                <c:pt idx="32">
                  <c:v>-3.8560309733912633E-3</c:v>
                </c:pt>
                <c:pt idx="33">
                  <c:v>-5.3412184445267956E-3</c:v>
                </c:pt>
                <c:pt idx="34">
                  <c:v>-3.4850223329392113E-3</c:v>
                </c:pt>
                <c:pt idx="35">
                  <c:v>-7.3375734402455622E-3</c:v>
                </c:pt>
                <c:pt idx="36">
                  <c:v>-5.5792231093096875E-3</c:v>
                </c:pt>
                <c:pt idx="37">
                  <c:v>-7.3990433575829356E-4</c:v>
                </c:pt>
                <c:pt idx="38">
                  <c:v>-4.3468582655548111E-3</c:v>
                </c:pt>
                <c:pt idx="39">
                  <c:v>-5.1393075359863535E-3</c:v>
                </c:pt>
                <c:pt idx="40">
                  <c:v>-7.0268170145710209E-3</c:v>
                </c:pt>
                <c:pt idx="41">
                  <c:v>-4.5418138758324027E-3</c:v>
                </c:pt>
                <c:pt idx="42">
                  <c:v>-1.4665360911807735E-3</c:v>
                </c:pt>
                <c:pt idx="43">
                  <c:v>-4.2521557839857961E-3</c:v>
                </c:pt>
                <c:pt idx="44">
                  <c:v>-3.6521398500008631E-3</c:v>
                </c:pt>
                <c:pt idx="45">
                  <c:v>-4.2929164640890857E-3</c:v>
                </c:pt>
                <c:pt idx="46">
                  <c:v>-2.6386032099759444E-3</c:v>
                </c:pt>
                <c:pt idx="47">
                  <c:v>-4.4469789540279147E-3</c:v>
                </c:pt>
                <c:pt idx="48">
                  <c:v>-4.4187726212221905E-3</c:v>
                </c:pt>
                <c:pt idx="49">
                  <c:v>-5.3254388351906745E-3</c:v>
                </c:pt>
                <c:pt idx="50">
                  <c:v>-2.7774942933718218E-3</c:v>
                </c:pt>
                <c:pt idx="51">
                  <c:v>-3.5286421447100307E-3</c:v>
                </c:pt>
                <c:pt idx="52">
                  <c:v>-3.5053172298685951E-3</c:v>
                </c:pt>
                <c:pt idx="53">
                  <c:v>-2.4718645427679493E-3</c:v>
                </c:pt>
                <c:pt idx="54">
                  <c:v>-4.404436997484734E-3</c:v>
                </c:pt>
                <c:pt idx="55">
                  <c:v>-3.9134362519418599E-3</c:v>
                </c:pt>
                <c:pt idx="56">
                  <c:v>-3.8653144790533364E-3</c:v>
                </c:pt>
                <c:pt idx="57">
                  <c:v>-4.1715501818901431E-3</c:v>
                </c:pt>
                <c:pt idx="58">
                  <c:v>-3.4353300217908464E-3</c:v>
                </c:pt>
                <c:pt idx="59">
                  <c:v>-4.3598046134567881E-3</c:v>
                </c:pt>
              </c:numCache>
            </c:numRef>
          </c:xVal>
          <c:yVal>
            <c:numRef>
              <c:f>'Single Index Model - Data'!$U$3:$U$62</c:f>
              <c:numCache>
                <c:formatCode>General</c:formatCode>
                <c:ptCount val="60"/>
                <c:pt idx="0">
                  <c:v>-1.1158404269992206E-3</c:v>
                </c:pt>
                <c:pt idx="1">
                  <c:v>-7.355546904750607E-3</c:v>
                </c:pt>
                <c:pt idx="2">
                  <c:v>-5.4532220424963126E-3</c:v>
                </c:pt>
                <c:pt idx="3">
                  <c:v>-3.9880469615351929E-3</c:v>
                </c:pt>
                <c:pt idx="4">
                  <c:v>-1.5491866195263136E-3</c:v>
                </c:pt>
                <c:pt idx="5">
                  <c:v>-4.9457583912816874E-3</c:v>
                </c:pt>
                <c:pt idx="6">
                  <c:v>-1.3541410500812773E-3</c:v>
                </c:pt>
                <c:pt idx="7">
                  <c:v>-6.5278268107181788E-3</c:v>
                </c:pt>
                <c:pt idx="8">
                  <c:v>-3.1517701091133329E-3</c:v>
                </c:pt>
                <c:pt idx="9">
                  <c:v>-8.5698701988370721E-3</c:v>
                </c:pt>
                <c:pt idx="10">
                  <c:v>-3.4367601433848431E-3</c:v>
                </c:pt>
                <c:pt idx="11">
                  <c:v>-7.4525872953676506E-3</c:v>
                </c:pt>
                <c:pt idx="12">
                  <c:v>-3.5608118755610617E-3</c:v>
                </c:pt>
                <c:pt idx="13">
                  <c:v>-5.6721873083783077E-3</c:v>
                </c:pt>
                <c:pt idx="14">
                  <c:v>-4.2357203216036492E-3</c:v>
                </c:pt>
                <c:pt idx="15">
                  <c:v>-2.2993399549525238E-3</c:v>
                </c:pt>
                <c:pt idx="16">
                  <c:v>-7.1803613606552874E-3</c:v>
                </c:pt>
                <c:pt idx="17">
                  <c:v>-1.8942107929702289E-3</c:v>
                </c:pt>
                <c:pt idx="18">
                  <c:v>-2.4776612979577986E-3</c:v>
                </c:pt>
                <c:pt idx="19">
                  <c:v>-3.3603755735913711E-3</c:v>
                </c:pt>
                <c:pt idx="20">
                  <c:v>-7.3947036563498381E-3</c:v>
                </c:pt>
                <c:pt idx="21">
                  <c:v>-5.1873844719589612E-3</c:v>
                </c:pt>
                <c:pt idx="22">
                  <c:v>-1.8134170680874796E-3</c:v>
                </c:pt>
                <c:pt idx="23">
                  <c:v>-4.2203838894353616E-3</c:v>
                </c:pt>
                <c:pt idx="24">
                  <c:v>-4.9995909600412253E-3</c:v>
                </c:pt>
                <c:pt idx="25">
                  <c:v>-1.0466951627292456E-2</c:v>
                </c:pt>
                <c:pt idx="26">
                  <c:v>-5.1004268368588157E-3</c:v>
                </c:pt>
                <c:pt idx="27">
                  <c:v>-4.7927138293156254E-3</c:v>
                </c:pt>
                <c:pt idx="28">
                  <c:v>-6.5520970728425356E-3</c:v>
                </c:pt>
                <c:pt idx="29">
                  <c:v>-1.4638354184612606E-3</c:v>
                </c:pt>
                <c:pt idx="30">
                  <c:v>-4.7143505034285653E-3</c:v>
                </c:pt>
                <c:pt idx="31">
                  <c:v>-1.2174925405333387E-3</c:v>
                </c:pt>
                <c:pt idx="32">
                  <c:v>-4.8447015574238934E-3</c:v>
                </c:pt>
                <c:pt idx="33">
                  <c:v>-6.2820804356806667E-3</c:v>
                </c:pt>
                <c:pt idx="34">
                  <c:v>-4.4648818777381213E-3</c:v>
                </c:pt>
                <c:pt idx="35">
                  <c:v>-8.612251437450081E-3</c:v>
                </c:pt>
                <c:pt idx="36">
                  <c:v>-5.2253656599793395E-3</c:v>
                </c:pt>
                <c:pt idx="37">
                  <c:v>-5.783333184355195E-3</c:v>
                </c:pt>
                <c:pt idx="38">
                  <c:v>-4.5879937313515048E-3</c:v>
                </c:pt>
                <c:pt idx="39">
                  <c:v>-4.9292967476882374E-3</c:v>
                </c:pt>
                <c:pt idx="40">
                  <c:v>-9.417907418487791E-3</c:v>
                </c:pt>
                <c:pt idx="41">
                  <c:v>-1.761915563659202E-3</c:v>
                </c:pt>
                <c:pt idx="42">
                  <c:v>2.2585323839643349E-3</c:v>
                </c:pt>
                <c:pt idx="43">
                  <c:v>-6.0401042161899862E-3</c:v>
                </c:pt>
                <c:pt idx="44">
                  <c:v>-1.8671896325603036E-3</c:v>
                </c:pt>
                <c:pt idx="45">
                  <c:v>-4.8563348327967789E-3</c:v>
                </c:pt>
                <c:pt idx="46">
                  <c:v>-1.546459973144195E-3</c:v>
                </c:pt>
                <c:pt idx="47">
                  <c:v>-4.8559561244635764E-3</c:v>
                </c:pt>
                <c:pt idx="48">
                  <c:v>-4.3526956627305425E-3</c:v>
                </c:pt>
                <c:pt idx="49">
                  <c:v>-5.9332871412841855E-3</c:v>
                </c:pt>
                <c:pt idx="50">
                  <c:v>-1.7645399197589832E-3</c:v>
                </c:pt>
                <c:pt idx="51">
                  <c:v>-3.2694561224647207E-3</c:v>
                </c:pt>
                <c:pt idx="52">
                  <c:v>-1.8333305672209275E-3</c:v>
                </c:pt>
                <c:pt idx="53">
                  <c:v>-2.8036278353653458E-3</c:v>
                </c:pt>
                <c:pt idx="54">
                  <c:v>-5.777301733953152E-3</c:v>
                </c:pt>
                <c:pt idx="55">
                  <c:v>-8.6832959710904691E-3</c:v>
                </c:pt>
                <c:pt idx="56">
                  <c:v>-6.5849498959911525E-3</c:v>
                </c:pt>
                <c:pt idx="57">
                  <c:v>-4.0277714773283776E-3</c:v>
                </c:pt>
                <c:pt idx="58">
                  <c:v>-7.4077825169046171E-3</c:v>
                </c:pt>
                <c:pt idx="59">
                  <c:v>-4.8777306459318274E-3</c:v>
                </c:pt>
              </c:numCache>
            </c:numRef>
          </c:yVal>
          <c:smooth val="0"/>
        </c:ser>
        <c:ser>
          <c:idx val="1"/>
          <c:order val="1"/>
          <c:tx>
            <c:v>Predicted IBM</c:v>
          </c:tx>
          <c:spPr>
            <a:ln w="19050">
              <a:noFill/>
            </a:ln>
          </c:spPr>
          <c:trendline>
            <c:spPr>
              <a:ln w="25400">
                <a:solidFill>
                  <a:schemeClr val="accent6"/>
                </a:solidFill>
              </a:ln>
            </c:spPr>
            <c:trendlineType val="linear"/>
            <c:dispRSqr val="0"/>
            <c:dispEq val="0"/>
          </c:trendline>
          <c:xVal>
            <c:numRef>
              <c:f>'Single Index Model - Data'!$V$3:$V$62</c:f>
              <c:numCache>
                <c:formatCode>General</c:formatCode>
                <c:ptCount val="60"/>
                <c:pt idx="0">
                  <c:v>-2.8422980713340854E-3</c:v>
                </c:pt>
                <c:pt idx="1">
                  <c:v>-5.3296567721295967E-3</c:v>
                </c:pt>
                <c:pt idx="2">
                  <c:v>-4.2192263222525237E-3</c:v>
                </c:pt>
                <c:pt idx="3">
                  <c:v>-4.0220270144700277E-3</c:v>
                </c:pt>
                <c:pt idx="4">
                  <c:v>-2.0359289087551928E-3</c:v>
                </c:pt>
                <c:pt idx="5">
                  <c:v>-3.7882769988860231E-3</c:v>
                </c:pt>
                <c:pt idx="6">
                  <c:v>-2.6201503075012531E-3</c:v>
                </c:pt>
                <c:pt idx="7">
                  <c:v>-3.5468787582700841E-3</c:v>
                </c:pt>
                <c:pt idx="8">
                  <c:v>-3.4428183009562793E-3</c:v>
                </c:pt>
                <c:pt idx="9">
                  <c:v>-5.0991846220358478E-3</c:v>
                </c:pt>
                <c:pt idx="10">
                  <c:v>-2.1942115017249968E-3</c:v>
                </c:pt>
                <c:pt idx="11">
                  <c:v>-5.8236973417766895E-3</c:v>
                </c:pt>
                <c:pt idx="12">
                  <c:v>-2.9187194842090276E-3</c:v>
                </c:pt>
                <c:pt idx="13">
                  <c:v>-2.4719384629884877E-3</c:v>
                </c:pt>
                <c:pt idx="14">
                  <c:v>-3.000750030228407E-3</c:v>
                </c:pt>
                <c:pt idx="15">
                  <c:v>-3.2733057509677773E-3</c:v>
                </c:pt>
                <c:pt idx="16">
                  <c:v>-6.0940943438982965E-3</c:v>
                </c:pt>
                <c:pt idx="17">
                  <c:v>-2.1451588734876749E-3</c:v>
                </c:pt>
                <c:pt idx="18">
                  <c:v>-4.0503886623582093E-3</c:v>
                </c:pt>
                <c:pt idx="19">
                  <c:v>-4.073033927265597E-3</c:v>
                </c:pt>
                <c:pt idx="20">
                  <c:v>-3.3957277573726861E-3</c:v>
                </c:pt>
                <c:pt idx="21">
                  <c:v>-3.4942912873573992E-3</c:v>
                </c:pt>
                <c:pt idx="22">
                  <c:v>-5.0689672137213945E-3</c:v>
                </c:pt>
                <c:pt idx="23">
                  <c:v>-2.6268548858653625E-3</c:v>
                </c:pt>
                <c:pt idx="24">
                  <c:v>-5.1273179698045407E-3</c:v>
                </c:pt>
                <c:pt idx="25">
                  <c:v>-3.3387775977083084E-3</c:v>
                </c:pt>
                <c:pt idx="26">
                  <c:v>-3.1203991767050059E-3</c:v>
                </c:pt>
                <c:pt idx="27">
                  <c:v>-4.5456645193011477E-3</c:v>
                </c:pt>
                <c:pt idx="28">
                  <c:v>-5.9209363766385657E-3</c:v>
                </c:pt>
                <c:pt idx="29">
                  <c:v>-1.5661662056346208E-3</c:v>
                </c:pt>
                <c:pt idx="30">
                  <c:v>-5.1585402581017263E-3</c:v>
                </c:pt>
                <c:pt idx="31">
                  <c:v>-3.9822728995850959E-3</c:v>
                </c:pt>
                <c:pt idx="32">
                  <c:v>-3.8560309733912633E-3</c:v>
                </c:pt>
                <c:pt idx="33">
                  <c:v>-5.3412184445267956E-3</c:v>
                </c:pt>
                <c:pt idx="34">
                  <c:v>-3.4850223329392113E-3</c:v>
                </c:pt>
                <c:pt idx="35">
                  <c:v>-7.3375734402455622E-3</c:v>
                </c:pt>
                <c:pt idx="36">
                  <c:v>-5.5792231093096875E-3</c:v>
                </c:pt>
                <c:pt idx="37">
                  <c:v>-7.3990433575829356E-4</c:v>
                </c:pt>
                <c:pt idx="38">
                  <c:v>-4.3468582655548111E-3</c:v>
                </c:pt>
                <c:pt idx="39">
                  <c:v>-5.1393075359863535E-3</c:v>
                </c:pt>
                <c:pt idx="40">
                  <c:v>-7.0268170145710209E-3</c:v>
                </c:pt>
                <c:pt idx="41">
                  <c:v>-4.5418138758324027E-3</c:v>
                </c:pt>
                <c:pt idx="42">
                  <c:v>-1.4665360911807735E-3</c:v>
                </c:pt>
                <c:pt idx="43">
                  <c:v>-4.2521557839857961E-3</c:v>
                </c:pt>
                <c:pt idx="44">
                  <c:v>-3.6521398500008631E-3</c:v>
                </c:pt>
                <c:pt idx="45">
                  <c:v>-4.2929164640890857E-3</c:v>
                </c:pt>
                <c:pt idx="46">
                  <c:v>-2.6386032099759444E-3</c:v>
                </c:pt>
                <c:pt idx="47">
                  <c:v>-4.4469789540279147E-3</c:v>
                </c:pt>
                <c:pt idx="48">
                  <c:v>-4.4187726212221905E-3</c:v>
                </c:pt>
                <c:pt idx="49">
                  <c:v>-5.3254388351906745E-3</c:v>
                </c:pt>
                <c:pt idx="50">
                  <c:v>-2.7774942933718218E-3</c:v>
                </c:pt>
                <c:pt idx="51">
                  <c:v>-3.5286421447100307E-3</c:v>
                </c:pt>
                <c:pt idx="52">
                  <c:v>-3.5053172298685951E-3</c:v>
                </c:pt>
                <c:pt idx="53">
                  <c:v>-2.4718645427679493E-3</c:v>
                </c:pt>
                <c:pt idx="54">
                  <c:v>-4.404436997484734E-3</c:v>
                </c:pt>
                <c:pt idx="55">
                  <c:v>-3.9134362519418599E-3</c:v>
                </c:pt>
                <c:pt idx="56">
                  <c:v>-3.8653144790533364E-3</c:v>
                </c:pt>
                <c:pt idx="57">
                  <c:v>-4.1715501818901431E-3</c:v>
                </c:pt>
                <c:pt idx="58">
                  <c:v>-3.4353300217908464E-3</c:v>
                </c:pt>
                <c:pt idx="59">
                  <c:v>-4.3598046134567881E-3</c:v>
                </c:pt>
              </c:numCache>
            </c:numRef>
          </c:xVal>
          <c:yVal>
            <c:numRef>
              <c:f>Sheet9!$B$25:$B$84</c:f>
              <c:numCache>
                <c:formatCode>General</c:formatCode>
                <c:ptCount val="60"/>
                <c:pt idx="0">
                  <c:v>-3.4676342443740005E-3</c:v>
                </c:pt>
                <c:pt idx="1">
                  <c:v>-6.0116002793833773E-3</c:v>
                </c:pt>
                <c:pt idx="2">
                  <c:v>-4.8758986422113874E-3</c:v>
                </c:pt>
                <c:pt idx="3">
                  <c:v>-4.6742114706081984E-3</c:v>
                </c:pt>
                <c:pt idx="4">
                  <c:v>-2.6429137243205066E-3</c:v>
                </c:pt>
                <c:pt idx="5">
                  <c:v>-4.4351417698294416E-3</c:v>
                </c:pt>
                <c:pt idx="6">
                  <c:v>-3.2404308395079201E-3</c:v>
                </c:pt>
                <c:pt idx="7">
                  <c:v>-4.188249785636906E-3</c:v>
                </c:pt>
                <c:pt idx="8">
                  <c:v>-4.0818211193937963E-3</c:v>
                </c:pt>
                <c:pt idx="9">
                  <c:v>-5.7758830417905188E-3</c:v>
                </c:pt>
                <c:pt idx="10">
                  <c:v>-2.804798514125698E-3</c:v>
                </c:pt>
                <c:pt idx="11">
                  <c:v>-6.5168842292603812E-3</c:v>
                </c:pt>
                <c:pt idx="12">
                  <c:v>-3.5457948565282118E-3</c:v>
                </c:pt>
                <c:pt idx="13">
                  <c:v>-3.0888459883539718E-3</c:v>
                </c:pt>
                <c:pt idx="14">
                  <c:v>-3.6296922545351151E-3</c:v>
                </c:pt>
                <c:pt idx="15">
                  <c:v>-3.9084508010956507E-3</c:v>
                </c:pt>
                <c:pt idx="16">
                  <c:v>-6.7934349290632396E-3</c:v>
                </c:pt>
                <c:pt idx="17">
                  <c:v>-2.7546295456838811E-3</c:v>
                </c:pt>
                <c:pt idx="18">
                  <c:v>-4.7032185731629497E-3</c:v>
                </c:pt>
                <c:pt idx="19">
                  <c:v>-4.7263791992358034E-3</c:v>
                </c:pt>
                <c:pt idx="20">
                  <c:v>-4.0336588887478998E-3</c:v>
                </c:pt>
                <c:pt idx="21">
                  <c:v>-4.1344655285347328E-3</c:v>
                </c:pt>
                <c:pt idx="22">
                  <c:v>-5.7449779453951355E-3</c:v>
                </c:pt>
                <c:pt idx="23">
                  <c:v>-3.24728800073356E-3</c:v>
                </c:pt>
                <c:pt idx="24">
                  <c:v>-5.8046566485693762E-3</c:v>
                </c:pt>
                <c:pt idx="25">
                  <c:v>-3.9754126567797471E-3</c:v>
                </c:pt>
                <c:pt idx="26">
                  <c:v>-3.7520643774850465E-3</c:v>
                </c:pt>
                <c:pt idx="27">
                  <c:v>-5.2097659230164444E-3</c:v>
                </c:pt>
                <c:pt idx="28">
                  <c:v>-6.6163362310511127E-3</c:v>
                </c:pt>
                <c:pt idx="29">
                  <c:v>-2.1624601568994819E-3</c:v>
                </c:pt>
                <c:pt idx="30">
                  <c:v>-5.8365894940161983E-3</c:v>
                </c:pt>
                <c:pt idx="31">
                  <c:v>-4.6335526311787334E-3</c:v>
                </c:pt>
                <c:pt idx="32">
                  <c:v>-4.5044376899647624E-3</c:v>
                </c:pt>
                <c:pt idx="33">
                  <c:v>-6.023425072436737E-3</c:v>
                </c:pt>
                <c:pt idx="34">
                  <c:v>-4.1249856311591036E-3</c:v>
                </c:pt>
                <c:pt idx="35">
                  <c:v>-8.065213135133753E-3</c:v>
                </c:pt>
                <c:pt idx="36">
                  <c:v>-6.266846249763443E-3</c:v>
                </c:pt>
                <c:pt idx="37">
                  <c:v>-1.3173942111167308E-3</c:v>
                </c:pt>
                <c:pt idx="38">
                  <c:v>-5.006435234557083E-3</c:v>
                </c:pt>
                <c:pt idx="39">
                  <c:v>-5.8169190734183836E-3</c:v>
                </c:pt>
                <c:pt idx="40">
                  <c:v>-7.7473845116127005E-3</c:v>
                </c:pt>
                <c:pt idx="41">
                  <c:v>-5.2058276465650893E-3</c:v>
                </c:pt>
                <c:pt idx="42">
                  <c:v>-2.0605626593034883E-3</c:v>
                </c:pt>
                <c:pt idx="43">
                  <c:v>-4.9095775129644453E-3</c:v>
                </c:pt>
                <c:pt idx="44">
                  <c:v>-4.2959064103470727E-3</c:v>
                </c:pt>
                <c:pt idx="45">
                  <c:v>-4.9512658250335838E-3</c:v>
                </c:pt>
                <c:pt idx="46">
                  <c:v>-3.2593036933218642E-3</c:v>
                </c:pt>
                <c:pt idx="47">
                  <c:v>-5.1088344706607738E-3</c:v>
                </c:pt>
                <c:pt idx="48">
                  <c:v>-5.0799862178506809E-3</c:v>
                </c:pt>
                <c:pt idx="49">
                  <c:v>-6.0072863505933726E-3</c:v>
                </c:pt>
                <c:pt idx="50">
                  <c:v>-3.4013556613841154E-3</c:v>
                </c:pt>
                <c:pt idx="51">
                  <c:v>-4.1695981430428849E-3</c:v>
                </c:pt>
                <c:pt idx="52">
                  <c:v>-4.1457423995559803E-3</c:v>
                </c:pt>
                <c:pt idx="53">
                  <c:v>-3.0887703858563146E-3</c:v>
                </c:pt>
                <c:pt idx="54">
                  <c:v>-5.0653243438446927E-3</c:v>
                </c:pt>
                <c:pt idx="55">
                  <c:v>-4.5631493984193026E-3</c:v>
                </c:pt>
                <c:pt idx="56">
                  <c:v>-4.513932469741631E-3</c:v>
                </c:pt>
                <c:pt idx="57">
                  <c:v>-4.8271374877693497E-3</c:v>
                </c:pt>
                <c:pt idx="58">
                  <c:v>-4.0741624218961501E-3</c:v>
                </c:pt>
                <c:pt idx="59">
                  <c:v>-5.0196762155742198E-3</c:v>
                </c:pt>
              </c:numCache>
            </c:numRef>
          </c:yVal>
          <c:smooth val="0"/>
        </c:ser>
        <c:dLbls>
          <c:showLegendKey val="0"/>
          <c:showVal val="0"/>
          <c:showCatName val="0"/>
          <c:showSerName val="0"/>
          <c:showPercent val="0"/>
          <c:showBubbleSize val="0"/>
        </c:dLbls>
        <c:axId val="-143071024"/>
        <c:axId val="-143077008"/>
      </c:scatterChart>
      <c:valAx>
        <c:axId val="-143071024"/>
        <c:scaling>
          <c:orientation val="minMax"/>
        </c:scaling>
        <c:delete val="0"/>
        <c:axPos val="b"/>
        <c:title>
          <c:tx>
            <c:rich>
              <a:bodyPr/>
              <a:lstStyle/>
              <a:p>
                <a:pPr>
                  <a:defRPr/>
                </a:pPr>
                <a:r>
                  <a:rPr lang="en-IN"/>
                  <a:t>SnP</a:t>
                </a:r>
              </a:p>
            </c:rich>
          </c:tx>
          <c:overlay val="0"/>
        </c:title>
        <c:numFmt formatCode="General" sourceLinked="1"/>
        <c:majorTickMark val="out"/>
        <c:minorTickMark val="none"/>
        <c:tickLblPos val="nextTo"/>
        <c:crossAx val="-143077008"/>
        <c:crosses val="autoZero"/>
        <c:crossBetween val="midCat"/>
      </c:valAx>
      <c:valAx>
        <c:axId val="-143077008"/>
        <c:scaling>
          <c:orientation val="minMax"/>
        </c:scaling>
        <c:delete val="0"/>
        <c:axPos val="l"/>
        <c:title>
          <c:tx>
            <c:rich>
              <a:bodyPr/>
              <a:lstStyle/>
              <a:p>
                <a:pPr>
                  <a:defRPr/>
                </a:pPr>
                <a:r>
                  <a:rPr lang="en-IN"/>
                  <a:t>IBM</a:t>
                </a:r>
              </a:p>
            </c:rich>
          </c:tx>
          <c:overlay val="0"/>
        </c:title>
        <c:numFmt formatCode="General" sourceLinked="1"/>
        <c:majorTickMark val="out"/>
        <c:minorTickMark val="none"/>
        <c:tickLblPos val="nextTo"/>
        <c:crossAx val="-1430710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34</cp:revision>
  <dcterms:created xsi:type="dcterms:W3CDTF">2017-09-05T18:06:00Z</dcterms:created>
  <dcterms:modified xsi:type="dcterms:W3CDTF">2017-09-05T21:38:00Z</dcterms:modified>
</cp:coreProperties>
</file>