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新加坡生命科学生态系统实体类型分布分析</w:t>
      </w:r>
    </w:p>
    <w:p>
      <w:pPr>
        <w:pStyle w:val="Heading2"/>
      </w:pPr>
      <w:r>
        <w:t>分析背景与目的</w:t>
      </w:r>
    </w:p>
    <w:p>
      <w:r>
        <w:t xml:space="preserve">本次分析以新加坡生命科学生态系统知识图谱中的实体主表为基础，共覆盖 </w:t>
      </w:r>
      <w:r>
        <w:rPr>
          <w:b/>
        </w:rPr>
        <w:t>2,358 个</w:t>
      </w:r>
      <w:r>
        <w:t>独立实体节点。每个实体均被归入一个主要的利益相关者角色（</w:t>
      </w:r>
      <w:r>
        <w:rPr>
          <w:rFonts w:ascii="Consolas" w:hAnsi="Consolas"/>
          <w:sz w:val="20"/>
        </w:rPr>
        <w:t>stakeholder_role</w:t>
      </w:r>
      <w:r>
        <w:t xml:space="preserve">），该分类共包含 </w:t>
      </w:r>
      <w:r>
        <w:rPr>
          <w:b/>
        </w:rPr>
        <w:t>9 类</w:t>
      </w:r>
      <w:r>
        <w:t>：建设者（Builders）、资产（Assets）、支持者与投资者（Backers &amp; Investors）、基金会（Foundations）、临床试验与专利（Clinical Trials &amp; Patents）、医院与临床（Hospital &amp; Clinical）、服务与制造使能者（Service &amp; Manufacturing Enablers）、生态运营者（Ecosystem Operators）以及政府（Government）。</w:t>
      </w:r>
    </w:p>
    <w:p>
      <w:r>
        <w:t>分析选取实体类型分布作为切入点，未额外设置行业细分、时间或地域过滤条件，以便快速获得新加坡生命科学生态系统的整体构成轮廓。</w:t>
      </w:r>
    </w:p>
    <w:p>
      <w:r>
        <w:t>本次分析的主要目的包括：</w:t>
      </w:r>
    </w:p>
    <w:p>
      <w:pPr>
        <w:pStyle w:val="ListBullet"/>
      </w:pPr>
      <w:r>
        <w:rPr>
          <w:b/>
        </w:rPr>
        <w:t>掌握生态系统构成</w:t>
      </w:r>
      <w:r>
        <w:t>：量化各类参与者的数量规模与相对占比，理解新加坡生命科学生态的基本结构。</w:t>
      </w:r>
    </w:p>
    <w:p>
      <w:pPr>
        <w:pStyle w:val="ListBullet"/>
      </w:pPr>
      <w:r>
        <w:rPr>
          <w:b/>
        </w:rPr>
        <w:t>识别主导角色与薄弱环节</w:t>
      </w:r>
      <w:r>
        <w:t>：判断当前生态中哪些类型的参与者数量最多、最具规模优势，哪些角色相对稀缺，可能存在发展空间或资源缺口。</w:t>
      </w:r>
    </w:p>
    <w:p>
      <w:pPr>
        <w:pStyle w:val="ListBullet"/>
      </w:pPr>
      <w:r>
        <w:rPr>
          <w:b/>
        </w:rPr>
        <w:t>为业务决策提供基础支持</w:t>
      </w:r>
      <w:r>
        <w:t>：帮助后续研究、市场进入、合作伙伴筛选、资源配置及生态建设策略提供初步的数据依据。</w:t>
      </w:r>
    </w:p>
    <w:p>
      <w:pPr>
        <w:pStyle w:val="ListBullet"/>
      </w:pPr>
      <w:r>
        <w:rPr>
          <w:b/>
        </w:rPr>
        <w:t>形成探索性分析基准</w:t>
      </w:r>
      <w:r>
        <w:t>：以轻量、直观的方式建立对生态全貌的认知，为更深入的主题分析提供背景参考。</w:t>
      </w:r>
    </w:p>
    <w:p>
      <w:r>
        <w:t>通过对实体类型分布的分析，可以快速识别新加坡生命科学生态系统中的关键构成力量，并为后续围绕特定角色或细分领域的深入研究奠定基础。</w:t>
      </w:r>
    </w:p>
    <w:p>
      <w:pPr>
        <w:pStyle w:val="Heading2"/>
      </w:pPr>
      <w:r>
        <w:t>数据概览</w:t>
      </w:r>
    </w:p>
    <w:p>
      <w:r>
        <w:t xml:space="preserve">本分析基于新加坡生命科学生态系统知识图谱中的核心实体表（entity）进行。该表记录了生态系统中所有已识别的组织与机构节点，共计 </w:t>
      </w:r>
      <w:r>
        <w:rPr>
          <w:b/>
        </w:rPr>
        <w:t>2,358 个实体</w:t>
      </w:r>
      <w:r>
        <w:t xml:space="preserve">，每条实体通过唯一的实体ID（entity_id）进行标识，并归入一个封闭的、包含 </w:t>
      </w:r>
      <w:r>
        <w:rPr>
          <w:b/>
        </w:rPr>
        <w:t>9 种角色类别</w:t>
      </w:r>
      <w:r>
        <w:t xml:space="preserve"> 的分类体系（stakeholder_role）。</w:t>
      </w:r>
    </w:p>
    <w:p>
      <w:r>
        <w:t>这9种角色类别覆盖了从创新研发、资本支持到临床服务、政策监管等全链条参与者，具体包括：Builders（建设者）、Assets（资产）、Backers &amp; Investors（支持者与投资者）、Foundations（基金会）、Clinical Trials &amp; Patents（临床试验与专利）、Hospital &amp; Clinical（医院与临床）、Service &amp; Manufacturing Enablers（服务与制造赋能者）、Ecosystem Operators（生态系统运营商）以及Government（政府）。所有后续的角色维度分析均基于此分类展开。</w:t>
      </w:r>
    </w:p>
    <w:p>
      <w:r>
        <w:t>下图展示了各角色类型的实体数量分布，直观呈现了生态系统中各类参与者的构成比例：</w:t>
      </w:r>
    </w:p>
    <w:p>
      <w:r>
        <w:rPr>
          <w:i/>
          <w:sz w:val="18"/>
        </w:rPr>
        <w:t>[Image: 实体类型分布]</w:t>
      </w:r>
    </w:p>
    <w:p>
      <w:r>
        <w:rPr>
          <w:sz w:val="16"/>
        </w:rPr>
        <w:t>http://127.0.0.1:8009/tmp_imgs/mweanrkp.png</w:t>
      </w:r>
    </w:p>
    <w:p>
      <w:r>
        <w:t>从图中可以看出，建设者（Builders）类实体数量最多，达到859个，资产（Assets）类次之，为500个，两者合计占比超过57%，表明创新载体与实体资产是当前数据覆盖的核心。政府（Government）类实体最少，仅7个，反映出该数据集的聚焦点更偏向于市场驱动型主体，政策层面角色的实体收录可能尚未完全展开。这一数据概览为后续深入分析不同角色在生态系统中的功能与关联关系提供了基础框架。</w:t>
      </w:r>
    </w:p>
    <w:p>
      <w:pPr>
        <w:pStyle w:val="Heading2"/>
      </w:pPr>
      <w:r>
        <w:t>实体类型分布分析</w:t>
      </w:r>
    </w:p>
    <w:p>
      <w:r>
        <w:t>基于对新加坡生命科学生态系统知识图谱中全部 2,358 个实体的统计，我们按利益相关者角色（</w:t>
      </w:r>
      <w:r>
        <w:rPr>
          <w:rFonts w:ascii="Consolas" w:hAnsi="Consolas"/>
          <w:sz w:val="20"/>
        </w:rPr>
        <w:t>stakeholder_role</w:t>
      </w:r>
      <w:r>
        <w:t>）分类，得到了九大实体类型的分布情况。下表展示了各角色类型的实体数量及占比，能够直观反映生态系统的结构重心。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利益相关者角色</w:t>
            </w:r>
          </w:p>
        </w:tc>
        <w:tc>
          <w:tcPr>
            <w:tcW w:type="dxa" w:w="2880"/>
          </w:tcPr>
          <w:p>
            <w:r/>
            <w:r>
              <w:t>实体数量</w:t>
            </w:r>
          </w:p>
        </w:tc>
        <w:tc>
          <w:tcPr>
            <w:tcW w:type="dxa" w:w="2880"/>
          </w:tcPr>
          <w:p>
            <w:r/>
            <w:r>
              <w:t>占比</w:t>
            </w:r>
          </w:p>
        </w:tc>
      </w:tr>
      <w:tr>
        <w:tc>
          <w:tcPr>
            <w:tcW w:type="dxa" w:w="2880"/>
          </w:tcPr>
          <w:p>
            <w:r/>
            <w:r>
              <w:t>Builders</w:t>
            </w:r>
          </w:p>
        </w:tc>
        <w:tc>
          <w:tcPr>
            <w:tcW w:type="dxa" w:w="2880"/>
          </w:tcPr>
          <w:p>
            <w:r/>
            <w:r>
              <w:t>859</w:t>
            </w:r>
          </w:p>
        </w:tc>
        <w:tc>
          <w:tcPr>
            <w:tcW w:type="dxa" w:w="2880"/>
          </w:tcPr>
          <w:p>
            <w:r/>
            <w:r>
              <w:t>36.4%</w:t>
            </w:r>
          </w:p>
        </w:tc>
      </w:tr>
      <w:tr>
        <w:tc>
          <w:tcPr>
            <w:tcW w:type="dxa" w:w="2880"/>
          </w:tcPr>
          <w:p>
            <w:r/>
            <w:r>
              <w:t>Assets</w:t>
            </w:r>
          </w:p>
        </w:tc>
        <w:tc>
          <w:tcPr>
            <w:tcW w:type="dxa" w:w="2880"/>
          </w:tcPr>
          <w:p>
            <w:r/>
            <w:r>
              <w:t>500</w:t>
            </w:r>
          </w:p>
        </w:tc>
        <w:tc>
          <w:tcPr>
            <w:tcW w:type="dxa" w:w="2880"/>
          </w:tcPr>
          <w:p>
            <w:r/>
            <w:r>
              <w:t>21.2%</w:t>
            </w:r>
          </w:p>
        </w:tc>
      </w:tr>
      <w:tr>
        <w:tc>
          <w:tcPr>
            <w:tcW w:type="dxa" w:w="2880"/>
          </w:tcPr>
          <w:p>
            <w:r/>
            <w:r>
              <w:t>Backers &amp; Investors</w:t>
            </w:r>
          </w:p>
        </w:tc>
        <w:tc>
          <w:tcPr>
            <w:tcW w:type="dxa" w:w="2880"/>
          </w:tcPr>
          <w:p>
            <w:r/>
            <w:r>
              <w:t>274</w:t>
            </w:r>
          </w:p>
        </w:tc>
        <w:tc>
          <w:tcPr>
            <w:tcW w:type="dxa" w:w="2880"/>
          </w:tcPr>
          <w:p>
            <w:r/>
            <w:r>
              <w:t>11.6%</w:t>
            </w:r>
          </w:p>
        </w:tc>
      </w:tr>
      <w:tr>
        <w:tc>
          <w:tcPr>
            <w:tcW w:type="dxa" w:w="2880"/>
          </w:tcPr>
          <w:p>
            <w:r/>
            <w:r>
              <w:t>Foundations</w:t>
            </w:r>
          </w:p>
        </w:tc>
        <w:tc>
          <w:tcPr>
            <w:tcW w:type="dxa" w:w="2880"/>
          </w:tcPr>
          <w:p>
            <w:r/>
            <w:r>
              <w:t>230</w:t>
            </w:r>
          </w:p>
        </w:tc>
        <w:tc>
          <w:tcPr>
            <w:tcW w:type="dxa" w:w="2880"/>
          </w:tcPr>
          <w:p>
            <w:r/>
            <w:r>
              <w:t>9.8%</w:t>
            </w:r>
          </w:p>
        </w:tc>
      </w:tr>
      <w:tr>
        <w:tc>
          <w:tcPr>
            <w:tcW w:type="dxa" w:w="2880"/>
          </w:tcPr>
          <w:p>
            <w:r/>
            <w:r>
              <w:t>Clinical Trials &amp; Patents</w:t>
            </w:r>
          </w:p>
        </w:tc>
        <w:tc>
          <w:tcPr>
            <w:tcW w:type="dxa" w:w="2880"/>
          </w:tcPr>
          <w:p>
            <w:r/>
            <w:r>
              <w:t>227</w:t>
            </w:r>
          </w:p>
        </w:tc>
        <w:tc>
          <w:tcPr>
            <w:tcW w:type="dxa" w:w="2880"/>
          </w:tcPr>
          <w:p>
            <w:r/>
            <w:r>
              <w:t>9.6%</w:t>
            </w:r>
          </w:p>
        </w:tc>
      </w:tr>
      <w:tr>
        <w:tc>
          <w:tcPr>
            <w:tcW w:type="dxa" w:w="2880"/>
          </w:tcPr>
          <w:p>
            <w:r/>
            <w:r>
              <w:t>Hospital &amp; Clinical</w:t>
            </w:r>
          </w:p>
        </w:tc>
        <w:tc>
          <w:tcPr>
            <w:tcW w:type="dxa" w:w="2880"/>
          </w:tcPr>
          <w:p>
            <w:r/>
            <w:r>
              <w:t>128</w:t>
            </w:r>
          </w:p>
        </w:tc>
        <w:tc>
          <w:tcPr>
            <w:tcW w:type="dxa" w:w="2880"/>
          </w:tcPr>
          <w:p>
            <w:r/>
            <w:r>
              <w:t>5.4%</w:t>
            </w:r>
          </w:p>
        </w:tc>
      </w:tr>
      <w:tr>
        <w:tc>
          <w:tcPr>
            <w:tcW w:type="dxa" w:w="2880"/>
          </w:tcPr>
          <w:p>
            <w:r/>
            <w:r>
              <w:t>Service &amp; Manufacturing Enablers</w:t>
            </w:r>
          </w:p>
        </w:tc>
        <w:tc>
          <w:tcPr>
            <w:tcW w:type="dxa" w:w="2880"/>
          </w:tcPr>
          <w:p>
            <w:r/>
            <w:r>
              <w:t>95</w:t>
            </w:r>
          </w:p>
        </w:tc>
        <w:tc>
          <w:tcPr>
            <w:tcW w:type="dxa" w:w="2880"/>
          </w:tcPr>
          <w:p>
            <w:r/>
            <w:r>
              <w:t>4.0%</w:t>
            </w:r>
          </w:p>
        </w:tc>
      </w:tr>
      <w:tr>
        <w:tc>
          <w:tcPr>
            <w:tcW w:type="dxa" w:w="2880"/>
          </w:tcPr>
          <w:p>
            <w:r/>
            <w:r>
              <w:t>Ecosystem Operators</w:t>
            </w:r>
          </w:p>
        </w:tc>
        <w:tc>
          <w:tcPr>
            <w:tcW w:type="dxa" w:w="2880"/>
          </w:tcPr>
          <w:p>
            <w:r/>
            <w:r>
              <w:t>38</w:t>
            </w:r>
          </w:p>
        </w:tc>
        <w:tc>
          <w:tcPr>
            <w:tcW w:type="dxa" w:w="2880"/>
          </w:tcPr>
          <w:p>
            <w:r/>
            <w:r>
              <w:t>1.6%</w:t>
            </w:r>
          </w:p>
        </w:tc>
      </w:tr>
      <w:tr>
        <w:tc>
          <w:tcPr>
            <w:tcW w:type="dxa" w:w="2880"/>
          </w:tcPr>
          <w:p>
            <w:r/>
            <w:r>
              <w:t>Government</w:t>
            </w:r>
          </w:p>
        </w:tc>
        <w:tc>
          <w:tcPr>
            <w:tcW w:type="dxa" w:w="2880"/>
          </w:tcPr>
          <w:p>
            <w:r/>
            <w:r>
              <w:t>7</w:t>
            </w:r>
          </w:p>
        </w:tc>
        <w:tc>
          <w:tcPr>
            <w:tcW w:type="dxa" w:w="2880"/>
          </w:tcPr>
          <w:p>
            <w:r/>
            <w:r>
              <w:t>0.3%</w:t>
            </w:r>
          </w:p>
        </w:tc>
      </w:tr>
    </w:tbl>
    <w:p>
      <w:r>
        <w:rPr>
          <w:b/>
        </w:rPr>
        <w:t>核心发现：</w:t>
      </w:r>
    </w:p>
    <w:p>
      <w:pPr>
        <w:pStyle w:val="ListBullet"/>
      </w:pPr>
      <w:r>
        <w:rPr>
          <w:b/>
        </w:rPr>
        <w:t>Builders 占据主导地位</w:t>
      </w:r>
      <w:r>
        <w:t>：以 859 个实体（36.4%）占据近四成份额，表明新加坡生命科学领域拥有密集的创新主体，包括初创企业、研发机构和科技平台，是生态系统的核心驱动力。</w:t>
      </w:r>
    </w:p>
    <w:p>
      <w:pPr>
        <w:pStyle w:val="ListBullet"/>
      </w:pPr>
      <w:r>
        <w:rPr>
          <w:b/>
        </w:rPr>
        <w:t>Assets 紧随其后</w:t>
      </w:r>
      <w:r>
        <w:t>：500 个实体（21.2%）指向专利、技术、产品等关键资产，反映出该生态具备深厚的技术积累和商业化基础，为后续转化和投资提供了丰富标的。</w:t>
      </w:r>
    </w:p>
    <w:p>
      <w:pPr>
        <w:pStyle w:val="ListBullet"/>
      </w:pPr>
      <w:r>
        <w:rPr>
          <w:b/>
        </w:rPr>
        <w:t>资本与支撑力量均衡</w:t>
      </w:r>
      <w:r>
        <w:t>：Backers &amp; Investors（274，11.6%）和 Foundations（230，9.8%）合计占比超 20%，说明风险投资、产业资本与学术/公益基金会共同构成了稳定的资金与知识支撑层。</w:t>
      </w:r>
    </w:p>
    <w:p>
      <w:pPr>
        <w:pStyle w:val="ListBullet"/>
      </w:pPr>
      <w:r>
        <w:rPr>
          <w:b/>
        </w:rPr>
        <w:t>临床与转化环节分布合理</w:t>
      </w:r>
      <w:r>
        <w:t>：Clinical Trials &amp; Patents（227，9.6%）与 Hospital &amp; Clinical（128，5.4%）共同覆盖了从研发验证到临床应用的链条，保障了创新成果的落地路径。</w:t>
      </w:r>
    </w:p>
    <w:p>
      <w:pPr>
        <w:pStyle w:val="ListBullet"/>
      </w:pPr>
      <w:r>
        <w:rPr>
          <w:b/>
        </w:rPr>
        <w:t>赋能与服务角色补充</w:t>
      </w:r>
      <w:r>
        <w:t>：Service &amp; Manufacturing Enablers（95，4.0%）和 Ecosystem Operators（38，1.6%）为产业链提供了必要的配套服务与运营支持，尽管规模较小，但不可或缺。</w:t>
      </w:r>
    </w:p>
    <w:p>
      <w:pPr>
        <w:pStyle w:val="ListBullet"/>
      </w:pPr>
      <w:r>
        <w:rPr>
          <w:b/>
        </w:rPr>
        <w:t>政府角色精准但占比低</w:t>
      </w:r>
      <w:r>
        <w:t>：Government 仅 7 个实体（0.3%），体现了其作为政策制定者和监管者的定位，而非直接参与商业运营，符合生态中的“催化剂”角色。</w:t>
      </w:r>
    </w:p>
    <w:p>
      <w:r>
        <w:t>以下条形图更直观地呈现了各实体类型的数量对比，突出了 Builders 和 Assets 在生态系统中的绝对优势，以及其余角色形成的长尾分布。</w:t>
      </w:r>
    </w:p>
    <w:p>
      <w:r>
        <w:rPr>
          <w:i/>
          <w:sz w:val="18"/>
        </w:rPr>
        <w:t>[Image: 实体类型分布条形图]</w:t>
      </w:r>
    </w:p>
    <w:p>
      <w:r>
        <w:rPr>
          <w:sz w:val="16"/>
        </w:rPr>
        <w:t>http://127.0.0.1:8009/tmp_imgs/mweanrkp.png</w:t>
      </w:r>
    </w:p>
    <w:p>
      <w:pPr>
        <w:pStyle w:val="Heading2"/>
      </w:pPr>
      <w:r>
        <w:t>业务洞察与结论</w:t>
      </w:r>
    </w:p>
    <w:p>
      <w:r>
        <w:t>从实体类型分布来看，新加坡生命科学生态系统呈现出“建设者（Builders）引领、资产（Assets）与资本（Backers &amp; Investors）双轮驱动”的显著特征。以下是对生态系统结构、发展阶段与资源格局的核心洞察：</w:t>
      </w:r>
    </w:p>
    <w:p>
      <w:r>
        <w:rPr>
          <w:i/>
          <w:sz w:val="18"/>
        </w:rPr>
        <w:t>[Image: 实体类型分布]</w:t>
      </w:r>
    </w:p>
    <w:p>
      <w:r>
        <w:rPr>
          <w:sz w:val="16"/>
        </w:rPr>
        <w:t>http://127.0.0.1:8009/tmp_imgs/mweanrkp.png</w:t>
      </w:r>
    </w:p>
    <w:p>
      <w:r>
        <w:rPr>
          <w:b/>
        </w:rPr>
        <w:t>1. 建设者（Builders）占据绝对主导地位，生态系统处于活跃创新阶段</w:t>
      </w:r>
    </w:p>
    <w:p>
      <w:r>
        <w:t>在所有2,358个实体中，建设者（Builders）数量高达859个，占比超过36%，遥遥领先其他类型。建设者通常包括初创企业、研发机构和创新中心，是生态系统的核心生产单元。其高密度表明新加坡正积极孵化大量生命科学项目，处于从研发到商业化的前期扩张阶段，创新活力充沛，但后期规模化与整合可能尚未完全展开。</w:t>
      </w:r>
    </w:p>
    <w:p>
      <w:r>
        <w:rPr>
          <w:b/>
        </w:rPr>
        <w:t>2. 资产（Assets）与资本（Backers &amp; Investors）形成坚实的供给侧支撑</w:t>
      </w:r>
    </w:p>
    <w:p>
      <w:r>
        <w:t>资产类实体（500个）和投资人/支持者（274个）分列第二、第三位，合计占比约33%。这反映出生态系统中既有丰富的技术资产（如专利、管线、设备）作为价值载体，又有充足的资本供给为研发和商业化提供资金。这种“资产+资本”的双重优势，为创新成果的转化提供了重要保障，也意味着该生态具备较强的资源吸引力和可持续性。</w:t>
      </w:r>
    </w:p>
    <w:p>
      <w:r>
        <w:rPr>
          <w:b/>
        </w:rPr>
        <w:t>3. 临床与试验环节（Clinical Trials &amp; Patents、Hospital &amp; Clinical）形成闭环，但规模尚待提升</w:t>
      </w:r>
    </w:p>
    <w:p>
      <w:r>
        <w:t>临床研究/专利（227个）与医院/临床机构（128个）合计占比约15%，构成了从实验室到病床的关键链接。然而，相较于建设者和资产的数量，临床验证端的实体规模相对较小，可能成为生态发展的瓶颈。未来加强临床基础设施和转化医学能力，将有助于加速创新产品上市。</w:t>
      </w:r>
    </w:p>
    <w:p>
      <w:r>
        <w:rPr>
          <w:b/>
        </w:rPr>
        <w:t>4. 生态服务与赋能者（Enablers）及运营者（Operators）初步成型，但体量有限</w:t>
      </w:r>
    </w:p>
    <w:p>
      <w:r>
        <w:t>服务与制造赋能者（95个）和生态运营者（38个）合计占比不足6%，说明专业服务（如CRO、CDMO）和生态协调机构仍处于早期培育阶段。随着建设者规模的扩大，对这些配套服务的需求将快速增长，存在较大的市场空白和投资机会。</w:t>
      </w:r>
    </w:p>
    <w:p>
      <w:r>
        <w:rPr>
          <w:b/>
        </w:rPr>
        <w:t>5. 政府角色（Government）精简化，更多发挥引导与催化作用</w:t>
      </w:r>
    </w:p>
    <w:p>
      <w:r>
        <w:t>政府实体仅7个，占比极低，表明新加坡生命科学生态系统主要依赖市场力量驱动，政府角色更偏向政策制定、资金引导和生态催化，而非直接参与运营。这种模式有利于保持生态的灵活性和创新活力。</w:t>
      </w:r>
    </w:p>
    <w:p>
      <w:r>
        <w:rPr>
          <w:b/>
        </w:rPr>
        <w:t>综合发展阶段判断与战略建议</w:t>
      </w:r>
    </w:p>
    <w:p>
      <w:r>
        <w:t>当前生态系统整体处于“创新驱动、快速积累”的成长期，建设者与资产高度集中，技术供给充沛，但商业转化与临床验证环节仍有提升空间。资源集中度较高，资本和资产主要围绕创新项目分布，但生态服务层面尚未形成规模效应。对于战略规划者与投资者，可重点关注以下方向：</w:t>
      </w:r>
    </w:p>
    <w:p>
      <w:pPr>
        <w:pStyle w:val="ListBullet"/>
      </w:pPr>
      <w:r>
        <w:rPr>
          <w:b/>
        </w:rPr>
        <w:t>加大对转化医学和临床设施的投资</w:t>
      </w:r>
      <w:r>
        <w:t>，打通从创新到应用的“最后一公里”；</w:t>
      </w:r>
    </w:p>
    <w:p>
      <w:pPr>
        <w:pStyle w:val="ListBullet"/>
      </w:pPr>
      <w:r>
        <w:rPr>
          <w:b/>
        </w:rPr>
        <w:t>布局生态赋能服务</w:t>
      </w:r>
      <w:r>
        <w:t>（如合同研发、制造外包、数据服务等），填补市场空白，分享生态成长红利；</w:t>
      </w:r>
    </w:p>
    <w:p>
      <w:pPr>
        <w:pStyle w:val="ListBullet"/>
      </w:pPr>
      <w:r>
        <w:rPr>
          <w:b/>
        </w:rPr>
        <w:t>关注高价值资产整合机会</w:t>
      </w:r>
      <w:r>
        <w:t>，利用资产类实体丰富的特点，通过并购或合作强化管线与平台价值；</w:t>
      </w:r>
    </w:p>
    <w:p>
      <w:pPr>
        <w:pStyle w:val="ListBullet"/>
      </w:pPr>
      <w:r>
        <w:rPr>
          <w:b/>
        </w:rPr>
        <w:t>持续跟踪建设者动态</w:t>
      </w:r>
      <w:r>
        <w:t>，识别在基因治疗、数字健康等前沿领域具有差异化优势的初创团队。</w:t>
      </w:r>
    </w:p>
    <w:p>
      <w:r>
        <w:t>总体而言，新加坡生命科学生态系统结构健康，创新基础扎实，未来若能有效弥补转化与服务短板，有望跃升至规模化与商业化驱动的新阶段。</w:t>
      </w:r>
    </w:p>
    <w:p>
      <w:pPr>
        <w:pStyle w:val="Heading2"/>
      </w:pPr>
      <w:r>
        <w:t>后续建议</w:t>
      </w:r>
    </w:p>
    <w:p>
      <w:r>
        <w:t>基于当前对新加坡生命科学生态系统实体类型分布的初步分析，已识别出9大类角色及其数量级差异。为进一步支持精细化业务决策，建议从以下方向深入挖掘：</w:t>
      </w:r>
    </w:p>
    <w:p>
      <w:pPr>
        <w:pStyle w:val="ListBullet"/>
      </w:pPr>
      <w:r>
        <w:rPr>
          <w:b/>
        </w:rPr>
        <w:t>重点角色内部细分</w:t>
      </w:r>
      <w:r>
        <w:t>：当前“Builders”（859个）和“Assets”（500个）构成实体主体，可进一步剖析其内部组成。例如，将“Builders”按子领域（如生物技术、制药、数字健康）或发展成熟度（初创、成长、成熟）拆解，以识别高潜力创新集群；“Assets”可按资产类型（如专利、产品、技术平台）分类，评估核心价值分布。</w:t>
      </w:r>
    </w:p>
    <w:p>
      <w:pPr>
        <w:pStyle w:val="ListBullet"/>
      </w:pPr>
      <w:r>
        <w:rPr>
          <w:b/>
        </w:rPr>
        <w:t>实体间关联关系分析</w:t>
      </w:r>
      <w:r>
        <w:t>：引入知识图谱的边信息，探索实体间的投资、合作、转让或许可关系。例如，构建“Backers &amp; Investors”与“Builders”的投融资网络，发现关键资本节点与被投热点；分析“Hospital &amp; Clinical”与“Clinical Trials &amp; Patents”的协作路径，揭示临床转化活跃度，从而定位生态中的中枢角色与协同机会。</w:t>
      </w:r>
    </w:p>
    <w:p>
      <w:pPr>
        <w:pStyle w:val="ListBullet"/>
      </w:pPr>
      <w:r>
        <w:rPr>
          <w:b/>
        </w:rPr>
        <w:t>时间维度下的生态演化</w:t>
      </w:r>
      <w:r>
        <w:t>：若数据包含时间戳（如成立年份、投资轮次日期、专利授权时间），可加入时间序列视角。追踪各实体类型数量的年度变化，观察增长拐点与政策或市场事件的关联；动态分析角色间的迁移（如从“Builders”成长为“Ecosystem Operators”），预判未来生态结构趋势。</w:t>
      </w:r>
    </w:p>
    <w:p>
      <w:pPr>
        <w:pStyle w:val="ListBullet"/>
      </w:pPr>
      <w:r>
        <w:rPr>
          <w:b/>
        </w:rPr>
        <w:t>跨表多维交叉分析</w:t>
      </w:r>
      <w:r>
        <w:t>：结合融资、临床注册、法规等业务表，进行多维度关联。例如，将“Builders”与融资规模、轮次关联，识别资本效率最高的实体类型；将“Clinical Trials &amp; Patents”与疾病领域、试验阶段交叉，评估研发管线布局。此类分析需优先确保数据表的可联接性，并注意隐私与合规限制。</w:t>
      </w:r>
    </w:p>
    <w:p>
      <w:pPr>
        <w:pStyle w:val="ListBullet"/>
      </w:pPr>
      <w:r>
        <w:rPr>
          <w:b/>
        </w:rPr>
        <w:t>地理空间与政策影响</w:t>
      </w:r>
      <w:r>
        <w:t>：若实体包含地理位置信息，可映射生态的区域分布，结合新加坡政府计划（如生物城、创新园区）分析政策驱动效应，为选址或合作提供依据。</w:t>
      </w:r>
    </w:p>
    <w:p>
      <w:r>
        <w:t>上述方向可根据业务目标分阶段实施，初期聚焦于高价值角色（如“Builders”与“Backers &amp; Investors”）的关联网络，以快速产出可落地的战略洞察。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