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59264" behindDoc="1" locked="0" layoutInCell="1" allowOverlap="1">
                <wp:simplePos x="0" y="0"/>
                <wp:positionH relativeFrom="column">
                  <wp:posOffset>-1019810</wp:posOffset>
                </wp:positionH>
                <wp:positionV relativeFrom="paragraph">
                  <wp:posOffset>-1104900</wp:posOffset>
                </wp:positionV>
                <wp:extent cx="7711440" cy="5089525"/>
                <wp:effectExtent l="0" t="0" r="3810" b="0"/>
                <wp:wrapNone/>
                <wp:docPr id="1" name="矩形 1"/>
                <wp:cNvGraphicFramePr/>
                <a:graphic xmlns:a="http://schemas.openxmlformats.org/drawingml/2006/main">
                  <a:graphicData uri="http://schemas.microsoft.com/office/word/2010/wordprocessingShape">
                    <wps:wsp>
                      <wps:cNvSpPr/>
                      <wps:spPr>
                        <a:xfrm>
                          <a:off x="0" y="0"/>
                          <a:ext cx="7711440" cy="50895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87pt;height:400.75pt;width:607.2pt;z-index:-251657216;v-text-anchor:middle;mso-width-relative:page;mso-height-relative:page;" fillcolor="#0C4C8A [3204]" filled="t" stroked="f" coordsize="21600,21600" o:gfxdata="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b6ktsAAAAOAQAADwAAAAAAAAABACAAAAAiAAAAZHJzL2Rvd25yZXYu&#10;eG1sUEsBAhQAFAAAAAgAh07iQO3GwqpqAgAAzAQAAA4AAAAAAAAAAQAgAAAAKgEAAGRycy9lMm9E&#10;b2MueG1sUEsFBgAAAAAGAAYAWQEAAAYGA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2021年 燕山区《国家学生体质健康标准》测试</w:t>
      </w: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学校数据分析报告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60288" behindDoc="1" locked="0" layoutInCell="1" allowOverlap="1">
                <wp:simplePos x="0" y="0"/>
                <wp:positionH relativeFrom="column">
                  <wp:posOffset>-1019810</wp:posOffset>
                </wp:positionH>
                <wp:positionV relativeFrom="paragraph">
                  <wp:posOffset>403860</wp:posOffset>
                </wp:positionV>
                <wp:extent cx="7711440" cy="327660"/>
                <wp:effectExtent l="0" t="0" r="3810" b="0"/>
                <wp:wrapNone/>
                <wp:docPr id="2" name="矩形 2"/>
                <wp:cNvGraphicFramePr/>
                <a:graphic xmlns:a="http://schemas.openxmlformats.org/drawingml/2006/main">
                  <a:graphicData uri="http://schemas.microsoft.com/office/word/2010/wordprocessingShape">
                    <wps:wsp>
                      <wps:cNvSpPr/>
                      <wps:spPr>
                        <a:xfrm>
                          <a:off x="0" y="0"/>
                          <a:ext cx="7711440" cy="32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31.8pt;height:25.8pt;width:607.2pt;z-index:-251656192;v-text-anchor:middle;mso-width-relative:page;mso-height-relative:page;" fillcolor="#F6D257 [3205]" filled="t" stroked="f" coordsize="21600,21600" o:gfxdata="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c5Ao2wAAAAwBAAAPAAAAAAAAAAEAIAAAACIAAABkcnMvZG93bnJl&#10;di54bWxQSwECFAAUAAAACACHTuJAKEs/u2wCAADLBAAADgAAAAAAAAABACAAAAAqAQAAZHJzL2Uy&#10;b0RvYy54bWxQSwUGAAAAAAYABgBZAQAACAY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righ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北京市燕山东风中学</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1312" behindDoc="0" locked="0" layoutInCell="1" allowOverlap="1">
            <wp:simplePos x="0" y="0"/>
            <wp:positionH relativeFrom="leftMargin">
              <wp:align>right</wp:align>
            </wp:positionH>
            <wp:positionV relativeFrom="paragraph">
              <wp:posOffset>76200</wp:posOffset>
            </wp:positionV>
            <wp:extent cx="222885" cy="226695"/>
            <wp:effectExtent l="0" t="0" r="5715" b="1905"/>
            <wp:wrapThrough wrapText="bothSides">
              <wp:wrapPolygon>
                <wp:start x="0" y="0"/>
                <wp:lineTo x="0" y="19966"/>
                <wp:lineTo x="20308" y="19966"/>
                <wp:lineTo x="20308"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22885" cy="226695"/>
                    </a:xfrm>
                    <a:prstGeom prst="rect">
                      <a:avLst/>
                    </a:prstGeom>
                    <a:noFill/>
                    <a:ln>
                      <a:noFill/>
                    </a:ln>
                  </pic:spPr>
                </pic:pic>
              </a:graphicData>
            </a:graphic>
          </wp:anchor>
        </w:drawing>
      </w:r>
      <w:r>
        <w:rPr>
          <w:rFonts w:hint="eastAsia" w:asciiTheme="minorEastAsia" w:hAnsiTheme="minorEastAsia" w:eastAsiaTheme="minorEastAsia" w:cstheme="minorEastAsia"/>
        </w:rPr>
        <w:t>一、学校情况</w:t>
      </w:r>
    </w:p>
    <w:p>
      <w:pPr>
        <w:rPr>
          <w:rFonts w:hint="eastAsia" w:asciiTheme="minorEastAsia" w:hAnsiTheme="minorEastAsia" w:eastAsiaTheme="minorEastAsia" w:cstheme="minorEastAsia"/>
        </w:rPr>
      </w:pP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237"/>
        <w:gridCol w:w="1422"/>
        <w:gridCol w:w="1423"/>
        <w:gridCol w:w="1422"/>
        <w:gridCol w:w="1423"/>
        <w:gridCol w:w="1516"/>
        <w:gridCol w:w="1423"/>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4082" w:type="dxa"/>
            <w:gridSpan w:val="3"/>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学校</w:t>
            </w:r>
          </w:p>
        </w:tc>
        <w:tc>
          <w:tcPr>
            <w:tcW w:w="5784" w:type="dxa"/>
            <w:gridSpan w:val="4"/>
            <w:shd w:val="clear" w:color="auto" w:fill="FFFFFF"/>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北京市燕山东风中学</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本校</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380</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97.11</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全市</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6371</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6298</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98.85</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1007</w:t>
            </w:r>
          </w:p>
        </w:tc>
      </w:tr>
    </w:tbl>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2336" behindDoc="0" locked="0" layoutInCell="1" allowOverlap="1">
            <wp:simplePos x="0" y="0"/>
            <wp:positionH relativeFrom="leftMargin">
              <wp:align>right</wp:align>
            </wp:positionH>
            <wp:positionV relativeFrom="paragraph">
              <wp:posOffset>75565</wp:posOffset>
            </wp:positionV>
            <wp:extent cx="236855" cy="220345"/>
            <wp:effectExtent l="0" t="0" r="0" b="8255"/>
            <wp:wrapThrough wrapText="bothSides">
              <wp:wrapPolygon>
                <wp:start x="0" y="0"/>
                <wp:lineTo x="0" y="20542"/>
                <wp:lineTo x="19110" y="20542"/>
                <wp:lineTo x="1911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36855" cy="220345"/>
                    </a:xfrm>
                    <a:prstGeom prst="rect">
                      <a:avLst/>
                    </a:prstGeom>
                    <a:noFill/>
                    <a:ln>
                      <a:noFill/>
                    </a:ln>
                  </pic:spPr>
                </pic:pic>
              </a:graphicData>
            </a:graphic>
          </wp:anchor>
        </w:drawing>
      </w:r>
      <w:r>
        <w:rPr>
          <w:rFonts w:hint="eastAsia" w:asciiTheme="minorEastAsia" w:hAnsiTheme="minorEastAsia" w:eastAsiaTheme="minorEastAsia" w:cstheme="minorEastAsia"/>
        </w:rPr>
        <w:t>二、学校测试情况</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（一）总体评价等级百分比（%）</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65.31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38.26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20.66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18.82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25.79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55.95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10.68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20.87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15.18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48.75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5.51</w:t>
            </w:r>
          </w:p>
        </w:tc>
      </w:tr>
    </w:tbl>
    <w:p>
      <w:pPr>
        <w:widowControl/>
        <w:spacing w:line="240" w:lineRule="auto"/>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（二）单项指标等级百分比（%）</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身体形态（BMI）</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52.04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29.52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17.34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28.46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18.29</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 身体机能（肺活量）</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21.08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25.85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23.79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19.78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2.38</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50米跑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13.27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59.78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17.89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18.43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坐位体前屈</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20.41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56.12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26.46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15.13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63.84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18.78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56.66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17.89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17.07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53.94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 1分钟跳绳</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13.27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61.22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13.27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61.22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 1分钟仰卧起坐</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73.34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66.84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10.57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0.96</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7. 50米×8往返跑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16.33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16.33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8. 立定跳远</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28.04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21.86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28.04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26.14</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9. 800米跑（女生）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37.98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17.83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13.95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37.98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17.83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13.95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10. 1000米跑（男生）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15.49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37.32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26.76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17.60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20.60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15.49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37.32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26.76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15.32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15.63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19.87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11. 引体向上（男生）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0.70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94.37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83.77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0.70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94.37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82.25</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（三）各项指标等级横向比较（%）</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小学学段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52.04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13.27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20.41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56.12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1分钟跳绳</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13.27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61.22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50米×8往返跑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16.33</w:t>
            </w:r>
          </w:p>
        </w:tc>
      </w:tr>
    </w:tbl>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 初中学段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29.52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bookmarkStart w:id="0" w:name="_GoBack" w:colFirst="1" w:colLast="4"/>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16.97</w:t>
            </w:r>
          </w:p>
        </w:tc>
        <w:tc>
          <w:tcPr>
            <w:tcW w:w="1645"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20.30</w:t>
            </w:r>
          </w:p>
        </w:tc>
        <w:tc>
          <w:tcPr>
            <w:tcW w:w="1644"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58.67</w:t>
            </w:r>
          </w:p>
        </w:tc>
        <w:tc>
          <w:tcPr>
            <w:tcW w:w="1645"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4.06</w:t>
            </w:r>
          </w:p>
        </w:tc>
      </w:tr>
      <w:bookmarkEnd w:id="0"/>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59.78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15.13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63.84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立定跳远</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28.04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37.98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17.83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13.95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15.49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37.32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26.76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引体向上</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83.77</w:t>
            </w:r>
          </w:p>
        </w:tc>
      </w:tr>
    </w:tbl>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3360" behindDoc="0" locked="0" layoutInCell="1" allowOverlap="1">
            <wp:simplePos x="0" y="0"/>
            <wp:positionH relativeFrom="column">
              <wp:posOffset>-228600</wp:posOffset>
            </wp:positionH>
            <wp:positionV relativeFrom="paragraph">
              <wp:posOffset>83820</wp:posOffset>
            </wp:positionV>
            <wp:extent cx="175260" cy="239395"/>
            <wp:effectExtent l="0" t="0" r="0" b="0"/>
            <wp:wrapThrough wrapText="bothSides">
              <wp:wrapPolygon>
                <wp:start x="0" y="0"/>
                <wp:lineTo x="0" y="20626"/>
                <wp:lineTo x="18783" y="20626"/>
                <wp:lineTo x="18783"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75260" cy="239395"/>
                    </a:xfrm>
                    <a:prstGeom prst="rect">
                      <a:avLst/>
                    </a:prstGeom>
                    <a:noFill/>
                    <a:ln>
                      <a:noFill/>
                    </a:ln>
                  </pic:spPr>
                </pic:pic>
              </a:graphicData>
            </a:graphic>
          </wp:anchor>
        </w:drawing>
      </w:r>
      <w:r>
        <w:rPr>
          <w:rFonts w:hint="eastAsia" w:asciiTheme="minorEastAsia" w:hAnsiTheme="minorEastAsia" w:eastAsiaTheme="minorEastAsia" w:cstheme="minorEastAsia"/>
        </w:rPr>
        <w:t>三、测试结果分析</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体质健康标准测试情况反馈，北京市燕山东风中学的学生综合成绩优良率（6.50%），低于总体测试数据平均水平（13.81%）。学生综合成绩不及格率（15.18%），高于总体测试数据平均水平（5.51%）。本校整体情况处于中下水平。</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（一）身体形态方面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体重指数测试情况反馈，本校处于正常体重水平的学生占比（51.49%），低于总体测试数据平均水平（64.40%）。本校处于低体重水平的学生占比（2.71%），高于总体测试数据平均水平（2.30%）。本校处于超重水平的学生占比（17.34%），高于总体测试数据平均水平（15.00%）。本校处于肥胖水平的学生占比（28.46%），高于总体测试数据平均水平（18.29%）。</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（二）身体机能方面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肺活量测试情况反馈，本校处于优秀等级的学生占比（17.62%），低于总体测试数据平均水平（25.58%）。本校处于不及格等级的学生占比（3.79%），高于总体测试数据平均水平（2.38%）。</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（三）身体素质方面</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速度素质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50米跑测试情况反馈，本校处于优秀等级的学生占比（17.89%），低于总体测试数据平均水平（21.44%）。本校处于不及格等级的学生占比（4.61%），高于总体测试数据平均水平（4.57%）。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 柔韧素质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坐位体前屈测试情况反馈，本校处于优秀等级的学生占比（17.89%），低于总体测试数据平均水平（21.40%）。本校处于不及格等级的学生占比（3.25%），高于总体测试数据平均水平（2.00%）。</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力量素质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1分钟仰卧起坐测试情况反馈，本校处于优秀等级的学生占比（7.05%），低于总体测试数据平均水平（9.67%）。本校处于不及格等级的学生占比（2.20%），高于总体测试数据平均水平（0.96%）。</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引体向上测试情况反馈，本校处于优秀等级的学生占比（0.70%），低于总体测试数据平均水平（5.26%）。本校处于不及格等级的学生占比（94.37%），高于总体测试数据平均水平（82.25%）。</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协调素质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1分钟跳绳测试情况反馈，本校处于优秀等级的学生占比（13.27%），低于总体测试数据平均水平（41.01%）。本校处于不及格等级的学生占比（7.14%），高于总体测试数据平均水平（1.33%）。</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 耐力素质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50米×8往返跑测试情况反馈，本校处于优秀等级的学生占比（8.16%），低于总体测试数据平均水平（12.86%）。本校处于不及格等级的学生占比（16.33%），高于总体测试数据平均水平（10.48%）。</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800米跑测试情况反馈，本校处于优秀等级的学生占比（37.98%），高于总体测试数据平均水平（13.06%）。本校处于不及格等级的学生占比（13.95%），低于总体测试数据平均水平（14.17%）。</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1000米跑测试情况反馈，本校处于优秀等级的学生占比（15.49%），高于总体测试数据平均水平（15.32%）。本校处于不及格等级的学生占比（26.76%），高于总体测试数据平均水平（19.87%）。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 爆发力素质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立定跳远测试情况反馈，本校处于优秀等级的学生占比（4.06%），低于总体测试数据平均水平（5.57%）。本校处于不及格等级的学生占比（28.04%），高于总体测试数据平均水平（26.14%）。</w:t>
      </w: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4384" behindDoc="0" locked="0" layoutInCell="1" allowOverlap="1">
            <wp:simplePos x="0" y="0"/>
            <wp:positionH relativeFrom="leftMargin">
              <wp:align>right</wp:align>
            </wp:positionH>
            <wp:positionV relativeFrom="paragraph">
              <wp:posOffset>76200</wp:posOffset>
            </wp:positionV>
            <wp:extent cx="276225" cy="184150"/>
            <wp:effectExtent l="0" t="0" r="9525" b="6350"/>
            <wp:wrapThrough wrapText="bothSides">
              <wp:wrapPolygon>
                <wp:start x="0" y="0"/>
                <wp:lineTo x="0" y="20110"/>
                <wp:lineTo x="20855" y="20110"/>
                <wp:lineTo x="2085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76225" cy="184150"/>
                    </a:xfrm>
                    <a:prstGeom prst="rect">
                      <a:avLst/>
                    </a:prstGeom>
                    <a:noFill/>
                    <a:ln>
                      <a:noFill/>
                    </a:ln>
                  </pic:spPr>
                </pic:pic>
              </a:graphicData>
            </a:graphic>
          </wp:anchor>
        </w:drawing>
      </w:r>
      <w:r>
        <w:rPr>
          <w:rFonts w:hint="eastAsia" w:asciiTheme="minorEastAsia" w:hAnsiTheme="minorEastAsia" w:eastAsiaTheme="minorEastAsia" w:cstheme="minorEastAsia"/>
        </w:rPr>
        <w:t>四、体育工作建议</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（一）提升学生体质健康整体水平</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数据对比，发现本校学生的体质健康水平明显低于全区平均水平。其中，小学学段的综合评定等级中，优良率的占比（29.59%）均低于全区整体平均水平（58.41%）；初中学段的综合评定等级中，优良率的占比（26.56%）均低于全区整体平均水平（33.38%）。上述数据分析表明，本校学生的整体体质健康情况有待提升，应得到学校的进一步重视。</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学校在后续工作中，加强对学生体质健康的关注，开齐开足体育课程，确保学生在校期间可以获得足够的体育活动机会；完善教学评价机制，对体育课程教学质量和教学效果进行评估；重视体质健康评价的反馈作用，精准监测学生的体质健康指标。</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（二）解决小学和初中之间成绩下滑的问题</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测试结果显示，不同年级学生的测试成绩存在一定的差异，特别是小学六年级和初中各年级之间，差异较为显著。以综合评定结果的达标率为例，小学六年级达标率为94.90%，初中学段平均达标率为81.18%，其中部分原因是由于不同学段测试项目差异导致。本区内学校是按照小学五年、初中四年的方式来划分学段的，本校学生涵盖了小学六年级与初中学段，这一模式对于解决小学和初中之间体育测试成绩下滑问题有极大帮助的。在学校体育教学中，可以有针对性的面向六年级学生陆续增加与初中测试项目关联性更大的体育活动，以帮助学生更顺利地适应中学测试项目。</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（三）加强对学生身体形态的重视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校学生的身体形态方面的测试结果显示，超重及肥胖的合计占比为45.80%，这一比例已超过北京市平均水平，因此在学校的体育工作中，也应对学生身体形态方面的发展加以重视。身体形态问题，不仅会影响学生的体姿体态，还会对学生在运动过程中的表现以及学生的心理发育等方面产生影响。学校应该通过每天充足的体育活动时间以及科学的饮食搭配来确保学生可以获得足够的运动机会和均衡的营养摄入，如有必要可以开设“减肥班”的形式进行针对性练习，通过各种方式帮助学生获得并保持良好的身体形态。</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（四）开设多样的体育社团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体育社团活动是激发学生对体育活动产生兴趣的有效途径。教育部印发的《〈体育与健康〉教学改革指导纲要（试行）》中，将“享受乐趣”列为《体育与健康》教学改革目标中的第一项目标，因此学校也应将培养学生对体育运动的乐趣，作为开展各项体育工作的初衷和首要任务。</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学校可以开设更多体育社团，让学生可以有更多机会接触、了解各项体育活动，培养对体育活动的喜好。学生可以根据自己的喜好进行选择，在运动的过程中获得乐趣，同时掌握相应的运动知识和技能。</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（五）针对新版《体育与健康考核评价方案》的建议</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2021年12月，北京市教委正式发布《北京市义务教育体育与健康考核评价方案》，新方案下，体育与健康考核评价对于学生整体评价的作用变得更为重要，这也必将会使得学校体育教育以及学生体质健康测试等工作得到更多的社会关注。这样对于各学校开展体育教育、体质健康工作也就有着更高的要求。</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过程性评价要求学校不能仅仅关注考试前学生的体质健康，同时也要对学生每个年级的体质健康测试加以重视。学校应该重视每一学年的学生体质健康测试，并在测试后对所得到的测试结果展开分析，发现问题制定相应的提升方案，并将多年数进行时间维度的比较，了解学生体质健康情况的发展趋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现场考试项目的扩充以及测试项目学生自选性的变化，要求学校开设的体育课程应涵盖更多与所有考试项目相对应的教学内容，并可以由学生自主选择。</w:t>
      </w:r>
    </w:p>
    <w:sectPr>
      <w:footerReference r:id="rId5" w:type="default"/>
      <w:pgSz w:w="11906" w:h="16838"/>
      <w:pgMar w:top="1440" w:right="1474" w:bottom="1440" w:left="1474"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5909624"/>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04"/>
    <w:rsid w:val="0002355D"/>
    <w:rsid w:val="00023F34"/>
    <w:rsid w:val="0005258A"/>
    <w:rsid w:val="00104A23"/>
    <w:rsid w:val="00112A49"/>
    <w:rsid w:val="001262AF"/>
    <w:rsid w:val="00126825"/>
    <w:rsid w:val="0012783C"/>
    <w:rsid w:val="00191EB1"/>
    <w:rsid w:val="00194517"/>
    <w:rsid w:val="001A059A"/>
    <w:rsid w:val="001A1065"/>
    <w:rsid w:val="001B03A8"/>
    <w:rsid w:val="001D427F"/>
    <w:rsid w:val="0021472D"/>
    <w:rsid w:val="002965F3"/>
    <w:rsid w:val="002B60D0"/>
    <w:rsid w:val="002D1B0E"/>
    <w:rsid w:val="002D7E8B"/>
    <w:rsid w:val="002F4840"/>
    <w:rsid w:val="00304A17"/>
    <w:rsid w:val="0031058B"/>
    <w:rsid w:val="00310604"/>
    <w:rsid w:val="00310875"/>
    <w:rsid w:val="00317096"/>
    <w:rsid w:val="003640A7"/>
    <w:rsid w:val="00391DAC"/>
    <w:rsid w:val="00391E98"/>
    <w:rsid w:val="003D29AA"/>
    <w:rsid w:val="003E3303"/>
    <w:rsid w:val="004342FA"/>
    <w:rsid w:val="00450B7B"/>
    <w:rsid w:val="00470D08"/>
    <w:rsid w:val="00480488"/>
    <w:rsid w:val="004D5600"/>
    <w:rsid w:val="004F0117"/>
    <w:rsid w:val="004F0ED8"/>
    <w:rsid w:val="004F310C"/>
    <w:rsid w:val="00500146"/>
    <w:rsid w:val="00525D5D"/>
    <w:rsid w:val="00555922"/>
    <w:rsid w:val="005721C7"/>
    <w:rsid w:val="005931F8"/>
    <w:rsid w:val="005A5382"/>
    <w:rsid w:val="00611136"/>
    <w:rsid w:val="006370D8"/>
    <w:rsid w:val="0064535F"/>
    <w:rsid w:val="00653D00"/>
    <w:rsid w:val="0065403D"/>
    <w:rsid w:val="006633C7"/>
    <w:rsid w:val="006A122C"/>
    <w:rsid w:val="006F2F3F"/>
    <w:rsid w:val="0070091F"/>
    <w:rsid w:val="0072041D"/>
    <w:rsid w:val="007216B2"/>
    <w:rsid w:val="00735260"/>
    <w:rsid w:val="0077374C"/>
    <w:rsid w:val="0077714B"/>
    <w:rsid w:val="00792F73"/>
    <w:rsid w:val="007E12C9"/>
    <w:rsid w:val="007E5596"/>
    <w:rsid w:val="0083610F"/>
    <w:rsid w:val="008445B7"/>
    <w:rsid w:val="008C33A7"/>
    <w:rsid w:val="008D1CD3"/>
    <w:rsid w:val="00912D14"/>
    <w:rsid w:val="00946D30"/>
    <w:rsid w:val="0096382C"/>
    <w:rsid w:val="0097028F"/>
    <w:rsid w:val="00997F20"/>
    <w:rsid w:val="00A34015"/>
    <w:rsid w:val="00A411AD"/>
    <w:rsid w:val="00A80A69"/>
    <w:rsid w:val="00A93403"/>
    <w:rsid w:val="00A9648D"/>
    <w:rsid w:val="00AC0B57"/>
    <w:rsid w:val="00B201F7"/>
    <w:rsid w:val="00B27ABB"/>
    <w:rsid w:val="00B46953"/>
    <w:rsid w:val="00B92FF3"/>
    <w:rsid w:val="00BB46D0"/>
    <w:rsid w:val="00BE3FC5"/>
    <w:rsid w:val="00BF4176"/>
    <w:rsid w:val="00C238C0"/>
    <w:rsid w:val="00C63490"/>
    <w:rsid w:val="00C66A48"/>
    <w:rsid w:val="00C90743"/>
    <w:rsid w:val="00C91AE9"/>
    <w:rsid w:val="00C96B42"/>
    <w:rsid w:val="00CE0DF2"/>
    <w:rsid w:val="00CE7438"/>
    <w:rsid w:val="00D54552"/>
    <w:rsid w:val="00D570D0"/>
    <w:rsid w:val="00D64F02"/>
    <w:rsid w:val="00E81A3A"/>
    <w:rsid w:val="00EB0754"/>
    <w:rsid w:val="00EC1C31"/>
    <w:rsid w:val="00ED388C"/>
    <w:rsid w:val="00EE0DBD"/>
    <w:rsid w:val="00EF1699"/>
    <w:rsid w:val="00F23116"/>
    <w:rsid w:val="00F27787"/>
    <w:rsid w:val="00F44FB5"/>
    <w:rsid w:val="00F9310F"/>
    <w:rsid w:val="00FA54EA"/>
    <w:rsid w:val="00FC3BB5"/>
    <w:rsid w:val="00FF317F"/>
    <w:rsid w:val="35D54AF8"/>
    <w:rsid w:val="3A1E0B04"/>
    <w:rsid w:val="4A506A95"/>
    <w:rsid w:val="70C60606"/>
    <w:rsid w:val="7A407FF5"/>
    <w:rsid w:val="7CAE4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3"/>
    <w:qFormat/>
    <w:uiPriority w:val="9"/>
    <w:pPr>
      <w:spacing w:line="360" w:lineRule="auto"/>
      <w:outlineLvl w:val="0"/>
    </w:pPr>
    <w:rPr>
      <w:b/>
      <w:bCs/>
      <w:sz w:val="32"/>
      <w:szCs w:val="32"/>
    </w:rPr>
  </w:style>
  <w:style w:type="paragraph" w:styleId="3">
    <w:name w:val="heading 2"/>
    <w:basedOn w:val="1"/>
    <w:next w:val="1"/>
    <w:link w:val="14"/>
    <w:unhideWhenUsed/>
    <w:qFormat/>
    <w:uiPriority w:val="9"/>
    <w:pPr>
      <w:spacing w:before="156" w:beforeLines="50" w:after="156" w:afterLines="50" w:line="360" w:lineRule="auto"/>
      <w:outlineLvl w:val="1"/>
    </w:pPr>
    <w:rPr>
      <w:b/>
      <w:bCs/>
      <w:sz w:val="28"/>
      <w:szCs w:val="28"/>
    </w:rPr>
  </w:style>
  <w:style w:type="paragraph" w:styleId="4">
    <w:name w:val="heading 3"/>
    <w:basedOn w:val="1"/>
    <w:next w:val="1"/>
    <w:link w:val="15"/>
    <w:unhideWhenUsed/>
    <w:qFormat/>
    <w:uiPriority w:val="9"/>
    <w:pPr>
      <w:spacing w:before="163" w:beforeLines="50" w:after="163" w:afterLines="50"/>
      <w:outlineLvl w:val="2"/>
    </w:pPr>
    <w:rPr>
      <w:rFonts w:asciiTheme="minorEastAsia" w:hAnsiTheme="minorEastAsia"/>
      <w:b/>
      <w:bCs/>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8"/>
    <w:semiHidden/>
    <w:unhideWhenUsed/>
    <w:uiPriority w:val="99"/>
    <w:pPr>
      <w:jc w:val="left"/>
    </w:pPr>
  </w:style>
  <w:style w:type="paragraph" w:styleId="6">
    <w:name w:val="footer"/>
    <w:basedOn w:val="1"/>
    <w:link w:val="17"/>
    <w:unhideWhenUsed/>
    <w:uiPriority w:val="99"/>
    <w:pPr>
      <w:tabs>
        <w:tab w:val="center" w:pos="4153"/>
        <w:tab w:val="right" w:pos="8306"/>
      </w:tabs>
      <w:snapToGrid w:val="0"/>
      <w:spacing w:line="240" w:lineRule="atLeast"/>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annotation subject"/>
    <w:basedOn w:val="5"/>
    <w:next w:val="5"/>
    <w:link w:val="19"/>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标题 1 字符"/>
    <w:basedOn w:val="11"/>
    <w:link w:val="2"/>
    <w:qFormat/>
    <w:uiPriority w:val="9"/>
    <w:rPr>
      <w:b/>
      <w:bCs/>
      <w:sz w:val="32"/>
      <w:szCs w:val="32"/>
    </w:rPr>
  </w:style>
  <w:style w:type="character" w:customStyle="1" w:styleId="14">
    <w:name w:val="标题 2 字符"/>
    <w:basedOn w:val="11"/>
    <w:link w:val="3"/>
    <w:qFormat/>
    <w:uiPriority w:val="9"/>
    <w:rPr>
      <w:b/>
      <w:bCs/>
      <w:kern w:val="2"/>
      <w:sz w:val="28"/>
      <w:szCs w:val="28"/>
    </w:rPr>
  </w:style>
  <w:style w:type="character" w:customStyle="1" w:styleId="15">
    <w:name w:val="标题 3 字符"/>
    <w:basedOn w:val="11"/>
    <w:link w:val="4"/>
    <w:qFormat/>
    <w:uiPriority w:val="9"/>
    <w:rPr>
      <w:rFonts w:asciiTheme="minorEastAsia" w:hAnsiTheme="minorEastAsia"/>
      <w:b/>
      <w:bCs/>
      <w:kern w:val="2"/>
      <w:sz w:val="24"/>
      <w:szCs w:val="24"/>
    </w:r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批注文字 字符"/>
    <w:basedOn w:val="11"/>
    <w:link w:val="5"/>
    <w:semiHidden/>
    <w:qFormat/>
    <w:uiPriority w:val="99"/>
    <w:rPr>
      <w:sz w:val="24"/>
      <w:szCs w:val="24"/>
    </w:rPr>
  </w:style>
  <w:style w:type="character" w:customStyle="1" w:styleId="19">
    <w:name w:val="批注主题 字符"/>
    <w:basedOn w:val="18"/>
    <w:link w:val="8"/>
    <w:semiHidden/>
    <w:qFormat/>
    <w:uiPriority w:val="99"/>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0C4C8A"/>
      </a:accent1>
      <a:accent2>
        <a:srgbClr val="F6D257"/>
      </a:accent2>
      <a:accent3>
        <a:srgbClr val="88B14B"/>
      </a:accent3>
      <a:accent4>
        <a:srgbClr val="EF562D"/>
      </a:accent4>
      <a:accent5>
        <a:srgbClr val="97D5E0"/>
      </a:accent5>
      <a:accent6>
        <a:srgbClr val="D13076"/>
      </a:accent6>
      <a:hlink>
        <a:srgbClr val="0563C1"/>
      </a:hlink>
      <a:folHlink>
        <a:srgbClr val="954F72"/>
      </a:folHlink>
    </a:clrScheme>
    <a:fontScheme name="教委">
      <a:majorFont>
        <a:latin typeface="Arial"/>
        <a:ea typeface="仿宋"/>
        <a:cs typeface=""/>
      </a:majorFont>
      <a:minorFont>
        <a:latin typeface="Arial"/>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7A76E-4B7D-4BF1-9B71-4A977A16B4D4}">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866</Words>
  <Characters>4937</Characters>
  <Lines>41</Lines>
  <Paragraphs>11</Paragraphs>
  <TotalTime>0</TotalTime>
  <ScaleCrop>false</ScaleCrop>
  <LinksUpToDate>false</LinksUpToDate>
  <CharactersWithSpaces>5792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2022-01-26T05:01:00Z</dcterms:created>
  <dc:creator>Think</dc:creator>
  <cp:lastModifiedBy>Administrator</cp:lastModifiedBy>
  <dcterms:modified xsi:type="dcterms:W3CDTF">2022-01-27T09:33:54Z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F9361E4E42544C52BE48A0CD2B518D82</vt:lpwstr>
  </property>
</Properties>
</file>