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rPr>
      </w:pPr>
      <w:bookmarkStart w:id="0" w:name="_GoBack"/>
      <w:r>
        <w:rPr>
          <w:rFonts w:hint="eastAsia" w:asciiTheme="minorEastAsia" w:hAnsiTheme="minorEastAsia" w:eastAsiaTheme="minorEastAsia" w:cstheme="minorEastAsia"/>
        </w:rPr>
        <mc:AlternateContent>
          <mc:Choice Requires="wps">
            <w:drawing>
              <wp:anchor distT="0" distB="0" distL="114300" distR="114300" simplePos="0" relativeHeight="251659264" behindDoc="1" locked="0" layoutInCell="1" allowOverlap="1">
                <wp:simplePos x="0" y="0"/>
                <wp:positionH relativeFrom="column">
                  <wp:posOffset>-1019810</wp:posOffset>
                </wp:positionH>
                <wp:positionV relativeFrom="paragraph">
                  <wp:posOffset>-1104900</wp:posOffset>
                </wp:positionV>
                <wp:extent cx="7711440" cy="5089525"/>
                <wp:effectExtent l="0" t="0" r="3810" b="0"/>
                <wp:wrapNone/>
                <wp:docPr id="1" name="矩形 1"/>
                <wp:cNvGraphicFramePr/>
                <a:graphic xmlns:a="http://schemas.openxmlformats.org/drawingml/2006/main">
                  <a:graphicData uri="http://schemas.microsoft.com/office/word/2010/wordprocessingShape">
                    <wps:wsp>
                      <wps:cNvSpPr/>
                      <wps:spPr>
                        <a:xfrm>
                          <a:off x="0" y="0"/>
                          <a:ext cx="7711440" cy="508957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0.3pt;margin-top:-87pt;height:400.75pt;width:607.2pt;z-index:-251657216;v-text-anchor:middle;mso-width-relative:page;mso-height-relative:page;" fillcolor="#0C4C8A [3204]" filled="t" stroked="f" coordsize="21600,21600" o:gfxdata="UEsDBAoAAAAAAIdO4kAAAAAAAAAAAAAAAAAEAAAAZHJzL1BLAwQUAAAACACHTuJATsb6ktsAAAAO&#10;AQAADwAAAGRycy9kb3ducmV2LnhtbE2PQWrDMBBF94XeQUyhu0RyUjvFsRxKoQRaKNTtARRLsZ1I&#10;I2PJiXv7jlfNboZ5/Hm/2E3OsosZQudRQrIUwAzWXnfYSPj5fls8AwtRoVbWo5HwawLsyvu7QuXa&#10;X/HLXKrYMArBkCsJbYx9znmoW+NUWPreIN2OfnAq0jo0XA/qSuHO8pUQGXeqQ/rQqt68tqY+V6OT&#10;8Ll+78776bR/4R9H7jCtKzsGKR8fErEFFs0U/2GY9UkdSnI6+BF1YFbCIslERuw8bZ6o1syIdE19&#10;DhKy1SYFXhb8tkb5B1BLAwQUAAAACACHTuJA7cbCqmoCAADMBAAADgAAAGRycy9lMm9Eb2MueG1s&#10;rVTNbhMxEL4j8Q6W73Q3ISXpKpsqSlSEVNFIBXGeeO2sJf9hO9mUl0HixkPwOIjXYOzdpqVw6IEc&#10;nBnP5PtmPs9kfnnUihy4D9Kamo7OSkq4YbaRZlfTjx+uXs0oCRFMA8oaXtM7Hujl4uWLeecqPrat&#10;VQ33BEFMqDpX0zZGVxVFYC3XEM6s4waDwnoNEV2/KxoPHaJrVYzL8k3RWd84bxkPAW/XfZAOiP45&#10;gFYIyfjasr3mJvaoniuI2FJopQt0kasVgrN4I0TgkaiaYqcxn0iC9jadxWIO1c6DayUbSoDnlPCk&#10;Jw3SIOkJag0RyN7Lv6C0ZN4GK+IZs7roG8mKYBej8ok2ty04nntBqYM7iR7+Hyx7f9h4IhucBEoM&#10;aHzwX1+///zxjYySNp0LFabcuo0fvIBmavQovE7f2AI5Zj3vTnryYyQML6fT0WgyQakZxs7L2cX5&#10;9HVCLR5+7nyIb7nVJBk19fhgWUc4XIfYp96nJLZglWyupFLZ8bvtSnlygPS4q8lqthzQ/0hThnTY&#10;3nhapkoAR1bgqKCpHbYdzI4SUDvcBRZ95jY2MSA5VIl7DaHtOTJsooBKy4hboKSu6axMn4FZGWwv&#10;qdbrlKytbe5QY2/74QuOXUmEvYYQN+Bx2rAs3Md4g4dQFmu1g0VJa/2Xf92nfBwCjFLS4fRiH5/3&#10;4Dkl6p3B8bjodY/ZmZxPx8jhH0e2jyNmr1cWNcQRwOqymfKjujeFt/oTru0ysWIIDEPuXrHBWcV+&#10;q3DxGV8ucxqOuIN4bW4dS+BJN2OX+2iFzG/7oM4gGg55no5hIdMWPfZz1sOf0OI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Tsb6ktsAAAAOAQAADwAAAAAAAAABACAAAAAiAAAAZHJzL2Rvd25yZXYu&#10;eG1sUEsBAhQAFAAAAAgAh07iQO3GwqpqAgAAzAQAAA4AAAAAAAAAAQAgAAAAKgEAAGRycy9lMm9E&#10;b2MueG1sUEsFBgAAAAAGAAYAWQEAAAYGAAAAAA==&#10;">
                <v:fill on="t" focussize="0,0"/>
                <v:stroke on="f" weight="1pt" miterlimit="8" joinstyle="miter"/>
                <v:imagedata o:title=""/>
                <o:lock v:ext="edit" aspectratio="f"/>
              </v:rect>
            </w:pict>
          </mc:Fallback>
        </mc:AlternateConten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spacing w:before="326" w:beforeLines="100" w:after="326" w:afterLines="100" w:line="480" w:lineRule="auto"/>
        <w:jc w:val="center"/>
        <w:rPr>
          <w:rFonts w:hint="eastAsia" w:asciiTheme="minorEastAsia" w:hAnsiTheme="minorEastAsia" w:eastAsiaTheme="minorEastAsia" w:cstheme="minorEastAsia"/>
          <w:b/>
          <w:bCs/>
          <w:color w:val="FFFFFF" w:themeColor="background1"/>
          <w:sz w:val="40"/>
          <w:szCs w:val="40"/>
          <w14:textFill>
            <w14:solidFill>
              <w14:schemeClr w14:val="bg1"/>
            </w14:solidFill>
          </w14:textFill>
        </w:rPr>
      </w:pPr>
      <w:r>
        <w:rPr>
          <w:rFonts w:hint="eastAsia" w:asciiTheme="minorEastAsia" w:hAnsiTheme="minorEastAsia" w:eastAsiaTheme="minorEastAsia" w:cstheme="minorEastAsia"/>
          <w:b/>
          <w:bCs/>
          <w:color w:val="FFFFFF" w:themeColor="background1"/>
          <w:sz w:val="40"/>
          <w:szCs w:val="40"/>
          <w14:textFill>
            <w14:solidFill>
              <w14:schemeClr w14:val="bg1"/>
            </w14:solidFill>
          </w14:textFill>
        </w:rPr>
        <w:t>2021年 燕山区《国家学生体质健康标准》测试</w:t>
      </w:r>
    </w:p>
    <w:p>
      <w:pPr>
        <w:spacing w:before="326" w:beforeLines="100" w:after="326" w:afterLines="100" w:line="480" w:lineRule="auto"/>
        <w:jc w:val="center"/>
        <w:rPr>
          <w:rFonts w:hint="eastAsia" w:asciiTheme="minorEastAsia" w:hAnsiTheme="minorEastAsia" w:eastAsiaTheme="minorEastAsia" w:cstheme="minorEastAsia"/>
          <w:b/>
          <w:bCs/>
          <w:color w:val="FFFFFF" w:themeColor="background1"/>
          <w:sz w:val="40"/>
          <w:szCs w:val="40"/>
          <w14:textFill>
            <w14:solidFill>
              <w14:schemeClr w14:val="bg1"/>
            </w14:solidFill>
          </w14:textFill>
        </w:rPr>
      </w:pPr>
      <w:r>
        <w:rPr>
          <w:rFonts w:hint="eastAsia" w:asciiTheme="minorEastAsia" w:hAnsiTheme="minorEastAsia" w:eastAsiaTheme="minorEastAsia" w:cstheme="minorEastAsia"/>
          <w:b/>
          <w:bCs/>
          <w:color w:val="FFFFFF" w:themeColor="background1"/>
          <w:sz w:val="40"/>
          <w:szCs w:val="40"/>
          <w14:textFill>
            <w14:solidFill>
              <w14:schemeClr w14:val="bg1"/>
            </w14:solidFill>
          </w14:textFill>
        </w:rPr>
        <w:t>学校数据分析报告</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mc:AlternateContent>
          <mc:Choice Requires="wps">
            <w:drawing>
              <wp:anchor distT="0" distB="0" distL="114300" distR="114300" simplePos="0" relativeHeight="251660288" behindDoc="1" locked="0" layoutInCell="1" allowOverlap="1">
                <wp:simplePos x="0" y="0"/>
                <wp:positionH relativeFrom="column">
                  <wp:posOffset>-1019810</wp:posOffset>
                </wp:positionH>
                <wp:positionV relativeFrom="paragraph">
                  <wp:posOffset>403860</wp:posOffset>
                </wp:positionV>
                <wp:extent cx="7711440" cy="327660"/>
                <wp:effectExtent l="0" t="0" r="3810" b="0"/>
                <wp:wrapNone/>
                <wp:docPr id="2" name="矩形 2"/>
                <wp:cNvGraphicFramePr/>
                <a:graphic xmlns:a="http://schemas.openxmlformats.org/drawingml/2006/main">
                  <a:graphicData uri="http://schemas.microsoft.com/office/word/2010/wordprocessingShape">
                    <wps:wsp>
                      <wps:cNvSpPr/>
                      <wps:spPr>
                        <a:xfrm>
                          <a:off x="0" y="0"/>
                          <a:ext cx="7711440" cy="32766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0.3pt;margin-top:31.8pt;height:25.8pt;width:607.2pt;z-index:-251656192;v-text-anchor:middle;mso-width-relative:page;mso-height-relative:page;" fillcolor="#F6D257 [3205]" filled="t" stroked="f" coordsize="21600,21600" o:gfxdata="UEsDBAoAAAAAAIdO4kAAAAAAAAAAAAAAAAAEAAAAZHJzL1BLAwQUAAAACACHTuJAJnOQKNsAAAAM&#10;AQAADwAAAGRycy9kb3ducmV2LnhtbE2PP0/DMBDFdyS+g3VILKi10ygGhTgdQAx0QKJkgO0aH0lE&#10;bEex+wc+PdcJprvTe3r3e9X65EZxoDkOwRvIlgoE+TbYwXcGmrenxR2ImNBbHIMnA98UYV1fXlRY&#10;2nD0r3TYpk5wiI8lGuhTmkopY9uTw7gME3nWPsPsMPE5d9LOeORwN8qVUlo6HDx/6HGih57ar+3e&#10;GdioKdcvPz0+5je3m4/350Zi0RhzfZWpexCJTunPDGd8RoeamXZh720Uo4FFppVmrwGd8zw7VJFz&#10;mx1vWbECWVfyf4n6F1BLAwQUAAAACACHTuJAKEs/u2wCAADLBAAADgAAAGRycy9lMm9Eb2MueG1s&#10;rVTNbhMxEL4j8Q6W73STpU1KlE0VNQpCqmilgjg7Xm/Wkv+wnWzKyyBx4yF4HMRr8Nm7bUPh0AM5&#10;ODM7s/PNfP5m5xcHrche+CCtqej4ZESJMNzW0mwr+vHD+tU5JSEyUzNljajonQj0YvHyxbxzM1Ha&#10;1qpaeIIiJsw6V9E2RjcrisBboVk4sU4YBBvrNYtw/baoPetQXauiHI0mRWd97bzlIgQ8XfVBOlT0&#10;zylom0ZysbJ8p4WJfVUvFIsYKbTSBbrI3TaN4PG6aYKIRFUUk8Z8AgT2Jp3FYs5mW89cK/nQAntO&#10;C09m0kwagD6UWrHIyM7Lv0ppyb0Ntokn3OqiHyQzginGoyfc3LbMiTwLqA7ugfTw/8ry9/sbT2Rd&#10;0ZISwzQu/NfX7z9/fCNl4qZzYYaUW3fjBy/ATIMeGq/TP0Ygh8zn3QOf4hAJx8PpdDw+PQXVHLHX&#10;5XQyyYQXj287H+JbYTVJRkU97ivTyPZXIQIRqfcpCSxYJeu1VCo7fru5VJ7sGe52PVmVZ9PUMl75&#10;I00Z0kHn5XSUGmFQbAOlwNQOUwezpYSpLVaBR5+xjU0IqNRjr1hoe4xctleMlhFLoKSu6Pko/QZk&#10;ZdBAIq2nKVkbW9+BYm977QXH1xLDXrEQb5iH2NAW1jFe42iURa92sChprf/yr+cpHxpAlJIO4sUc&#10;n3fMC0rUOwN1vOlpj9k5PZuWwPDHkc1xxOz0pQWHYyy+49lM+VHdm423+hO2dplQEWKGA7tnbHAu&#10;Y79U2HsulsucBoU7Fq/MreOpeCLU2OUu2kbmu31kZyANGs/3N+xjWqJjP2c9foMW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mc5Ao2wAAAAwBAAAPAAAAAAAAAAEAIAAAACIAAABkcnMvZG93bnJl&#10;di54bWxQSwECFAAUAAAACACHTuJAKEs/u2wCAADLBAAADgAAAAAAAAABACAAAAAqAQAAZHJzL2Uy&#10;b0RvYy54bWxQSwUGAAAAAAYABgBZAQAACAYAAAAA&#10;">
                <v:fill on="t" focussize="0,0"/>
                <v:stroke on="f" weight="1pt" miterlimit="8" joinstyle="miter"/>
                <v:imagedata o:title=""/>
                <o:lock v:ext="edit" aspectratio="f"/>
              </v:rect>
            </w:pict>
          </mc:Fallback>
        </mc:AlternateConten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jc w:val="right"/>
        <w:rPr>
          <w:rFonts w:hint="eastAsia" w:asciiTheme="minorEastAsia" w:hAnsiTheme="minorEastAsia" w:eastAsiaTheme="minorEastAsia" w:cstheme="minorEastAsia"/>
          <w:b/>
          <w:bCs/>
          <w:sz w:val="44"/>
          <w:szCs w:val="44"/>
        </w:rPr>
      </w:pPr>
      <w:r>
        <w:rPr>
          <w:rFonts w:hint="eastAsia" w:asciiTheme="minorEastAsia" w:hAnsiTheme="minorEastAsia" w:eastAsiaTheme="minorEastAsia" w:cstheme="minorEastAsia"/>
          <w:b/>
          <w:bCs/>
          <w:sz w:val="44"/>
          <w:szCs w:val="44"/>
        </w:rPr>
        <w:t>北京师范大学燕化附属中学</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br w:type="page"/>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anchor distT="0" distB="0" distL="114300" distR="114300" simplePos="0" relativeHeight="251661312" behindDoc="0" locked="0" layoutInCell="1" allowOverlap="1">
            <wp:simplePos x="0" y="0"/>
            <wp:positionH relativeFrom="leftMargin">
              <wp:align>right</wp:align>
            </wp:positionH>
            <wp:positionV relativeFrom="paragraph">
              <wp:posOffset>76200</wp:posOffset>
            </wp:positionV>
            <wp:extent cx="222885" cy="226695"/>
            <wp:effectExtent l="0" t="0" r="5715" b="1905"/>
            <wp:wrapThrough wrapText="bothSides">
              <wp:wrapPolygon>
                <wp:start x="0" y="0"/>
                <wp:lineTo x="0" y="19966"/>
                <wp:lineTo x="20308" y="19966"/>
                <wp:lineTo x="20308" y="0"/>
                <wp:lineTo x="0" y="0"/>
              </wp:wrapPolygon>
            </wp:wrapThrough>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222885" cy="226695"/>
                    </a:xfrm>
                    <a:prstGeom prst="rect">
                      <a:avLst/>
                    </a:prstGeom>
                    <a:noFill/>
                    <a:ln>
                      <a:noFill/>
                    </a:ln>
                  </pic:spPr>
                </pic:pic>
              </a:graphicData>
            </a:graphic>
          </wp:anchor>
        </w:drawing>
      </w:r>
      <w:r>
        <w:rPr>
          <w:rFonts w:hint="eastAsia" w:asciiTheme="minorEastAsia" w:hAnsiTheme="minorEastAsia" w:eastAsiaTheme="minorEastAsia" w:cstheme="minorEastAsia"/>
        </w:rPr>
        <w:t>一、学校情况</w:t>
      </w:r>
    </w:p>
    <w:p>
      <w:pPr>
        <w:rPr>
          <w:rFonts w:hint="eastAsia" w:asciiTheme="minorEastAsia" w:hAnsiTheme="minorEastAsia" w:eastAsiaTheme="minorEastAsia" w:cstheme="minorEastAsia"/>
        </w:rPr>
      </w:pPr>
    </w:p>
    <w:tbl>
      <w:tblPr>
        <w:tblStyle w:val="9"/>
        <w:tblW w:w="9866" w:type="dxa"/>
        <w:jc w:val="center"/>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Layout w:type="fixed"/>
        <w:tblCellMar>
          <w:top w:w="0" w:type="dxa"/>
          <w:left w:w="108" w:type="dxa"/>
          <w:bottom w:w="0" w:type="dxa"/>
          <w:right w:w="108" w:type="dxa"/>
        </w:tblCellMar>
      </w:tblPr>
      <w:tblGrid>
        <w:gridCol w:w="1237"/>
        <w:gridCol w:w="1422"/>
        <w:gridCol w:w="1423"/>
        <w:gridCol w:w="1422"/>
        <w:gridCol w:w="1423"/>
        <w:gridCol w:w="1516"/>
        <w:gridCol w:w="1423"/>
      </w:tblGrid>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4082" w:type="dxa"/>
            <w:gridSpan w:val="3"/>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学校</w:t>
            </w:r>
          </w:p>
        </w:tc>
        <w:tc>
          <w:tcPr>
            <w:tcW w:w="5784" w:type="dxa"/>
            <w:gridSpan w:val="4"/>
            <w:shd w:val="clear" w:color="auto" w:fill="FFFFFF"/>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北京师范大学燕化附属中学</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237" w:type="dxa"/>
            <w:vMerge w:val="restart"/>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本校</w:t>
            </w:r>
          </w:p>
        </w:tc>
        <w:tc>
          <w:tcPr>
            <w:tcW w:w="1422"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报名人数</w:t>
            </w:r>
          </w:p>
        </w:tc>
        <w:tc>
          <w:tcPr>
            <w:tcW w:w="1423"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1094</w:t>
            </w:r>
          </w:p>
        </w:tc>
        <w:tc>
          <w:tcPr>
            <w:tcW w:w="1422"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免体人数</w:t>
            </w:r>
          </w:p>
        </w:tc>
        <w:tc>
          <w:tcPr>
            <w:tcW w:w="1423"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w:t>
            </w:r>
          </w:p>
        </w:tc>
        <w:tc>
          <w:tcPr>
            <w:tcW w:w="1516"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免体比率</w:t>
            </w:r>
          </w:p>
        </w:tc>
        <w:tc>
          <w:tcPr>
            <w:tcW w:w="1423"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237" w:type="dxa"/>
            <w:vMerge w:val="continue"/>
            <w:shd w:val="clear" w:color="auto" w:fill="F2F2F2"/>
            <w:vAlign w:val="center"/>
          </w:tcPr>
          <w:p>
            <w:pPr>
              <w:jc w:val="center"/>
              <w:rPr>
                <w:rFonts w:hint="eastAsia" w:asciiTheme="minorEastAsia" w:hAnsiTheme="minorEastAsia" w:eastAsiaTheme="minorEastAsia" w:cstheme="minorEastAsia"/>
                <w:b/>
                <w:sz w:val="21"/>
                <w:szCs w:val="21"/>
              </w:rPr>
            </w:pPr>
          </w:p>
        </w:tc>
        <w:tc>
          <w:tcPr>
            <w:tcW w:w="1422"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参测人数</w:t>
            </w:r>
          </w:p>
        </w:tc>
        <w:tc>
          <w:tcPr>
            <w:tcW w:w="1423"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1066</w:t>
            </w:r>
          </w:p>
        </w:tc>
        <w:tc>
          <w:tcPr>
            <w:tcW w:w="1422"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参测比例</w:t>
            </w:r>
          </w:p>
        </w:tc>
        <w:tc>
          <w:tcPr>
            <w:tcW w:w="1423"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97.44</w:t>
            </w:r>
          </w:p>
        </w:tc>
        <w:tc>
          <w:tcPr>
            <w:tcW w:w="1516"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获得加分人数</w:t>
            </w:r>
          </w:p>
        </w:tc>
        <w:tc>
          <w:tcPr>
            <w:tcW w:w="1423"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27</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237" w:type="dxa"/>
            <w:vMerge w:val="restart"/>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全市</w:t>
            </w:r>
          </w:p>
        </w:tc>
        <w:tc>
          <w:tcPr>
            <w:tcW w:w="1422"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报名人数</w:t>
            </w:r>
          </w:p>
        </w:tc>
        <w:tc>
          <w:tcPr>
            <w:tcW w:w="1423"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6371</w:t>
            </w:r>
          </w:p>
        </w:tc>
        <w:tc>
          <w:tcPr>
            <w:tcW w:w="1422"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免体人数</w:t>
            </w:r>
          </w:p>
        </w:tc>
        <w:tc>
          <w:tcPr>
            <w:tcW w:w="1423"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w:t>
            </w:r>
          </w:p>
        </w:tc>
        <w:tc>
          <w:tcPr>
            <w:tcW w:w="1516"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免体比率</w:t>
            </w:r>
          </w:p>
        </w:tc>
        <w:tc>
          <w:tcPr>
            <w:tcW w:w="1423"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237" w:type="dxa"/>
            <w:vMerge w:val="continue"/>
            <w:shd w:val="clear" w:color="auto" w:fill="F2F2F2"/>
            <w:vAlign w:val="center"/>
          </w:tcPr>
          <w:p>
            <w:pPr>
              <w:jc w:val="center"/>
              <w:rPr>
                <w:rFonts w:hint="eastAsia" w:asciiTheme="minorEastAsia" w:hAnsiTheme="minorEastAsia" w:eastAsiaTheme="minorEastAsia" w:cstheme="minorEastAsia"/>
                <w:b/>
                <w:sz w:val="21"/>
                <w:szCs w:val="21"/>
              </w:rPr>
            </w:pPr>
          </w:p>
        </w:tc>
        <w:tc>
          <w:tcPr>
            <w:tcW w:w="1422"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参测人数</w:t>
            </w:r>
          </w:p>
        </w:tc>
        <w:tc>
          <w:tcPr>
            <w:tcW w:w="1423"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6298</w:t>
            </w:r>
          </w:p>
        </w:tc>
        <w:tc>
          <w:tcPr>
            <w:tcW w:w="1422"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参测比例</w:t>
            </w:r>
          </w:p>
        </w:tc>
        <w:tc>
          <w:tcPr>
            <w:tcW w:w="1423"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98.85</w:t>
            </w:r>
          </w:p>
        </w:tc>
        <w:tc>
          <w:tcPr>
            <w:tcW w:w="1516"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获得加分人数</w:t>
            </w:r>
          </w:p>
        </w:tc>
        <w:tc>
          <w:tcPr>
            <w:tcW w:w="1423"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1007</w:t>
            </w:r>
          </w:p>
        </w:tc>
      </w:tr>
    </w:tbl>
    <w:p>
      <w:pPr>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anchor distT="0" distB="0" distL="114300" distR="114300" simplePos="0" relativeHeight="251662336" behindDoc="0" locked="0" layoutInCell="1" allowOverlap="1">
            <wp:simplePos x="0" y="0"/>
            <wp:positionH relativeFrom="leftMargin">
              <wp:align>right</wp:align>
            </wp:positionH>
            <wp:positionV relativeFrom="paragraph">
              <wp:posOffset>75565</wp:posOffset>
            </wp:positionV>
            <wp:extent cx="236855" cy="220345"/>
            <wp:effectExtent l="0" t="0" r="0" b="8255"/>
            <wp:wrapThrough wrapText="bothSides">
              <wp:wrapPolygon>
                <wp:start x="0" y="0"/>
                <wp:lineTo x="0" y="20542"/>
                <wp:lineTo x="19110" y="20542"/>
                <wp:lineTo x="19110" y="0"/>
                <wp:lineTo x="0" y="0"/>
              </wp:wrapPolygon>
            </wp:wrapThrough>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236855" cy="220345"/>
                    </a:xfrm>
                    <a:prstGeom prst="rect">
                      <a:avLst/>
                    </a:prstGeom>
                    <a:noFill/>
                    <a:ln>
                      <a:noFill/>
                    </a:ln>
                  </pic:spPr>
                </pic:pic>
              </a:graphicData>
            </a:graphic>
          </wp:anchor>
        </w:drawing>
      </w:r>
      <w:r>
        <w:rPr>
          <w:rFonts w:hint="eastAsia" w:asciiTheme="minorEastAsia" w:hAnsiTheme="minorEastAsia" w:eastAsiaTheme="minorEastAsia" w:cstheme="minorEastAsia"/>
        </w:rPr>
        <w:t>二、学校测试情况</w:t>
      </w:r>
    </w:p>
    <w:p>
      <w:pPr>
        <w:pStyle w:val="3"/>
        <w:spacing w:before="163" w:after="163"/>
        <w:rPr>
          <w:rFonts w:hint="eastAsia" w:asciiTheme="minorEastAsia" w:hAnsiTheme="minorEastAsia" w:eastAsiaTheme="minorEastAsia" w:cstheme="minorEastAsia"/>
        </w:rPr>
      </w:pPr>
      <w:r>
        <w:rPr>
          <w:rFonts w:hint="eastAsia" w:asciiTheme="minorEastAsia" w:hAnsiTheme="minorEastAsia" w:eastAsiaTheme="minorEastAsia" w:cstheme="minorEastAsia"/>
        </w:rPr>
        <w:t>（一）总体评价等级百分比（%）</w:t>
      </w:r>
    </w:p>
    <w:tbl>
      <w:tblPr>
        <w:tblStyle w:val="9"/>
        <w:tblW w:w="9866" w:type="dxa"/>
        <w:jc w:val="center"/>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Layout w:type="fixed"/>
        <w:tblCellMar>
          <w:top w:w="0" w:type="dxa"/>
          <w:left w:w="108" w:type="dxa"/>
          <w:bottom w:w="0" w:type="dxa"/>
          <w:right w:w="108" w:type="dxa"/>
        </w:tblCellMar>
      </w:tblPr>
      <w:tblGrid>
        <w:gridCol w:w="1643"/>
        <w:gridCol w:w="1645"/>
        <w:gridCol w:w="1644"/>
        <w:gridCol w:w="1645"/>
        <w:gridCol w:w="1644"/>
        <w:gridCol w:w="1645"/>
      </w:tblGrid>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3288" w:type="dxa"/>
            <w:gridSpan w:val="2"/>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等级</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优秀</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良好</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及格</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不及格</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高中</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1.03</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19.04</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69.14</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10.79</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全区该学段</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1.03</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19.04</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69.14</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10.79</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全学段</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1.03</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19.04</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69.14</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10.79</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全区整体</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13.81</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31.93</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48.75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5.51</w:t>
            </w:r>
          </w:p>
        </w:tc>
      </w:tr>
    </w:tbl>
    <w:p>
      <w:pPr>
        <w:widowControl/>
        <w:spacing w:line="240" w:lineRule="auto"/>
        <w:jc w:val="left"/>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rPr>
        <w:br w:type="page"/>
      </w:r>
    </w:p>
    <w:p>
      <w:pPr>
        <w:pStyle w:val="3"/>
        <w:spacing w:before="163" w:after="163"/>
        <w:rPr>
          <w:rFonts w:hint="eastAsia" w:asciiTheme="minorEastAsia" w:hAnsiTheme="minorEastAsia" w:eastAsiaTheme="minorEastAsia" w:cstheme="minorEastAsia"/>
        </w:rPr>
      </w:pPr>
      <w:r>
        <w:rPr>
          <w:rFonts w:hint="eastAsia" w:asciiTheme="minorEastAsia" w:hAnsiTheme="minorEastAsia" w:eastAsiaTheme="minorEastAsia" w:cstheme="minorEastAsia"/>
        </w:rPr>
        <w:t>（二）单项指标等级百分比（%）</w:t>
      </w: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1. 身体形态（BMI）</w:t>
      </w:r>
    </w:p>
    <w:tbl>
      <w:tblPr>
        <w:tblStyle w:val="9"/>
        <w:tblW w:w="9866" w:type="dxa"/>
        <w:jc w:val="center"/>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Layout w:type="fixed"/>
        <w:tblCellMar>
          <w:top w:w="0" w:type="dxa"/>
          <w:left w:w="108" w:type="dxa"/>
          <w:bottom w:w="0" w:type="dxa"/>
          <w:right w:w="108" w:type="dxa"/>
        </w:tblCellMar>
      </w:tblPr>
      <w:tblGrid>
        <w:gridCol w:w="1643"/>
        <w:gridCol w:w="1645"/>
        <w:gridCol w:w="1644"/>
        <w:gridCol w:w="1645"/>
        <w:gridCol w:w="1644"/>
        <w:gridCol w:w="1645"/>
      </w:tblGrid>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3288" w:type="dxa"/>
            <w:gridSpan w:val="2"/>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等级</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正常</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低体重</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超重</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肥胖</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高中</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66.60</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2.16</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14.26</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16.98</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全区该学段</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66.60</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2.16</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14.26</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16.98</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全学段</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66.60</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2.16</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14.26</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16.98</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全区整体</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64.40</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2.30</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15.00</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18.29</w:t>
            </w:r>
          </w:p>
        </w:tc>
      </w:tr>
    </w:tbl>
    <w:p>
      <w:pPr>
        <w:rPr>
          <w:rFonts w:hint="eastAsia" w:asciiTheme="minorEastAsia" w:hAnsiTheme="minorEastAsia" w:eastAsiaTheme="minorEastAsia" w:cstheme="minorEastAsia"/>
        </w:rPr>
      </w:pP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rPr>
        <w:t>. 身体机能（肺活量）</w:t>
      </w:r>
    </w:p>
    <w:tbl>
      <w:tblPr>
        <w:tblStyle w:val="9"/>
        <w:tblW w:w="9866" w:type="dxa"/>
        <w:jc w:val="center"/>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Layout w:type="fixed"/>
        <w:tblCellMar>
          <w:top w:w="0" w:type="dxa"/>
          <w:left w:w="108" w:type="dxa"/>
          <w:bottom w:w="0" w:type="dxa"/>
          <w:right w:w="108" w:type="dxa"/>
        </w:tblCellMar>
      </w:tblPr>
      <w:tblGrid>
        <w:gridCol w:w="1643"/>
        <w:gridCol w:w="1645"/>
        <w:gridCol w:w="1644"/>
        <w:gridCol w:w="1645"/>
        <w:gridCol w:w="1644"/>
        <w:gridCol w:w="1645"/>
      </w:tblGrid>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PrEx>
        <w:trPr>
          <w:trHeight w:val="454" w:hRule="atLeast"/>
          <w:jc w:val="center"/>
        </w:trPr>
        <w:tc>
          <w:tcPr>
            <w:tcW w:w="3288" w:type="dxa"/>
            <w:gridSpan w:val="2"/>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等级</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优秀</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良好</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及格</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不及格</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高中</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29.92</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26.64</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43.15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0.28</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全区该学段</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29.92</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26.64</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43.15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0.28</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全学段</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29.92</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26.64</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43.15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0.28</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全区整体</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25.58</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22.69</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49.35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2.38</w:t>
            </w:r>
          </w:p>
        </w:tc>
      </w:tr>
    </w:tbl>
    <w:p>
      <w:pPr>
        <w:rPr>
          <w:rFonts w:hint="eastAsia" w:asciiTheme="minorEastAsia" w:hAnsiTheme="minorEastAsia" w:eastAsiaTheme="minorEastAsia" w:cstheme="minorEastAsia"/>
        </w:rPr>
      </w:pP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3. 50米跑</w:t>
      </w:r>
    </w:p>
    <w:tbl>
      <w:tblPr>
        <w:tblStyle w:val="9"/>
        <w:tblW w:w="9866" w:type="dxa"/>
        <w:jc w:val="center"/>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Layout w:type="fixed"/>
        <w:tblCellMar>
          <w:top w:w="0" w:type="dxa"/>
          <w:left w:w="108" w:type="dxa"/>
          <w:bottom w:w="0" w:type="dxa"/>
          <w:right w:w="108" w:type="dxa"/>
        </w:tblCellMar>
      </w:tblPr>
      <w:tblGrid>
        <w:gridCol w:w="1643"/>
        <w:gridCol w:w="1645"/>
        <w:gridCol w:w="1644"/>
        <w:gridCol w:w="1645"/>
        <w:gridCol w:w="1644"/>
        <w:gridCol w:w="1645"/>
      </w:tblGrid>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3288" w:type="dxa"/>
            <w:gridSpan w:val="2"/>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等级</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优秀</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良好</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及格</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不及格</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高中</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15.76</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11.82</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67.45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4.97</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全区该学段</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15.76</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11.82</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67.45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4.97</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全学段</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15.76</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11.82</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67.45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4.97</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全区整体</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21.44</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16.51</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57.48</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4.57</w:t>
            </w:r>
          </w:p>
        </w:tc>
      </w:tr>
    </w:tbl>
    <w:p>
      <w:pPr>
        <w:rPr>
          <w:rFonts w:hint="eastAsia" w:asciiTheme="minorEastAsia" w:hAnsiTheme="minorEastAsia" w:eastAsiaTheme="minorEastAsia" w:cstheme="minorEastAsia"/>
        </w:rPr>
      </w:pP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4. 坐位体前屈</w:t>
      </w:r>
    </w:p>
    <w:tbl>
      <w:tblPr>
        <w:tblStyle w:val="9"/>
        <w:tblW w:w="9866" w:type="dxa"/>
        <w:jc w:val="center"/>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Layout w:type="fixed"/>
        <w:tblCellMar>
          <w:top w:w="0" w:type="dxa"/>
          <w:left w:w="108" w:type="dxa"/>
          <w:bottom w:w="0" w:type="dxa"/>
          <w:right w:w="108" w:type="dxa"/>
        </w:tblCellMar>
      </w:tblPr>
      <w:tblGrid>
        <w:gridCol w:w="1643"/>
        <w:gridCol w:w="1645"/>
        <w:gridCol w:w="1644"/>
        <w:gridCol w:w="1645"/>
        <w:gridCol w:w="1644"/>
        <w:gridCol w:w="1645"/>
      </w:tblGrid>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3288" w:type="dxa"/>
            <w:gridSpan w:val="2"/>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等级</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优秀</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良好</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及格</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不及格</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高中</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11.54</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15.20</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68.95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4.32</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全区该学段</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11.54</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15.20</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68.95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4.32</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全学段</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11.54</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15.20</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68.95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4.32</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全区整体</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21.40</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22.66</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53.94</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2.00</w:t>
            </w:r>
          </w:p>
        </w:tc>
      </w:tr>
    </w:tbl>
    <w:p>
      <w:pPr>
        <w:rPr>
          <w:rFonts w:hint="eastAsia" w:asciiTheme="minorEastAsia" w:hAnsiTheme="minorEastAsia" w:eastAsiaTheme="minorEastAsia" w:cstheme="minorEastAsia"/>
        </w:rPr>
      </w:pP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5</w:t>
      </w:r>
      <w:r>
        <w:rPr>
          <w:rFonts w:hint="eastAsia" w:asciiTheme="minorEastAsia" w:hAnsiTheme="minorEastAsia" w:eastAsiaTheme="minorEastAsia" w:cstheme="minorEastAsia"/>
        </w:rPr>
        <w:t>. 1分钟仰卧起坐</w:t>
      </w:r>
    </w:p>
    <w:tbl>
      <w:tblPr>
        <w:tblStyle w:val="9"/>
        <w:tblW w:w="9866" w:type="dxa"/>
        <w:jc w:val="center"/>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Layout w:type="fixed"/>
        <w:tblCellMar>
          <w:top w:w="0" w:type="dxa"/>
          <w:left w:w="108" w:type="dxa"/>
          <w:bottom w:w="0" w:type="dxa"/>
          <w:right w:w="108" w:type="dxa"/>
        </w:tblCellMar>
      </w:tblPr>
      <w:tblGrid>
        <w:gridCol w:w="1643"/>
        <w:gridCol w:w="1645"/>
        <w:gridCol w:w="1644"/>
        <w:gridCol w:w="1645"/>
        <w:gridCol w:w="1644"/>
        <w:gridCol w:w="1645"/>
      </w:tblGrid>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3288" w:type="dxa"/>
            <w:gridSpan w:val="2"/>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等级</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优秀</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良好</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及格</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不及格</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高中</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6.57</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13.64</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78.62</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1.18</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全区该学段</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6.57</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13.64</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78.62</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1.18</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全学段</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6.57</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13.64</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78.62</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1.18</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全区整体</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9.67</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16.50</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72.87</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0.96</w:t>
            </w:r>
          </w:p>
        </w:tc>
      </w:tr>
    </w:tbl>
    <w:p>
      <w:pPr>
        <w:rPr>
          <w:rFonts w:hint="eastAsia" w:asciiTheme="minorEastAsia" w:hAnsiTheme="minorEastAsia" w:eastAsiaTheme="minorEastAsia" w:cstheme="minorEastAsia"/>
        </w:rPr>
      </w:pP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6</w:t>
      </w:r>
      <w:r>
        <w:rPr>
          <w:rFonts w:hint="eastAsia" w:asciiTheme="minorEastAsia" w:hAnsiTheme="minorEastAsia" w:eastAsiaTheme="minorEastAsia" w:cstheme="minorEastAsia"/>
        </w:rPr>
        <w:t>. 立定跳远</w:t>
      </w:r>
    </w:p>
    <w:tbl>
      <w:tblPr>
        <w:tblStyle w:val="9"/>
        <w:tblW w:w="9866" w:type="dxa"/>
        <w:jc w:val="center"/>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Layout w:type="fixed"/>
        <w:tblCellMar>
          <w:top w:w="0" w:type="dxa"/>
          <w:left w:w="108" w:type="dxa"/>
          <w:bottom w:w="0" w:type="dxa"/>
          <w:right w:w="108" w:type="dxa"/>
        </w:tblCellMar>
      </w:tblPr>
      <w:tblGrid>
        <w:gridCol w:w="1643"/>
        <w:gridCol w:w="1645"/>
        <w:gridCol w:w="1644"/>
        <w:gridCol w:w="1645"/>
        <w:gridCol w:w="1644"/>
        <w:gridCol w:w="1645"/>
      </w:tblGrid>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3288" w:type="dxa"/>
            <w:gridSpan w:val="2"/>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等级</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优秀</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良好</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及格</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不及格</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高中</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2.16</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9.47</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56.00</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32.36</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全区该学段</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2.16</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9.47</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56.00</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32.36</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全学段</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2.16</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9.47</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56.00</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32.36</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全区整体</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5.57</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12.25</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56.05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26.14</w:t>
            </w:r>
          </w:p>
        </w:tc>
      </w:tr>
    </w:tbl>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br w:type="page"/>
      </w: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7</w:t>
      </w:r>
      <w:r>
        <w:rPr>
          <w:rFonts w:hint="eastAsia" w:asciiTheme="minorEastAsia" w:hAnsiTheme="minorEastAsia" w:eastAsiaTheme="minorEastAsia" w:cstheme="minorEastAsia"/>
        </w:rPr>
        <w:t>. 800米跑（女生）</w:t>
      </w:r>
    </w:p>
    <w:tbl>
      <w:tblPr>
        <w:tblStyle w:val="9"/>
        <w:tblW w:w="9866" w:type="dxa"/>
        <w:jc w:val="center"/>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Layout w:type="fixed"/>
        <w:tblCellMar>
          <w:top w:w="0" w:type="dxa"/>
          <w:left w:w="108" w:type="dxa"/>
          <w:bottom w:w="0" w:type="dxa"/>
          <w:right w:w="108" w:type="dxa"/>
        </w:tblCellMar>
      </w:tblPr>
      <w:tblGrid>
        <w:gridCol w:w="1643"/>
        <w:gridCol w:w="1645"/>
        <w:gridCol w:w="1644"/>
        <w:gridCol w:w="1645"/>
        <w:gridCol w:w="1644"/>
        <w:gridCol w:w="1645"/>
      </w:tblGrid>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3288" w:type="dxa"/>
            <w:gridSpan w:val="2"/>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等级</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优秀</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良好</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及格</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不及格</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高中</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2.36</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8.75</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67.51</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21.38</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全区该学段</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2.36</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8.75</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67.51</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21.38</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全学段</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2.36</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8.75</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67.51</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21.38</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全区整体</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13.06</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15.21</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57.57</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14.17</w:t>
            </w:r>
          </w:p>
        </w:tc>
      </w:tr>
    </w:tbl>
    <w:p>
      <w:pPr>
        <w:rPr>
          <w:rFonts w:hint="eastAsia" w:asciiTheme="minorEastAsia" w:hAnsiTheme="minorEastAsia" w:eastAsiaTheme="minorEastAsia" w:cstheme="minorEastAsia"/>
        </w:rPr>
      </w:pP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8</w:t>
      </w:r>
      <w:r>
        <w:rPr>
          <w:rFonts w:hint="eastAsia" w:asciiTheme="minorEastAsia" w:hAnsiTheme="minorEastAsia" w:eastAsiaTheme="minorEastAsia" w:cstheme="minorEastAsia"/>
        </w:rPr>
        <w:t>. 1000米跑（男生）</w:t>
      </w:r>
    </w:p>
    <w:tbl>
      <w:tblPr>
        <w:tblStyle w:val="9"/>
        <w:tblW w:w="9866" w:type="dxa"/>
        <w:jc w:val="center"/>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Layout w:type="fixed"/>
        <w:tblCellMar>
          <w:top w:w="0" w:type="dxa"/>
          <w:left w:w="108" w:type="dxa"/>
          <w:bottom w:w="0" w:type="dxa"/>
          <w:right w:w="108" w:type="dxa"/>
        </w:tblCellMar>
      </w:tblPr>
      <w:tblGrid>
        <w:gridCol w:w="1643"/>
        <w:gridCol w:w="1645"/>
        <w:gridCol w:w="1644"/>
        <w:gridCol w:w="1645"/>
        <w:gridCol w:w="1644"/>
        <w:gridCol w:w="1645"/>
      </w:tblGrid>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3288" w:type="dxa"/>
            <w:gridSpan w:val="2"/>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等级</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优秀</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良好</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及格</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不及格</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高中</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12.08</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12.29</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56.99</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18.64</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全区该学段</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12.08</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12.29</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56.99</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18.64</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全学段</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12.08</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12.29</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56.99</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18.64</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全区整体</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15.32</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15.63</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49.18</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19.87</w:t>
            </w:r>
          </w:p>
        </w:tc>
      </w:tr>
    </w:tbl>
    <w:p>
      <w:pPr>
        <w:rPr>
          <w:rFonts w:hint="eastAsia" w:asciiTheme="minorEastAsia" w:hAnsiTheme="minorEastAsia" w:eastAsiaTheme="minorEastAsia" w:cstheme="minorEastAsia"/>
        </w:rPr>
      </w:pP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9</w:t>
      </w:r>
      <w:r>
        <w:rPr>
          <w:rFonts w:hint="eastAsia" w:asciiTheme="minorEastAsia" w:hAnsiTheme="minorEastAsia" w:eastAsiaTheme="minorEastAsia" w:cstheme="minorEastAsia"/>
        </w:rPr>
        <w:t>. 引体向上（男生）</w:t>
      </w:r>
    </w:p>
    <w:tbl>
      <w:tblPr>
        <w:tblStyle w:val="9"/>
        <w:tblW w:w="9866" w:type="dxa"/>
        <w:jc w:val="center"/>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Layout w:type="fixed"/>
        <w:tblCellMar>
          <w:top w:w="0" w:type="dxa"/>
          <w:left w:w="108" w:type="dxa"/>
          <w:bottom w:w="0" w:type="dxa"/>
          <w:right w:w="108" w:type="dxa"/>
        </w:tblCellMar>
      </w:tblPr>
      <w:tblGrid>
        <w:gridCol w:w="1643"/>
        <w:gridCol w:w="1645"/>
        <w:gridCol w:w="1644"/>
        <w:gridCol w:w="1645"/>
        <w:gridCol w:w="1644"/>
        <w:gridCol w:w="1645"/>
      </w:tblGrid>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3288" w:type="dxa"/>
            <w:gridSpan w:val="2"/>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等级</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优秀</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良好</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及格</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不及格</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高中</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5.30</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1.69</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13.35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79.66</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全区该学段</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5.30</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1.69</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13.35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79.66</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全学段</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5.30</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1.69</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13.35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79.66</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全区整体</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5.26</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1.49</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11.00</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82.25</w:t>
            </w:r>
          </w:p>
        </w:tc>
      </w:tr>
    </w:tbl>
    <w:p>
      <w:pPr>
        <w:rPr>
          <w:rFonts w:hint="eastAsia" w:asciiTheme="minorEastAsia" w:hAnsiTheme="minorEastAsia" w:eastAsiaTheme="minorEastAsia" w:cstheme="minorEastAsia"/>
        </w:rPr>
      </w:pPr>
    </w:p>
    <w:p>
      <w:pPr>
        <w:widowControl/>
        <w:spacing w:line="240" w:lineRule="auto"/>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rPr>
        <w:br w:type="page"/>
      </w:r>
    </w:p>
    <w:p>
      <w:pPr>
        <w:pStyle w:val="3"/>
        <w:spacing w:before="163" w:after="163"/>
        <w:rPr>
          <w:rFonts w:hint="eastAsia" w:asciiTheme="minorEastAsia" w:hAnsiTheme="minorEastAsia" w:eastAsiaTheme="minorEastAsia" w:cstheme="minorEastAsia"/>
        </w:rPr>
      </w:pPr>
      <w:r>
        <w:rPr>
          <w:rFonts w:hint="eastAsia" w:asciiTheme="minorEastAsia" w:hAnsiTheme="minorEastAsia" w:eastAsiaTheme="minorEastAsia" w:cstheme="minorEastAsia"/>
        </w:rPr>
        <w:t>（三）各项指标等级横向比较（%）</w:t>
      </w: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1. </w:t>
      </w:r>
      <w:r>
        <w:rPr>
          <w:rFonts w:hint="eastAsia" w:asciiTheme="minorEastAsia" w:hAnsiTheme="minorEastAsia" w:eastAsiaTheme="minorEastAsia" w:cstheme="minorEastAsia"/>
        </w:rPr>
        <w:t>高中学段</w:t>
      </w:r>
    </w:p>
    <w:tbl>
      <w:tblPr>
        <w:tblStyle w:val="9"/>
        <w:tblW w:w="8959" w:type="dxa"/>
        <w:jc w:val="center"/>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Layout w:type="fixed"/>
        <w:tblCellMar>
          <w:top w:w="0" w:type="dxa"/>
          <w:left w:w="108" w:type="dxa"/>
          <w:bottom w:w="0" w:type="dxa"/>
          <w:right w:w="108" w:type="dxa"/>
        </w:tblCellMar>
      </w:tblPr>
      <w:tblGrid>
        <w:gridCol w:w="2381"/>
        <w:gridCol w:w="1644"/>
        <w:gridCol w:w="1645"/>
        <w:gridCol w:w="1644"/>
        <w:gridCol w:w="1645"/>
      </w:tblGrid>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评价等级</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正常</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低体重</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超重</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肥胖</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体重指数</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66.60</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2.16</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14.26</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16.98</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评价等级</w:t>
            </w:r>
          </w:p>
        </w:tc>
        <w:tc>
          <w:tcPr>
            <w:tcW w:w="1644" w:type="dxa"/>
            <w:shd w:val="clear" w:color="auto" w:fill="F1F1F1" w:themeFill="background1" w:themeFillShade="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优秀</w:t>
            </w:r>
          </w:p>
        </w:tc>
        <w:tc>
          <w:tcPr>
            <w:tcW w:w="1645" w:type="dxa"/>
            <w:shd w:val="clear" w:color="auto" w:fill="F1F1F1" w:themeFill="background1" w:themeFillShade="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良好</w:t>
            </w:r>
          </w:p>
        </w:tc>
        <w:tc>
          <w:tcPr>
            <w:tcW w:w="1644" w:type="dxa"/>
            <w:shd w:val="clear" w:color="auto" w:fill="F1F1F1" w:themeFill="background1" w:themeFillShade="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及格</w:t>
            </w:r>
          </w:p>
        </w:tc>
        <w:tc>
          <w:tcPr>
            <w:tcW w:w="1645" w:type="dxa"/>
            <w:shd w:val="clear" w:color="auto" w:fill="F1F1F1" w:themeFill="background1" w:themeFillShade="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不及格</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肺活量</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29.92</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26.64</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43.15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0.28</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w:t>
            </w:r>
            <w:r>
              <w:rPr>
                <w:rFonts w:hint="eastAsia" w:asciiTheme="minorEastAsia" w:hAnsiTheme="minorEastAsia" w:eastAsiaTheme="minorEastAsia" w:cstheme="minorEastAsia"/>
                <w:sz w:val="21"/>
                <w:szCs w:val="21"/>
              </w:rPr>
              <w:t>0</w:t>
            </w:r>
            <w:r>
              <w:rPr>
                <w:rFonts w:hint="eastAsia" w:asciiTheme="minorEastAsia" w:hAnsiTheme="minorEastAsia" w:eastAsiaTheme="minorEastAsia" w:cstheme="minorEastAsia"/>
                <w:sz w:val="21"/>
                <w:szCs w:val="21"/>
              </w:rPr>
              <w:t>米跑</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15.76</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11.82</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67.45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4.97</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坐位体前屈</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11.54</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15.20</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68.95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4.32</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1分钟仰卧起坐</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6.57</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13.64</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78.62</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1.18</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立定跳远</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2.16</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9.47</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56.00</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32.36</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w:t>
            </w:r>
            <w:r>
              <w:rPr>
                <w:rFonts w:hint="eastAsia" w:asciiTheme="minorEastAsia" w:hAnsiTheme="minorEastAsia" w:eastAsiaTheme="minorEastAsia" w:cstheme="minorEastAsia"/>
                <w:sz w:val="21"/>
                <w:szCs w:val="21"/>
              </w:rPr>
              <w:t>00</w:t>
            </w:r>
            <w:r>
              <w:rPr>
                <w:rFonts w:hint="eastAsia" w:asciiTheme="minorEastAsia" w:hAnsiTheme="minorEastAsia" w:eastAsiaTheme="minorEastAsia" w:cstheme="minorEastAsia"/>
                <w:sz w:val="21"/>
                <w:szCs w:val="21"/>
              </w:rPr>
              <w:t>米跑</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2.36</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8.75</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67.51</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21.38</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1000</w:t>
            </w:r>
            <w:r>
              <w:rPr>
                <w:rFonts w:hint="eastAsia" w:asciiTheme="minorEastAsia" w:hAnsiTheme="minorEastAsia" w:eastAsiaTheme="minorEastAsia" w:cstheme="minorEastAsia"/>
                <w:sz w:val="21"/>
                <w:szCs w:val="21"/>
              </w:rPr>
              <w:t>米跑</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12.08</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12.29</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56.99</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18.64</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引体向上</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5.30</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1.69</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13.35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79.66</w:t>
            </w:r>
          </w:p>
        </w:tc>
      </w:tr>
    </w:tbl>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widowControl/>
        <w:spacing w:line="240" w:lineRule="auto"/>
        <w:jc w:val="left"/>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rPr>
        <w:br w:type="page"/>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anchor distT="0" distB="0" distL="114300" distR="114300" simplePos="0" relativeHeight="251663360" behindDoc="0" locked="0" layoutInCell="1" allowOverlap="1">
            <wp:simplePos x="0" y="0"/>
            <wp:positionH relativeFrom="column">
              <wp:posOffset>-228600</wp:posOffset>
            </wp:positionH>
            <wp:positionV relativeFrom="paragraph">
              <wp:posOffset>83820</wp:posOffset>
            </wp:positionV>
            <wp:extent cx="175260" cy="239395"/>
            <wp:effectExtent l="0" t="0" r="0" b="0"/>
            <wp:wrapThrough wrapText="bothSides">
              <wp:wrapPolygon>
                <wp:start x="0" y="0"/>
                <wp:lineTo x="0" y="20626"/>
                <wp:lineTo x="18783" y="20626"/>
                <wp:lineTo x="18783" y="0"/>
                <wp:lineTo x="0" y="0"/>
              </wp:wrapPolygon>
            </wp:wrapThrough>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175260" cy="239395"/>
                    </a:xfrm>
                    <a:prstGeom prst="rect">
                      <a:avLst/>
                    </a:prstGeom>
                    <a:noFill/>
                    <a:ln>
                      <a:noFill/>
                    </a:ln>
                  </pic:spPr>
                </pic:pic>
              </a:graphicData>
            </a:graphic>
          </wp:anchor>
        </w:drawing>
      </w:r>
      <w:r>
        <w:rPr>
          <w:rFonts w:hint="eastAsia" w:asciiTheme="minorEastAsia" w:hAnsiTheme="minorEastAsia" w:eastAsiaTheme="minorEastAsia" w:cstheme="minorEastAsia"/>
        </w:rPr>
        <w:t>三、测试结果分析</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本次体质健康标准测试情况反馈，</w:t>
      </w:r>
      <w:r>
        <w:rPr>
          <w:rFonts w:hint="eastAsia" w:asciiTheme="minorEastAsia" w:hAnsiTheme="minorEastAsia" w:eastAsiaTheme="minorEastAsia" w:cstheme="minorEastAsia"/>
        </w:rPr>
        <w:t>北京师范大学燕化附属中学</w:t>
      </w:r>
      <w:r>
        <w:rPr>
          <w:rFonts w:hint="eastAsia" w:asciiTheme="minorEastAsia" w:hAnsiTheme="minorEastAsia" w:eastAsiaTheme="minorEastAsia" w:cstheme="minorEastAsia"/>
        </w:rPr>
        <w:t>的学生综合成绩优良率（1.03%），低于总体测试数据平均水平（13.81%）。学生综合成绩不及格率（10.79%），高于总体测试数据平均水平（5.51%）。本校整体情况处于中下水平。</w:t>
      </w:r>
    </w:p>
    <w:p>
      <w:pPr>
        <w:pStyle w:val="3"/>
        <w:spacing w:before="163" w:after="163"/>
        <w:rPr>
          <w:rFonts w:hint="eastAsia" w:asciiTheme="minorEastAsia" w:hAnsiTheme="minorEastAsia" w:eastAsiaTheme="minorEastAsia" w:cstheme="minorEastAsia"/>
        </w:rPr>
      </w:pPr>
      <w:r>
        <w:rPr>
          <w:rFonts w:hint="eastAsia" w:asciiTheme="minorEastAsia" w:hAnsiTheme="minorEastAsia" w:eastAsiaTheme="minorEastAsia" w:cstheme="minorEastAsia"/>
        </w:rPr>
        <w:t>（一）身体形态方面</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体重指数测试情况反馈，本校处于正常体重水平的学生占比（66.60%），高于总体测试数据平均水平（64.40%）。本校处于低体重水平的学生占比（2.16%），低于总体测试数据平均水平（2.30%）。本校处于超重水平的学生占比（14.26%），低于总体测试数据平均水平（15.00%）。本校处于肥胖水平的学生占比（16.98%），低于总体测试数据平均水平（18.29%）。</w:t>
      </w:r>
    </w:p>
    <w:p>
      <w:pPr>
        <w:pStyle w:val="3"/>
        <w:spacing w:before="163" w:after="163"/>
        <w:rPr>
          <w:rFonts w:hint="eastAsia" w:asciiTheme="minorEastAsia" w:hAnsiTheme="minorEastAsia" w:eastAsiaTheme="minorEastAsia" w:cstheme="minorEastAsia"/>
        </w:rPr>
      </w:pPr>
      <w:r>
        <w:rPr>
          <w:rFonts w:hint="eastAsia" w:asciiTheme="minorEastAsia" w:hAnsiTheme="minorEastAsia" w:eastAsiaTheme="minorEastAsia" w:cstheme="minorEastAsia"/>
        </w:rPr>
        <w:t>（二）身体机能方面</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肺活量测试情况反馈，本校处于优秀等级的学生占比（29.92%），高于总体测试数据平均水平（25.58%）。本校处于不及格等级的学生占比（0.28%），低于总体测试数据平均水平（2.38%）。</w:t>
      </w:r>
    </w:p>
    <w:p>
      <w:pPr>
        <w:pStyle w:val="3"/>
        <w:spacing w:before="163" w:after="163"/>
        <w:rPr>
          <w:rFonts w:hint="eastAsia" w:asciiTheme="minorEastAsia" w:hAnsiTheme="minorEastAsia" w:eastAsiaTheme="minorEastAsia" w:cstheme="minorEastAsia"/>
        </w:rPr>
      </w:pPr>
      <w:r>
        <w:rPr>
          <w:rFonts w:hint="eastAsia" w:asciiTheme="minorEastAsia" w:hAnsiTheme="minorEastAsia" w:eastAsiaTheme="minorEastAsia" w:cstheme="minorEastAsia"/>
        </w:rPr>
        <w:t>（三）身体素质方面</w:t>
      </w: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速度素质</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50米跑测试情况反馈，本校处于优秀等级的学生占比（15.76%），低于总体测试数据平均水平（21.44%）。本校处于不及格等级的学生占比（4.97%），高于总体测试数据平均水平（4.57%）。</w:t>
      </w: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2. </w:t>
      </w:r>
      <w:r>
        <w:rPr>
          <w:rFonts w:hint="eastAsia" w:asciiTheme="minorEastAsia" w:hAnsiTheme="minorEastAsia" w:eastAsiaTheme="minorEastAsia" w:cstheme="minorEastAsia"/>
        </w:rPr>
        <w:t>柔韧素质</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坐位体前屈测试情况反馈，本校处于优秀等级的学生占比（11.54%），低于总体测试数据平均水平（21.40%）。本校处于不及格等级的学生占比（4.32%），高于总体测试数据平均水平（2.00%）。</w:t>
      </w: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3. </w:t>
      </w:r>
      <w:r>
        <w:rPr>
          <w:rFonts w:hint="eastAsia" w:asciiTheme="minorEastAsia" w:hAnsiTheme="minorEastAsia" w:eastAsiaTheme="minorEastAsia" w:cstheme="minorEastAsia"/>
        </w:rPr>
        <w:t>力量素质</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1分钟仰卧起坐测试情况反馈，本校处于优秀等级的学生占比（6.57%），低于总体测试数据平均水平（9.67%）。本校处于不及格等级的学生占比（1.18%），高于总体测试数据平均水平（0.96%）。</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引体向上测试情况反馈，本校处于优秀等级的学生占比（5.30%），高于总体测试数据平均水平（5.26%）。本校处于不及格等级的学生占比（79.66%），低于总体测试数据平均水平（82.25%）。</w:t>
      </w: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4</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耐力素质</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800米跑测试情况反馈，本校处于优秀等级的学生占比（2.36%），低于总体测试数据平均水平（13.06%）。本校处于不及格等级的学生占比（21.38%），高于总体测试数据平均水平（14.17%）。</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1000米跑测试情况反馈，本校处于优秀等级的学生占比（12.08%），低于总体测试数据平均水平（15.32%）。本校处于不及格等级的学生占比（18.64%），低于总体测试数据平均水平（19.87%）。</w:t>
      </w: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5</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爆发力素质</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立定跳远测试情况反馈，本校处于优秀等级的学生占比（2.16%），低于总体测试数据平均水平（5.57%）。本校处于不及格等级的学生占比（32.36%），高于总体测试数据平均水平（26.14%）。</w:t>
      </w:r>
    </w:p>
    <w:p>
      <w:pPr>
        <w:widowControl/>
        <w:spacing w:line="240" w:lineRule="auto"/>
        <w:jc w:val="left"/>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rPr>
        <w:br w:type="page"/>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anchor distT="0" distB="0" distL="114300" distR="114300" simplePos="0" relativeHeight="251664384" behindDoc="0" locked="0" layoutInCell="1" allowOverlap="1">
            <wp:simplePos x="0" y="0"/>
            <wp:positionH relativeFrom="leftMargin">
              <wp:align>right</wp:align>
            </wp:positionH>
            <wp:positionV relativeFrom="paragraph">
              <wp:posOffset>76200</wp:posOffset>
            </wp:positionV>
            <wp:extent cx="276225" cy="184150"/>
            <wp:effectExtent l="0" t="0" r="9525" b="6350"/>
            <wp:wrapThrough wrapText="bothSides">
              <wp:wrapPolygon>
                <wp:start x="0" y="0"/>
                <wp:lineTo x="0" y="20110"/>
                <wp:lineTo x="20855" y="20110"/>
                <wp:lineTo x="20855" y="0"/>
                <wp:lineTo x="0" y="0"/>
              </wp:wrapPolygon>
            </wp:wrapThrough>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276225" cy="184150"/>
                    </a:xfrm>
                    <a:prstGeom prst="rect">
                      <a:avLst/>
                    </a:prstGeom>
                    <a:noFill/>
                    <a:ln>
                      <a:noFill/>
                    </a:ln>
                  </pic:spPr>
                </pic:pic>
              </a:graphicData>
            </a:graphic>
          </wp:anchor>
        </w:drawing>
      </w:r>
      <w:r>
        <w:rPr>
          <w:rFonts w:hint="eastAsia" w:asciiTheme="minorEastAsia" w:hAnsiTheme="minorEastAsia" w:eastAsiaTheme="minorEastAsia" w:cstheme="minorEastAsia"/>
        </w:rPr>
        <w:t>四、总结及工作建议</w:t>
      </w:r>
    </w:p>
    <w:p>
      <w:pPr>
        <w:pStyle w:val="3"/>
        <w:spacing w:before="163" w:after="163"/>
        <w:rPr>
          <w:rFonts w:hint="eastAsia" w:asciiTheme="minorEastAsia" w:hAnsiTheme="minorEastAsia" w:eastAsiaTheme="minorEastAsia" w:cstheme="minorEastAsia"/>
        </w:rPr>
      </w:pPr>
      <w:r>
        <w:rPr>
          <w:rFonts w:hint="eastAsia" w:asciiTheme="minorEastAsia" w:hAnsiTheme="minorEastAsia" w:eastAsiaTheme="minorEastAsia" w:cstheme="minorEastAsia"/>
        </w:rPr>
        <w:t>（一）提升学生体质健康整体水平</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本校学生体质健康水平低于全区平均水平。本次测试结果显示，学生的综合评定等级中，优秀和良好的占比均低于全区整体平均水平，综合评定等级及格和不及格的占比均高于全区平均水平。</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本校为燕山区唯一一所高中学段学校，所以无法直接进行区域内的横向对比，但通过进一步与北京市抽测数据比较分析，本校学生体质健康水平也低于全市高中学段平均水平。</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学校在后续工作中，应进一步提升对学生体质健康的关注，开齐开足体育课程，确保学生在校期间可以获得足够的体育活动机会；完善教学评价机制，对体育课程教学质量和教学效果进行评估；重视体质健康评价的反馈作用，精准监测学生的体质健康指标。</w:t>
      </w:r>
    </w:p>
    <w:p>
      <w:pPr>
        <w:pStyle w:val="3"/>
        <w:spacing w:before="163" w:after="163"/>
        <w:rPr>
          <w:rFonts w:hint="eastAsia" w:asciiTheme="minorEastAsia" w:hAnsiTheme="minorEastAsia" w:eastAsiaTheme="minorEastAsia" w:cstheme="minorEastAsia"/>
        </w:rPr>
      </w:pPr>
      <w:r>
        <w:rPr>
          <w:rFonts w:hint="eastAsia" w:asciiTheme="minorEastAsia" w:hAnsiTheme="minorEastAsia" w:eastAsiaTheme="minorEastAsia" w:cstheme="minorEastAsia"/>
        </w:rPr>
        <w:t>（二）开展针对性的专项练习，补齐学生素质短板</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通过对不同项目进行横向对比，可以发现不同项目的测试结果之间存在着明显的差别：本校引体向上测试达标率为20.34%，是各项测试中达标率最低的一项，远低于其他测试项目。这一结果反映出男生的力量素质普遍很差。本校立定跳远测试达标率为67.64%，是达标率第二低的项目，该项目反映出学生的爆发力素质较差。</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学校在后续工作中，应优先提升学生的素质短板，针对上述较薄弱的项目开展更多专项练习，实现学生体质健康的均衡发展。</w:t>
      </w:r>
    </w:p>
    <w:p>
      <w:pPr>
        <w:pStyle w:val="3"/>
        <w:spacing w:before="163" w:after="163"/>
        <w:rPr>
          <w:rFonts w:hint="eastAsia" w:asciiTheme="minorEastAsia" w:hAnsiTheme="minorEastAsia" w:eastAsiaTheme="minorEastAsia" w:cstheme="minorEastAsia"/>
        </w:rPr>
      </w:pPr>
      <w:r>
        <w:rPr>
          <w:rFonts w:hint="eastAsia" w:asciiTheme="minorEastAsia" w:hAnsiTheme="minorEastAsia" w:eastAsiaTheme="minorEastAsia" w:cstheme="minorEastAsia"/>
        </w:rPr>
        <w:t>（三）加强对学生身体形态的重视</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本校学生的身体形态方面的测试结果显示，超重及肥胖的合计占比为</w:t>
      </w:r>
      <w:r>
        <w:rPr>
          <w:rFonts w:hint="eastAsia" w:asciiTheme="minorEastAsia" w:hAnsiTheme="minorEastAsia" w:eastAsiaTheme="minorEastAsia" w:cstheme="minorEastAsia"/>
        </w:rPr>
        <w:t>31.24</w:t>
      </w:r>
      <w:r>
        <w:rPr>
          <w:rFonts w:hint="eastAsia" w:asciiTheme="minorEastAsia" w:hAnsiTheme="minorEastAsia" w:eastAsiaTheme="minorEastAsia" w:cstheme="minorEastAsia"/>
        </w:rPr>
        <w:t>%，这一比例已超过北京市平均水平，</w:t>
      </w:r>
      <w:r>
        <w:rPr>
          <w:rFonts w:hint="eastAsia" w:asciiTheme="minorEastAsia" w:hAnsiTheme="minorEastAsia" w:eastAsiaTheme="minorEastAsia" w:cstheme="minorEastAsia"/>
          <w:lang w:val="en-US" w:eastAsia="zh-CN"/>
        </w:rPr>
        <w:t>因此在学校的体育工作中，也应对学生身体形态方面的发展</w:t>
      </w:r>
      <w:r>
        <w:rPr>
          <w:rFonts w:hint="eastAsia" w:asciiTheme="minorEastAsia" w:hAnsiTheme="minorEastAsia" w:eastAsiaTheme="minorEastAsia" w:cstheme="minorEastAsia"/>
        </w:rPr>
        <w:t>加以重视。身体形态问题，不仅会影响学生的体姿体态，还会对学生在运动过程中的表现以及学生的心理发育等方面产生影响。学校应该通过每天充足的体育活动时间以及科学的饮食搭配来确保学生可以获得足够的运动机会和均衡的营养摄入，以便帮助学生</w:t>
      </w:r>
      <w:r>
        <w:rPr>
          <w:rFonts w:hint="eastAsia" w:asciiTheme="minorEastAsia" w:hAnsiTheme="minorEastAsia" w:eastAsiaTheme="minorEastAsia" w:cstheme="minorEastAsia"/>
          <w:lang w:val="en-US" w:eastAsia="zh-CN"/>
        </w:rPr>
        <w:t>获得并保持</w:t>
      </w:r>
      <w:r>
        <w:rPr>
          <w:rFonts w:hint="eastAsia" w:asciiTheme="minorEastAsia" w:hAnsiTheme="minorEastAsia" w:eastAsiaTheme="minorEastAsia" w:cstheme="minorEastAsia"/>
        </w:rPr>
        <w:t>良好的身体形态。</w:t>
      </w:r>
    </w:p>
    <w:p>
      <w:pPr>
        <w:pStyle w:val="3"/>
        <w:numPr>
          <w:ilvl w:val="0"/>
          <w:numId w:val="1"/>
        </w:num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开设多样的体育社团，举办体育竞技比赛</w:t>
      </w:r>
    </w:p>
    <w:p>
      <w:pPr>
        <w:numPr>
          <w:ilvl w:val="0"/>
          <w:numId w:val="0"/>
        </w:numPr>
        <w:ind w:firstLine="48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体育社团活动和体育竞技比赛是激发学生对体育活动产生兴趣的有效途径。教育部印发的</w:t>
      </w:r>
      <w:r>
        <w:rPr>
          <w:rFonts w:hint="eastAsia" w:asciiTheme="minorEastAsia" w:hAnsiTheme="minorEastAsia" w:eastAsiaTheme="minorEastAsia" w:cstheme="minorEastAsia"/>
          <w:lang w:val="en-US" w:eastAsia="zh-CN"/>
        </w:rPr>
        <w:t>《〈体育与健康〉教学改革指导纲要（试行）》</w:t>
      </w:r>
      <w:r>
        <w:rPr>
          <w:rFonts w:hint="eastAsia" w:asciiTheme="minorEastAsia" w:hAnsiTheme="minorEastAsia" w:eastAsiaTheme="minorEastAsia" w:cstheme="minorEastAsia"/>
          <w:lang w:val="en-US" w:eastAsia="zh-CN"/>
        </w:rPr>
        <w:t>中，将“享受乐趣”列为《体育与健康》教学改革目标中的第一项目标，因此学校也应将培养学生对体育运动的乐趣，作为开展各项体育工作的初衷和首要任务。</w:t>
      </w:r>
    </w:p>
    <w:p>
      <w:pPr>
        <w:numPr>
          <w:ilvl w:val="0"/>
          <w:numId w:val="0"/>
        </w:numPr>
        <w:ind w:firstLine="48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高中学段是接触专业体育项目的最佳时期。根据儿童青少年生长发育规律以及运动能力发展规律，高中学段的学生可以开始接触专业的体育项目，因此学校可以通过开设更多不同方向的体育社团，举办校内、校间体育竞技比赛等方法，来引导学生接触更多不同的专业体育项目，根据自己的喜好进行选择，掌握相应的运动技能。</w:t>
      </w:r>
    </w:p>
    <w:bookmarkEnd w:id="0"/>
    <w:sectPr>
      <w:footerReference r:id="rId5" w:type="default"/>
      <w:pgSz w:w="11906" w:h="16838"/>
      <w:pgMar w:top="1440" w:right="1474" w:bottom="1440" w:left="1474" w:header="851" w:footer="992" w:gutter="0"/>
      <w:pgNumType w:start="0"/>
      <w:cols w:space="425" w:num="1"/>
      <w:titlePg/>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95909624"/>
      <w:docPartObj>
        <w:docPartGallery w:val="autotext"/>
      </w:docPartObj>
    </w:sdtPr>
    <w:sdtContent>
      <w:p>
        <w:pPr>
          <w:pStyle w:val="6"/>
          <w:jc w:val="center"/>
        </w:pPr>
        <w:r>
          <w:fldChar w:fldCharType="begin"/>
        </w:r>
        <w:r>
          <w:instrText xml:space="preserve">PAGE   \* MERGEFORMAT</w:instrText>
        </w:r>
        <w:r>
          <w:fldChar w:fldCharType="separate"/>
        </w:r>
        <w:r>
          <w:rPr>
            <w:lang w:val="zh-CN"/>
          </w:rPr>
          <w:t>2</w:t>
        </w:r>
        <w:r>
          <w:fldChar w:fldCharType="end"/>
        </w:r>
      </w:p>
    </w:sdtContent>
  </w:sdt>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5BCAFC"/>
    <w:multiLevelType w:val="singleLevel"/>
    <w:tmpl w:val="CE5BCAFC"/>
    <w:lvl w:ilvl="0" w:tentative="0">
      <w:start w:val="4"/>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604"/>
    <w:rsid w:val="0002355D"/>
    <w:rsid w:val="0005258A"/>
    <w:rsid w:val="00086726"/>
    <w:rsid w:val="00104A23"/>
    <w:rsid w:val="00112A49"/>
    <w:rsid w:val="001262AF"/>
    <w:rsid w:val="00126825"/>
    <w:rsid w:val="0012783C"/>
    <w:rsid w:val="00174A63"/>
    <w:rsid w:val="00187AF5"/>
    <w:rsid w:val="00194517"/>
    <w:rsid w:val="001A1065"/>
    <w:rsid w:val="001B03A8"/>
    <w:rsid w:val="001D427F"/>
    <w:rsid w:val="002965F3"/>
    <w:rsid w:val="002B60D0"/>
    <w:rsid w:val="002D1B0E"/>
    <w:rsid w:val="002D7E8B"/>
    <w:rsid w:val="0031058B"/>
    <w:rsid w:val="00310604"/>
    <w:rsid w:val="00310875"/>
    <w:rsid w:val="00391DAC"/>
    <w:rsid w:val="00391E98"/>
    <w:rsid w:val="003D29AA"/>
    <w:rsid w:val="003E3303"/>
    <w:rsid w:val="004342FA"/>
    <w:rsid w:val="00450B7B"/>
    <w:rsid w:val="00470D08"/>
    <w:rsid w:val="00480185"/>
    <w:rsid w:val="00480488"/>
    <w:rsid w:val="004F0117"/>
    <w:rsid w:val="004F0ED8"/>
    <w:rsid w:val="004F310C"/>
    <w:rsid w:val="00500146"/>
    <w:rsid w:val="00555922"/>
    <w:rsid w:val="005931F8"/>
    <w:rsid w:val="005A5382"/>
    <w:rsid w:val="006370D8"/>
    <w:rsid w:val="00653D00"/>
    <w:rsid w:val="0065403D"/>
    <w:rsid w:val="006633C7"/>
    <w:rsid w:val="006A122C"/>
    <w:rsid w:val="006A34DB"/>
    <w:rsid w:val="006F2F3F"/>
    <w:rsid w:val="0072041D"/>
    <w:rsid w:val="007216B2"/>
    <w:rsid w:val="00735260"/>
    <w:rsid w:val="00765D50"/>
    <w:rsid w:val="0077374C"/>
    <w:rsid w:val="0077714B"/>
    <w:rsid w:val="00792F73"/>
    <w:rsid w:val="007B3D84"/>
    <w:rsid w:val="007B5FB8"/>
    <w:rsid w:val="007E12C9"/>
    <w:rsid w:val="0083610F"/>
    <w:rsid w:val="008C33A7"/>
    <w:rsid w:val="008D1CD3"/>
    <w:rsid w:val="008E3947"/>
    <w:rsid w:val="00912D14"/>
    <w:rsid w:val="00946D30"/>
    <w:rsid w:val="0097028F"/>
    <w:rsid w:val="00974FF0"/>
    <w:rsid w:val="00980BE1"/>
    <w:rsid w:val="00997F20"/>
    <w:rsid w:val="00A34015"/>
    <w:rsid w:val="00A352E3"/>
    <w:rsid w:val="00A411AD"/>
    <w:rsid w:val="00A615FD"/>
    <w:rsid w:val="00A80A69"/>
    <w:rsid w:val="00A85EC3"/>
    <w:rsid w:val="00A9648D"/>
    <w:rsid w:val="00B201F7"/>
    <w:rsid w:val="00B27ABB"/>
    <w:rsid w:val="00B46953"/>
    <w:rsid w:val="00B92FF3"/>
    <w:rsid w:val="00BB46D0"/>
    <w:rsid w:val="00BE24BB"/>
    <w:rsid w:val="00BE3FC5"/>
    <w:rsid w:val="00BF4176"/>
    <w:rsid w:val="00C238C0"/>
    <w:rsid w:val="00C63490"/>
    <w:rsid w:val="00C66A48"/>
    <w:rsid w:val="00C90743"/>
    <w:rsid w:val="00C91AE9"/>
    <w:rsid w:val="00C96B42"/>
    <w:rsid w:val="00CE0DF2"/>
    <w:rsid w:val="00CE7438"/>
    <w:rsid w:val="00D54552"/>
    <w:rsid w:val="00D64F02"/>
    <w:rsid w:val="00E518A6"/>
    <w:rsid w:val="00E81A3A"/>
    <w:rsid w:val="00E820EB"/>
    <w:rsid w:val="00ED388C"/>
    <w:rsid w:val="00EE0DBD"/>
    <w:rsid w:val="00EF1699"/>
    <w:rsid w:val="00F23116"/>
    <w:rsid w:val="00F27787"/>
    <w:rsid w:val="00F9310F"/>
    <w:rsid w:val="00FA54EA"/>
    <w:rsid w:val="00FC3BB5"/>
    <w:rsid w:val="00FE3900"/>
    <w:rsid w:val="1BAD2ADD"/>
    <w:rsid w:val="1DE207D7"/>
    <w:rsid w:val="249A5365"/>
    <w:rsid w:val="34941092"/>
    <w:rsid w:val="3680386B"/>
    <w:rsid w:val="3A1E0B04"/>
    <w:rsid w:val="3A561988"/>
    <w:rsid w:val="3AA45E25"/>
    <w:rsid w:val="4A8E55DD"/>
    <w:rsid w:val="59F55724"/>
    <w:rsid w:val="70C60606"/>
    <w:rsid w:val="7EE27C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560" w:lineRule="exact"/>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3"/>
    <w:qFormat/>
    <w:uiPriority w:val="9"/>
    <w:pPr>
      <w:spacing w:line="360" w:lineRule="auto"/>
      <w:outlineLvl w:val="0"/>
    </w:pPr>
    <w:rPr>
      <w:b/>
      <w:bCs/>
      <w:sz w:val="32"/>
      <w:szCs w:val="32"/>
    </w:rPr>
  </w:style>
  <w:style w:type="paragraph" w:styleId="3">
    <w:name w:val="heading 2"/>
    <w:basedOn w:val="1"/>
    <w:next w:val="1"/>
    <w:link w:val="14"/>
    <w:unhideWhenUsed/>
    <w:qFormat/>
    <w:uiPriority w:val="9"/>
    <w:pPr>
      <w:spacing w:before="156" w:beforeLines="50" w:after="156" w:afterLines="50" w:line="360" w:lineRule="auto"/>
      <w:outlineLvl w:val="1"/>
    </w:pPr>
    <w:rPr>
      <w:b/>
      <w:bCs/>
      <w:sz w:val="28"/>
      <w:szCs w:val="28"/>
    </w:rPr>
  </w:style>
  <w:style w:type="paragraph" w:styleId="4">
    <w:name w:val="heading 3"/>
    <w:basedOn w:val="1"/>
    <w:next w:val="1"/>
    <w:link w:val="15"/>
    <w:unhideWhenUsed/>
    <w:qFormat/>
    <w:uiPriority w:val="9"/>
    <w:pPr>
      <w:spacing w:before="163" w:beforeLines="50" w:after="163" w:afterLines="50"/>
      <w:outlineLvl w:val="2"/>
    </w:pPr>
    <w:rPr>
      <w:rFonts w:asciiTheme="minorEastAsia" w:hAnsiTheme="minorEastAsia"/>
      <w:b/>
      <w:bCs/>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18"/>
    <w:semiHidden/>
    <w:unhideWhenUsed/>
    <w:qFormat/>
    <w:uiPriority w:val="99"/>
    <w:pPr>
      <w:jc w:val="left"/>
    </w:pPr>
  </w:style>
  <w:style w:type="paragraph" w:styleId="6">
    <w:name w:val="footer"/>
    <w:basedOn w:val="1"/>
    <w:link w:val="17"/>
    <w:unhideWhenUsed/>
    <w:qFormat/>
    <w:uiPriority w:val="99"/>
    <w:pPr>
      <w:tabs>
        <w:tab w:val="center" w:pos="4153"/>
        <w:tab w:val="right" w:pos="8306"/>
      </w:tabs>
      <w:snapToGrid w:val="0"/>
      <w:spacing w:line="240" w:lineRule="atLeast"/>
      <w:jc w:val="left"/>
    </w:pPr>
    <w:rPr>
      <w:sz w:val="18"/>
      <w:szCs w:val="18"/>
    </w:rPr>
  </w:style>
  <w:style w:type="paragraph" w:styleId="7">
    <w:name w:val="header"/>
    <w:basedOn w:val="1"/>
    <w:link w:val="16"/>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paragraph" w:styleId="8">
    <w:name w:val="annotation subject"/>
    <w:basedOn w:val="5"/>
    <w:next w:val="5"/>
    <w:link w:val="19"/>
    <w:semiHidden/>
    <w:unhideWhenUsed/>
    <w:qFormat/>
    <w:uiPriority w:val="99"/>
    <w:rPr>
      <w:b/>
      <w:bCs/>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annotation reference"/>
    <w:basedOn w:val="11"/>
    <w:semiHidden/>
    <w:unhideWhenUsed/>
    <w:qFormat/>
    <w:uiPriority w:val="99"/>
    <w:rPr>
      <w:sz w:val="21"/>
      <w:szCs w:val="21"/>
    </w:rPr>
  </w:style>
  <w:style w:type="character" w:customStyle="1" w:styleId="13">
    <w:name w:val="标题 1 字符"/>
    <w:basedOn w:val="11"/>
    <w:link w:val="2"/>
    <w:qFormat/>
    <w:uiPriority w:val="9"/>
    <w:rPr>
      <w:b/>
      <w:bCs/>
      <w:sz w:val="32"/>
      <w:szCs w:val="32"/>
    </w:rPr>
  </w:style>
  <w:style w:type="character" w:customStyle="1" w:styleId="14">
    <w:name w:val="标题 2 字符"/>
    <w:basedOn w:val="11"/>
    <w:link w:val="3"/>
    <w:qFormat/>
    <w:uiPriority w:val="9"/>
    <w:rPr>
      <w:b/>
      <w:bCs/>
      <w:kern w:val="2"/>
      <w:sz w:val="28"/>
      <w:szCs w:val="28"/>
    </w:rPr>
  </w:style>
  <w:style w:type="character" w:customStyle="1" w:styleId="15">
    <w:name w:val="标题 3 字符"/>
    <w:basedOn w:val="11"/>
    <w:link w:val="4"/>
    <w:qFormat/>
    <w:uiPriority w:val="9"/>
    <w:rPr>
      <w:rFonts w:asciiTheme="minorEastAsia" w:hAnsiTheme="minorEastAsia"/>
      <w:b/>
      <w:bCs/>
      <w:kern w:val="2"/>
      <w:sz w:val="24"/>
      <w:szCs w:val="24"/>
    </w:rPr>
  </w:style>
  <w:style w:type="character" w:customStyle="1" w:styleId="16">
    <w:name w:val="页眉 字符"/>
    <w:basedOn w:val="11"/>
    <w:link w:val="7"/>
    <w:qFormat/>
    <w:uiPriority w:val="99"/>
    <w:rPr>
      <w:sz w:val="18"/>
      <w:szCs w:val="18"/>
    </w:rPr>
  </w:style>
  <w:style w:type="character" w:customStyle="1" w:styleId="17">
    <w:name w:val="页脚 字符"/>
    <w:basedOn w:val="11"/>
    <w:link w:val="6"/>
    <w:qFormat/>
    <w:uiPriority w:val="99"/>
    <w:rPr>
      <w:sz w:val="18"/>
      <w:szCs w:val="18"/>
    </w:rPr>
  </w:style>
  <w:style w:type="character" w:customStyle="1" w:styleId="18">
    <w:name w:val="批注文字 字符"/>
    <w:basedOn w:val="11"/>
    <w:link w:val="5"/>
    <w:semiHidden/>
    <w:qFormat/>
    <w:uiPriority w:val="99"/>
    <w:rPr>
      <w:sz w:val="24"/>
      <w:szCs w:val="24"/>
    </w:rPr>
  </w:style>
  <w:style w:type="character" w:customStyle="1" w:styleId="19">
    <w:name w:val="批注主题 字符"/>
    <w:basedOn w:val="18"/>
    <w:link w:val="8"/>
    <w:semiHidden/>
    <w:qFormat/>
    <w:uiPriority w:val="99"/>
    <w:rPr>
      <w:b/>
      <w:bCs/>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自定义 1">
      <a:dk1>
        <a:sysClr val="windowText" lastClr="000000"/>
      </a:dk1>
      <a:lt1>
        <a:sysClr val="window" lastClr="FFFFFF"/>
      </a:lt1>
      <a:dk2>
        <a:srgbClr val="44546A"/>
      </a:dk2>
      <a:lt2>
        <a:srgbClr val="E7E6E6"/>
      </a:lt2>
      <a:accent1>
        <a:srgbClr val="0C4C8A"/>
      </a:accent1>
      <a:accent2>
        <a:srgbClr val="F6D257"/>
      </a:accent2>
      <a:accent3>
        <a:srgbClr val="88B14B"/>
      </a:accent3>
      <a:accent4>
        <a:srgbClr val="EF562D"/>
      </a:accent4>
      <a:accent5>
        <a:srgbClr val="97D5E0"/>
      </a:accent5>
      <a:accent6>
        <a:srgbClr val="D13076"/>
      </a:accent6>
      <a:hlink>
        <a:srgbClr val="0563C1"/>
      </a:hlink>
      <a:folHlink>
        <a:srgbClr val="954F72"/>
      </a:folHlink>
    </a:clrScheme>
    <a:fontScheme name="教委">
      <a:majorFont>
        <a:latin typeface="Arial"/>
        <a:ea typeface="仿宋"/>
        <a:cs typeface=""/>
      </a:majorFont>
      <a:minorFont>
        <a:latin typeface="Arial"/>
        <a:ea typeface="仿宋"/>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8E7A76E-4B7D-4BF1-9B71-4A977A16B4D4}">
  <ds:schemaRefs/>
</ds:datastoreItem>
</file>

<file path=docProps/app.xml><?xml version="1.0" encoding="utf-8"?>
<Properties xmlns="http://schemas.openxmlformats.org/officeDocument/2006/extended-properties" xmlns:vt="http://schemas.openxmlformats.org/officeDocument/2006/docPropsVTypes">
  <Template>Normal.dotm</Template>
  <Pages>10</Pages>
  <Words>594</Words>
  <Characters>3390</Characters>
  <Lines>28</Lines>
  <Paragraphs>7</Paragraphs>
  <TotalTime>29</TotalTime>
  <ScaleCrop>false</ScaleCrop>
  <LinksUpToDate>false</LinksUpToDate>
  <CharactersWithSpaces>3977</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2022-01-26T05:32:00Z</dcterms:created>
  <dc:creator>Think</dc:creator>
  <cp:lastModifiedBy>Administrator</cp:lastModifiedBy>
  <dcterms:modified xsi:type="dcterms:W3CDTF">2022-01-27T09:16:22Z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F9361E4E42544C52BE48A0CD2B518D82</vt:lpwstr>
  </property>
</Properties>
</file>