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0" w:line="312"/>
        <w:jc w:val="center"/>
      </w:pPr>
      <w:r>
        <w:rPr>
          <w:rFonts w:ascii="Times New Roman" w:eastAsia="SimSun"/>
          <w:b/>
          <w:bCs/>
          <w:color w:val="000000"/>
          <w:sz w:val="32"/>
          <w:szCs w:val="32"/>
        </w:rPr>
        <w:t xml:space="preserve">Draft Reply — Polar Product Review</w:t>
      </w:r>
    </w:p>
    <w:p>
      <w:pPr>
        <w:spacing w:after="280" w:line="312"/>
        <w:jc w:val="center"/>
      </w:pPr>
      <w:r>
        <w:rPr>
          <w:rFonts w:ascii="Times New Roman" w:eastAsia="SimSun"/>
          <w:b w:val="false"/>
          <w:bCs w:val="false"/>
          <w:i w:val="false"/>
          <w:iCs w:val="false"/>
          <w:color w:val="595959"/>
          <w:sz w:val="21"/>
          <w:szCs w:val="21"/>
        </w:rPr>
        <w:t xml:space="preserve">Prepared 29 September 2026 · Recipient: Isak, Polar (merchant of record) · Fill the 【bracketed】 fields before sending</w:t>
      </w:r>
    </w:p>
    <w:p>
      <w:pPr>
        <w:pStyle w:val="Heading2"/>
        <w:spacing w:after="140" w:before="300" w:line="312"/>
      </w:pPr>
      <w:r>
        <w:rPr>
          <w:rFonts w:ascii="Times New Roman" w:eastAsia="SimSun"/>
          <w:b/>
          <w:bCs/>
          <w:color w:val="000000"/>
          <w:sz w:val="28"/>
          <w:szCs w:val="28"/>
        </w:rPr>
        <w:t xml:space="preserve">Suggested subject line</w:t>
      </w:r>
    </w:p>
    <w:p>
      <w:pPr>
        <w:keepNext w:val="false"/>
        <w:spacing w:after="160" w:before="0" w:line="312"/>
        <w:jc w:val="left"/>
      </w:pPr>
      <w:r>
        <w:rPr>
          <w:rFonts w:ascii="Times New Roman" w:eastAsia="SimSun"/>
          <w:b/>
          <w:bCs/>
          <w:i w:val="false"/>
          <w:iCs w:val="false"/>
          <w:color w:val="000000"/>
          <w:sz w:val="24"/>
          <w:szCs w:val="24"/>
        </w:rPr>
        <w:t xml:space="preserve">Re: Clarifying the products in our Polar catalog</w:t>
      </w:r>
    </w:p>
    <w:p>
      <w:pPr>
        <w:pStyle w:val="Heading2"/>
        <w:spacing w:after="140" w:before="300" w:line="312"/>
      </w:pPr>
      <w:r>
        <w:rPr>
          <w:rFonts w:ascii="Times New Roman" w:eastAsia="SimSun"/>
          <w:b/>
          <w:bCs/>
          <w:color w:val="000000"/>
          <w:sz w:val="28"/>
          <w:szCs w:val="28"/>
        </w:rPr>
        <w:t xml:space="preserve">Reply draft</w:t>
      </w:r>
    </w:p>
    <w:p>
      <w:pPr>
        <w:keepNext w:val="false"/>
        <w:spacing w:after="160" w:before="0" w:line="312"/>
        <w:jc w:val="left"/>
      </w:pPr>
      <w:r>
        <w:rPr>
          <w:rFonts w:ascii="Times New Roman" w:eastAsia="SimSun"/>
          <w:color w:val="000000"/>
          <w:sz w:val="24"/>
          <w:szCs w:val="24"/>
        </w:rPr>
        <w:t xml:space="preserve">Hi Isak,</w:t>
      </w:r>
    </w:p>
    <w:p>
      <w:pPr>
        <w:keepNext w:val="false"/>
        <w:spacing w:after="160" w:before="0" w:line="312"/>
        <w:jc w:val="left"/>
      </w:pPr>
      <w:r>
        <w:rPr>
          <w:rFonts w:ascii="Times New Roman" w:eastAsia="SimSun"/>
          <w:color w:val="000000"/>
          <w:sz w:val="24"/>
          <w:szCs w:val="24"/>
        </w:rPr>
        <w:t xml:space="preserve">Thank you for the follow-up, and for setting out so clearly what you need from us. Below is a full breakdown of every product that has appeared in the catalog: what it does, what the customer receives, how it is delivered after payment, and where the product and pricing pages live. One product, FoldFX, has been discontinued and deleted — its status is set out below. At the end, we propose how to split the remaining products across Polar organizations so that each distinct use case sits in its own organization, as your policy requires.</w:t>
      </w:r>
    </w:p>
    <w:p>
      <w:pPr>
        <w:pStyle w:val="Heading3"/>
        <w:spacing w:after="120" w:before="240" w:line="312"/>
      </w:pPr>
      <w:r>
        <w:rPr>
          <w:rFonts w:ascii="Times New Roman" w:eastAsia="SimSun"/>
          <w:b/>
          <w:bCs/>
          <w:color w:val="000000"/>
          <w:sz w:val="26"/>
          <w:szCs w:val="26"/>
        </w:rPr>
        <w:t xml:space="preserve">1. Which products belong to the approved Android app</w:t>
      </w:r>
    </w:p>
    <w:p>
      <w:pPr>
        <w:keepNext w:val="false"/>
        <w:spacing w:after="160" w:before="0" w:line="312"/>
        <w:jc w:val="left"/>
      </w:pPr>
      <w:r>
        <w:rPr>
          <w:rFonts w:ascii="Times New Roman" w:eastAsia="SimSun"/>
          <w:b w:val="false"/>
          <w:bCs w:val="false"/>
          <w:i w:val="false"/>
          <w:iCs w:val="false"/>
          <w:color w:val="000000"/>
          <w:sz w:val="24"/>
          <w:szCs w:val="24"/>
        </w:rPr>
        <w:t xml:space="preserve">Trisle (€3.99, one-time purchase) is the approved Android Dynamic Island app — the product shown on the website you have on file. None of the other products belong to that app: FoldFX was a separate Android app that we have since discontinued and deleted, and MarketWise Starter, MarketWise Pro and Single Report are three pricing tiers of a single web-based marketing analysis service.</w:t>
      </w:r>
    </w:p>
    <w:p>
      <w:pPr>
        <w:pStyle w:val="Heading3"/>
        <w:spacing w:after="120" w:before="240" w:line="312"/>
      </w:pPr>
      <w:r>
        <w:rPr>
          <w:rFonts w:ascii="Times New Roman" w:eastAsia="SimSun"/>
          <w:b/>
          <w:bCs/>
          <w:color w:val="000000"/>
          <w:sz w:val="26"/>
          <w:szCs w:val="26"/>
        </w:rPr>
        <w:t xml:space="preserve">2. Product-by-product overview</w:t>
      </w:r>
    </w:p>
    <w:p>
      <w:pPr>
        <w:keepNext/>
        <w:spacing w:after="160" w:before="0" w:line="312"/>
        <w:jc w:val="left"/>
      </w:pPr>
      <w:r>
        <w:rPr>
          <w:rFonts w:ascii="Times New Roman" w:eastAsia="SimSun"/>
          <w:color w:val="000000"/>
          <w:sz w:val="24"/>
          <w:szCs w:val="24"/>
        </w:rPr>
        <w:t xml:space="preserve">The table below summarizes the four products currently for sale; the paragraphs that follow add detail on each app and on the MarketWise service, and on the status of FoldFX.</w:t>
      </w:r>
    </w:p>
    <w:tbl>
      <w:tblPr>
        <w:tblW w:type="pct" w:w="5000"/>
        <w:tblBorders>
          <w:top w:val="single" w:color="8A8F98" w:sz="4"/>
          <w:left w:val="none"/>
          <w:bottom w:val="single" w:color="8A8F98" w:sz="4"/>
          <w:right w:val="none"/>
          <w:insideH w:val="single" w:color="C9CDD4" w:sz="2"/>
          <w:insideV w:val="single" w:color="DDE0E5" w:sz="2"/>
        </w:tblBorders>
      </w:tblPr>
      <w:tblGrid>
        <w:gridCol w:w="1406"/>
        <w:gridCol w:w="1230"/>
        <w:gridCol w:w="3515"/>
        <w:gridCol w:w="2636"/>
      </w:tblGrid>
      <w:tr>
        <w:trPr>
          <w:cantSplit/>
          <w:tblHeader/>
        </w:trPr>
        <w:tc>
          <w:tcPr>
            <w:tcW w:type="pct" w:w="800"/>
            <w:shd w:fill="EEF1F5" w:val="clear"/>
            <w:tcMar>
              <w:top w:type="dxa" w:w="80"/>
              <w:left w:type="dxa" w:w="120"/>
              <w:bottom w:type="dxa" w:w="80"/>
              <w:right w:type="dxa" w:w="120"/>
            </w:tcMar>
          </w:tcPr>
          <w:p>
            <w:pPr>
              <w:spacing w:after="20" w:line="280"/>
            </w:pPr>
            <w:r>
              <w:rPr>
                <w:rFonts w:ascii="Times New Roman" w:eastAsia="SimSun"/>
                <w:b/>
                <w:bCs/>
                <w:color w:val="000000"/>
                <w:sz w:val="20"/>
                <w:szCs w:val="20"/>
              </w:rPr>
              <w:t xml:space="preserve">Product</w:t>
            </w:r>
          </w:p>
        </w:tc>
        <w:tc>
          <w:tcPr>
            <w:tcW w:type="pct" w:w="700"/>
            <w:shd w:fill="EEF1F5" w:val="clear"/>
            <w:tcMar>
              <w:top w:type="dxa" w:w="80"/>
              <w:left w:type="dxa" w:w="120"/>
              <w:bottom w:type="dxa" w:w="80"/>
              <w:right w:type="dxa" w:w="120"/>
            </w:tcMar>
          </w:tcPr>
          <w:p>
            <w:pPr>
              <w:spacing w:after="20" w:line="280"/>
            </w:pPr>
            <w:r>
              <w:rPr>
                <w:rFonts w:ascii="Times New Roman" w:eastAsia="SimSun"/>
                <w:b/>
                <w:bCs/>
                <w:color w:val="000000"/>
                <w:sz w:val="20"/>
                <w:szCs w:val="20"/>
              </w:rPr>
              <w:t xml:space="preserve">Price</w:t>
            </w:r>
          </w:p>
        </w:tc>
        <w:tc>
          <w:tcPr>
            <w:tcW w:type="pct" w:w="2000"/>
            <w:shd w:fill="EEF1F5" w:val="clear"/>
            <w:tcMar>
              <w:top w:type="dxa" w:w="80"/>
              <w:left w:type="dxa" w:w="120"/>
              <w:bottom w:type="dxa" w:w="80"/>
              <w:right w:type="dxa" w:w="120"/>
            </w:tcMar>
          </w:tcPr>
          <w:p>
            <w:pPr>
              <w:spacing w:after="20" w:line="280"/>
            </w:pPr>
            <w:r>
              <w:rPr>
                <w:rFonts w:ascii="Times New Roman" w:eastAsia="SimSun"/>
                <w:b/>
                <w:bCs/>
                <w:color w:val="000000"/>
                <w:sz w:val="20"/>
                <w:szCs w:val="20"/>
              </w:rPr>
              <w:t xml:space="preserve">What it is</w:t>
            </w:r>
          </w:p>
        </w:tc>
        <w:tc>
          <w:tcPr>
            <w:tcW w:type="pct" w:w="1500"/>
            <w:shd w:fill="EEF1F5" w:val="clear"/>
            <w:tcMar>
              <w:top w:type="dxa" w:w="80"/>
              <w:left w:type="dxa" w:w="120"/>
              <w:bottom w:type="dxa" w:w="80"/>
              <w:right w:type="dxa" w:w="120"/>
            </w:tcMar>
          </w:tcPr>
          <w:p>
            <w:pPr>
              <w:spacing w:after="20" w:line="280"/>
            </w:pPr>
            <w:r>
              <w:rPr>
                <w:rFonts w:ascii="Times New Roman" w:eastAsia="SimSun"/>
                <w:b/>
                <w:bCs/>
                <w:color w:val="000000"/>
                <w:sz w:val="20"/>
                <w:szCs w:val="20"/>
              </w:rPr>
              <w:t xml:space="preserve">How it is delivered</w:t>
            </w:r>
          </w:p>
        </w:tc>
      </w:tr>
      <w:tr>
        <w:trPr>
          <w:cantSplit/>
        </w:trPr>
        <w:tc>
          <w:tcPr>
            <w:tcW w:type="pct" w:w="800"/>
            <w:tcMar>
              <w:top w:type="dxa" w:w="80"/>
              <w:left w:type="dxa" w:w="120"/>
              <w:bottom w:type="dxa" w:w="80"/>
              <w:right w:type="dxa" w:w="120"/>
            </w:tcMar>
          </w:tcPr>
          <w:p>
            <w:pPr>
              <w:spacing w:after="20" w:line="280"/>
            </w:pPr>
            <w:r>
              <w:rPr>
                <w:rFonts w:ascii="Times New Roman" w:eastAsia="SimSun"/>
                <w:b w:val="false"/>
                <w:bCs w:val="false"/>
                <w:color w:val="000000"/>
                <w:sz w:val="20"/>
                <w:szCs w:val="20"/>
              </w:rPr>
              <w:t xml:space="preserve">Trisle</w:t>
            </w:r>
          </w:p>
        </w:tc>
        <w:tc>
          <w:tcPr>
            <w:tcW w:type="pct" w:w="700"/>
            <w:tcMar>
              <w:top w:type="dxa" w:w="80"/>
              <w:left w:type="dxa" w:w="120"/>
              <w:bottom w:type="dxa" w:w="80"/>
              <w:right w:type="dxa" w:w="120"/>
            </w:tcMar>
          </w:tcPr>
          <w:p>
            <w:pPr>
              <w:spacing w:after="20" w:line="280"/>
            </w:pPr>
            <w:r>
              <w:rPr>
                <w:rFonts w:ascii="Times New Roman" w:eastAsia="SimSun"/>
                <w:b w:val="false"/>
                <w:bCs w:val="false"/>
                <w:color w:val="000000"/>
                <w:sz w:val="20"/>
                <w:szCs w:val="20"/>
              </w:rPr>
              <w:t xml:space="preserve">€3.99, one-time</w:t>
            </w:r>
          </w:p>
        </w:tc>
        <w:tc>
          <w:tcPr>
            <w:tcW w:type="pct" w:w="2000"/>
            <w:tcMar>
              <w:top w:type="dxa" w:w="80"/>
              <w:left w:type="dxa" w:w="120"/>
              <w:bottom w:type="dxa" w:w="80"/>
              <w:right w:type="dxa" w:w="120"/>
            </w:tcMar>
          </w:tcPr>
          <w:p>
            <w:pPr>
              <w:spacing w:after="20" w:line="280"/>
            </w:pPr>
            <w:r>
              <w:rPr>
                <w:rFonts w:ascii="Times New Roman" w:eastAsia="SimSun"/>
                <w:b w:val="false"/>
                <w:bCs w:val="false"/>
                <w:color w:val="000000"/>
                <w:sz w:val="20"/>
                <w:szCs w:val="20"/>
              </w:rPr>
              <w:t xml:space="preserve">Android app that recreates the iPhone Dynamic Island: a pill-shaped capsule that morphs to show live alerts and ongoing activities</w:t>
            </w:r>
          </w:p>
        </w:tc>
        <w:tc>
          <w:tcPr>
            <w:tcW w:type="pct" w:w="1500"/>
            <w:tcMar>
              <w:top w:type="dxa" w:w="80"/>
              <w:left w:type="dxa" w:w="120"/>
              <w:bottom w:type="dxa" w:w="80"/>
              <w:right w:type="dxa" w:w="120"/>
            </w:tcMar>
          </w:tcPr>
          <w:p>
            <w:pPr>
              <w:spacing w:after="20" w:line="280"/>
            </w:pPr>
            <w:r>
              <w:rPr>
                <w:rFonts w:ascii="Times New Roman" w:eastAsia="SimSun"/>
                <w:b w:val="false"/>
                <w:bCs w:val="false"/>
                <w:color w:val="000000"/>
                <w:sz w:val="20"/>
                <w:szCs w:val="20"/>
              </w:rPr>
              <w:t xml:space="preserve">Instant download after checkout, plus lifetime updates</w:t>
            </w:r>
          </w:p>
        </w:tc>
      </w:tr>
      <w:tr>
        <w:trPr>
          <w:cantSplit/>
        </w:trPr>
        <w:tc>
          <w:tcPr>
            <w:tcW w:type="pct" w:w="800"/>
            <w:tcMar>
              <w:top w:type="dxa" w:w="80"/>
              <w:left w:type="dxa" w:w="120"/>
              <w:bottom w:type="dxa" w:w="80"/>
              <w:right w:type="dxa" w:w="120"/>
            </w:tcMar>
          </w:tcPr>
          <w:p>
            <w:pPr>
              <w:spacing w:after="20" w:line="280"/>
            </w:pPr>
            <w:r>
              <w:rPr>
                <w:rFonts w:ascii="Times New Roman" w:eastAsia="SimSun"/>
                <w:b w:val="false"/>
                <w:bCs w:val="false"/>
                <w:color w:val="000000"/>
                <w:sz w:val="20"/>
                <w:szCs w:val="20"/>
              </w:rPr>
              <w:t xml:space="preserve">MarketWise Starter</w:t>
            </w:r>
          </w:p>
        </w:tc>
        <w:tc>
          <w:tcPr>
            <w:tcW w:type="pct" w:w="700"/>
            <w:tcMar>
              <w:top w:type="dxa" w:w="80"/>
              <w:left w:type="dxa" w:w="120"/>
              <w:bottom w:type="dxa" w:w="80"/>
              <w:right w:type="dxa" w:w="120"/>
            </w:tcMar>
          </w:tcPr>
          <w:p>
            <w:pPr>
              <w:spacing w:after="20" w:line="280"/>
            </w:pPr>
            <w:r>
              <w:rPr>
                <w:rFonts w:ascii="Times New Roman" w:eastAsia="SimSun"/>
                <w:b w:val="false"/>
                <w:bCs w:val="false"/>
                <w:color w:val="000000"/>
                <w:sz w:val="20"/>
                <w:szCs w:val="20"/>
              </w:rPr>
              <w:t xml:space="preserve">€19/month</w:t>
            </w:r>
          </w:p>
        </w:tc>
        <w:tc>
          <w:tcPr>
            <w:tcW w:type="pct" w:w="2000"/>
            <w:tcMar>
              <w:top w:type="dxa" w:w="80"/>
              <w:left w:type="dxa" w:w="120"/>
              <w:bottom w:type="dxa" w:w="80"/>
              <w:right w:type="dxa" w:w="120"/>
            </w:tcMar>
          </w:tcPr>
          <w:p>
            <w:pPr>
              <w:spacing w:after="20" w:line="280"/>
            </w:pPr>
            <w:r>
              <w:rPr>
                <w:rFonts w:ascii="Times New Roman" w:eastAsia="SimSun"/>
                <w:b w:val="false"/>
                <w:bCs w:val="false"/>
                <w:color w:val="000000"/>
                <w:sz w:val="20"/>
                <w:szCs w:val="20"/>
              </w:rPr>
              <w:t xml:space="preserve">Subscription to the MarketWise web app: 2 full marketing analyses per month</w:t>
            </w:r>
          </w:p>
        </w:tc>
        <w:tc>
          <w:tcPr>
            <w:tcW w:type="pct" w:w="1500"/>
            <w:tcMar>
              <w:top w:type="dxa" w:w="80"/>
              <w:left w:type="dxa" w:w="120"/>
              <w:bottom w:type="dxa" w:w="80"/>
              <w:right w:type="dxa" w:w="120"/>
            </w:tcMar>
          </w:tcPr>
          <w:p>
            <w:pPr>
              <w:spacing w:after="20" w:line="280"/>
            </w:pPr>
            <w:r>
              <w:rPr>
                <w:rFonts w:ascii="Times New Roman" w:eastAsia="SimSun"/>
                <w:b w:val="false"/>
                <w:bCs w:val="false"/>
                <w:color w:val="000000"/>
                <w:sz w:val="20"/>
                <w:szCs w:val="20"/>
              </w:rPr>
              <w:t xml:space="preserve">Activated in the customer account within seconds of payment</w:t>
            </w:r>
          </w:p>
        </w:tc>
      </w:tr>
      <w:tr>
        <w:trPr>
          <w:cantSplit/>
        </w:trPr>
        <w:tc>
          <w:tcPr>
            <w:tcW w:type="pct" w:w="800"/>
            <w:tcMar>
              <w:top w:type="dxa" w:w="80"/>
              <w:left w:type="dxa" w:w="120"/>
              <w:bottom w:type="dxa" w:w="80"/>
              <w:right w:type="dxa" w:w="120"/>
            </w:tcMar>
          </w:tcPr>
          <w:p>
            <w:pPr>
              <w:spacing w:after="20" w:line="280"/>
            </w:pPr>
            <w:r>
              <w:rPr>
                <w:rFonts w:ascii="Times New Roman" w:eastAsia="SimSun"/>
                <w:b w:val="false"/>
                <w:bCs w:val="false"/>
                <w:color w:val="000000"/>
                <w:sz w:val="20"/>
                <w:szCs w:val="20"/>
              </w:rPr>
              <w:t xml:space="preserve">MarketWise Pro</w:t>
            </w:r>
          </w:p>
        </w:tc>
        <w:tc>
          <w:tcPr>
            <w:tcW w:type="pct" w:w="700"/>
            <w:tcMar>
              <w:top w:type="dxa" w:w="80"/>
              <w:left w:type="dxa" w:w="120"/>
              <w:bottom w:type="dxa" w:w="80"/>
              <w:right w:type="dxa" w:w="120"/>
            </w:tcMar>
          </w:tcPr>
          <w:p>
            <w:pPr>
              <w:spacing w:after="20" w:line="280"/>
            </w:pPr>
            <w:r>
              <w:rPr>
                <w:rFonts w:ascii="Times New Roman" w:eastAsia="SimSun"/>
                <w:b w:val="false"/>
                <w:bCs w:val="false"/>
                <w:color w:val="000000"/>
                <w:sz w:val="20"/>
                <w:szCs w:val="20"/>
              </w:rPr>
              <w:t xml:space="preserve">€29/month</w:t>
            </w:r>
          </w:p>
        </w:tc>
        <w:tc>
          <w:tcPr>
            <w:tcW w:type="pct" w:w="2000"/>
            <w:tcMar>
              <w:top w:type="dxa" w:w="80"/>
              <w:left w:type="dxa" w:w="120"/>
              <w:bottom w:type="dxa" w:w="80"/>
              <w:right w:type="dxa" w:w="120"/>
            </w:tcMar>
          </w:tcPr>
          <w:p>
            <w:pPr>
              <w:spacing w:after="20" w:line="280"/>
            </w:pPr>
            <w:r>
              <w:rPr>
                <w:rFonts w:ascii="Times New Roman" w:eastAsia="SimSun"/>
                <w:b w:val="false"/>
                <w:bCs w:val="false"/>
                <w:color w:val="000000"/>
                <w:sz w:val="20"/>
                <w:szCs w:val="20"/>
              </w:rPr>
              <w:t xml:space="preserve">Subscription: 4 full analyses per month, priority support, capacity to re-audit monthly</w:t>
            </w:r>
          </w:p>
        </w:tc>
        <w:tc>
          <w:tcPr>
            <w:tcW w:type="pct" w:w="1500"/>
            <w:tcMar>
              <w:top w:type="dxa" w:w="80"/>
              <w:left w:type="dxa" w:w="120"/>
              <w:bottom w:type="dxa" w:w="80"/>
              <w:right w:type="dxa" w:w="120"/>
            </w:tcMar>
          </w:tcPr>
          <w:p>
            <w:pPr>
              <w:spacing w:after="20" w:line="280"/>
            </w:pPr>
            <w:r>
              <w:rPr>
                <w:rFonts w:ascii="Times New Roman" w:eastAsia="SimSun"/>
                <w:b w:val="false"/>
                <w:bCs w:val="false"/>
                <w:color w:val="000000"/>
                <w:sz w:val="20"/>
                <w:szCs w:val="20"/>
              </w:rPr>
              <w:t xml:space="preserve">Activated in the customer account within seconds of payment</w:t>
            </w:r>
          </w:p>
        </w:tc>
      </w:tr>
      <w:tr>
        <w:trPr>
          <w:cantSplit/>
        </w:trPr>
        <w:tc>
          <w:tcPr>
            <w:tcW w:type="pct" w:w="800"/>
            <w:tcMar>
              <w:top w:type="dxa" w:w="80"/>
              <w:left w:type="dxa" w:w="120"/>
              <w:bottom w:type="dxa" w:w="80"/>
              <w:right w:type="dxa" w:w="120"/>
            </w:tcMar>
          </w:tcPr>
          <w:p>
            <w:pPr>
              <w:spacing w:after="20" w:line="280"/>
            </w:pPr>
            <w:r>
              <w:rPr>
                <w:rFonts w:ascii="Times New Roman" w:eastAsia="SimSun"/>
                <w:b w:val="false"/>
                <w:bCs w:val="false"/>
                <w:color w:val="000000"/>
                <w:sz w:val="20"/>
                <w:szCs w:val="20"/>
              </w:rPr>
              <w:t xml:space="preserve">Single Report</w:t>
            </w:r>
          </w:p>
        </w:tc>
        <w:tc>
          <w:tcPr>
            <w:tcW w:type="pct" w:w="700"/>
            <w:tcMar>
              <w:top w:type="dxa" w:w="80"/>
              <w:left w:type="dxa" w:w="120"/>
              <w:bottom w:type="dxa" w:w="80"/>
              <w:right w:type="dxa" w:w="120"/>
            </w:tcMar>
          </w:tcPr>
          <w:p>
            <w:pPr>
              <w:spacing w:after="20" w:line="280"/>
            </w:pPr>
            <w:r>
              <w:rPr>
                <w:rFonts w:ascii="Times New Roman" w:eastAsia="SimSun"/>
                <w:b w:val="false"/>
                <w:bCs w:val="false"/>
                <w:color w:val="000000"/>
                <w:sz w:val="20"/>
                <w:szCs w:val="20"/>
              </w:rPr>
              <w:t xml:space="preserve">€14, one-time</w:t>
            </w:r>
          </w:p>
        </w:tc>
        <w:tc>
          <w:tcPr>
            <w:tcW w:type="pct" w:w="2000"/>
            <w:tcMar>
              <w:top w:type="dxa" w:w="80"/>
              <w:left w:type="dxa" w:w="120"/>
              <w:bottom w:type="dxa" w:w="80"/>
              <w:right w:type="dxa" w:w="120"/>
            </w:tcMar>
          </w:tcPr>
          <w:p>
            <w:pPr>
              <w:spacing w:after="20" w:line="280"/>
            </w:pPr>
            <w:r>
              <w:rPr>
                <w:rFonts w:ascii="Times New Roman" w:eastAsia="SimSun"/>
                <w:b w:val="false"/>
                <w:bCs w:val="false"/>
                <w:color w:val="000000"/>
                <w:sz w:val="20"/>
                <w:szCs w:val="20"/>
              </w:rPr>
              <w:t xml:space="preserve">One full MarketWise analysis for one website, no subscription</w:t>
            </w:r>
          </w:p>
        </w:tc>
        <w:tc>
          <w:tcPr>
            <w:tcW w:type="pct" w:w="1500"/>
            <w:tcMar>
              <w:top w:type="dxa" w:w="80"/>
              <w:left w:type="dxa" w:w="120"/>
              <w:bottom w:type="dxa" w:w="80"/>
              <w:right w:type="dxa" w:w="120"/>
            </w:tcMar>
          </w:tcPr>
          <w:p>
            <w:pPr>
              <w:spacing w:after="20" w:line="280"/>
            </w:pPr>
            <w:r>
              <w:rPr>
                <w:rFonts w:ascii="Times New Roman" w:eastAsia="SimSun"/>
                <w:b w:val="false"/>
                <w:bCs w:val="false"/>
                <w:color w:val="000000"/>
                <w:sz w:val="20"/>
                <w:szCs w:val="20"/>
              </w:rPr>
              <w:t xml:space="preserve">Activated in the account; credit valid for 90 days</w:t>
            </w:r>
          </w:p>
        </w:tc>
      </w:tr>
    </w:tbl>
    <w:p>
      <w:pPr>
        <w:keepNext w:val="false"/>
        <w:spacing w:after="60" w:before="0" w:line="312"/>
        <w:jc w:val="left"/>
      </w:pPr>
      <w:r>
        <w:rPr>
          <w:rFonts w:ascii="Times New Roman" w:eastAsia="SimSun"/>
          <w:color w:val="000000"/>
          <w:sz w:val="24"/>
          <w:szCs w:val="24"/>
        </w:rPr>
        <w:t xml:space="preserve"/>
      </w:r>
    </w:p>
    <w:p>
      <w:pPr>
        <w:keepNext w:val="false"/>
        <w:spacing w:after="160" w:before="0" w:line="312"/>
        <w:jc w:val="left"/>
      </w:pPr>
      <w:r>
        <w:rPr>
          <w:rFonts w:ascii="Times New Roman" w:eastAsia="SimSun"/>
          <w:b/>
          <w:bCs/>
          <w:i w:val="false"/>
          <w:iCs w:val="false"/>
          <w:color w:val="000000"/>
          <w:sz w:val="24"/>
          <w:szCs w:val="24"/>
        </w:rPr>
        <w:t xml:space="preserve">Trisle — </w:t>
      </w:r>
      <w:r>
        <w:rPr>
          <w:rFonts w:ascii="Times New Roman" w:eastAsia="SimSun"/>
          <w:b w:val="false"/>
          <w:bCs w:val="false"/>
          <w:i w:val="false"/>
          <w:iCs w:val="false"/>
          <w:color w:val="000000"/>
          <w:sz w:val="24"/>
          <w:szCs w:val="24"/>
        </w:rPr>
        <w:t xml:space="preserve">an Android utility that recreates the iPhone Dynamic Island on Android. It floats a pill-shaped capsule at the top of the screen, above every app, and morphs it to show live alerts, notifications and ongoing activities such as music playback, timers, calls and navigation. It runs on Android 7.0 and above, is optimized for Android 12 through 16, and adapts to any camera cutout. All processing happens on the device: the app collects nothing and contains no analytics or tracking SDKs. Customers receive the full app and all future updates for the one-time price. Product page: </w:t>
      </w:r>
      <w:hyperlink w:history="1" r:id="rIde0fxtrmnfjmv80ypa3isr">
        <w:r>
          <w:rPr>
            <w:rFonts w:ascii="Times New Roman" w:eastAsia="SimSun"/>
            <w:color w:val="0B5394"/>
            <w:sz w:val="24"/>
            <w:szCs w:val="24"/>
            <w:u w:val="single"/>
          </w:rPr>
          <w:t xml:space="preserve">https://trisle-app.github.io/Trisle_Website/</w:t>
        </w:r>
      </w:hyperlink>
    </w:p>
    <w:p>
      <w:pPr>
        <w:keepNext w:val="false"/>
        <w:spacing w:after="160" w:before="0" w:line="312"/>
        <w:jc w:val="left"/>
      </w:pPr>
      <w:r>
        <w:rPr>
          <w:rFonts w:ascii="Times New Roman" w:eastAsia="SimSun"/>
          <w:b/>
          <w:bCs/>
          <w:i w:val="false"/>
          <w:iCs w:val="false"/>
          <w:color w:val="000000"/>
          <w:sz w:val="24"/>
          <w:szCs w:val="24"/>
        </w:rPr>
        <w:t xml:space="preserve">FoldFX (€4.99) — </w:t>
      </w:r>
      <w:r>
        <w:rPr>
          <w:rFonts w:ascii="Times New Roman" w:eastAsia="SimSun"/>
          <w:b w:val="false"/>
          <w:bCs w:val="false"/>
          <w:i w:val="false"/>
          <w:iCs w:val="false"/>
          <w:color w:val="000000"/>
          <w:sz w:val="24"/>
          <w:szCs w:val="24"/>
        </w:rPr>
        <w:t xml:space="preserve">discontinued and deleted. FoldFX was a separate Android app for foldable phones; it recreated a fluid, hinge-driven fold and unfold transition. We have since discontinued the project: the product has been deleted, it is no longer for sale, and its product page (https://roodynorman21.github.io) is down. It was a one-time purchase with no subscriptions, so no recurring obligations are attached to it. If it still appears as a listing in the current organization, we will make sure it is removed.</w:t>
      </w:r>
    </w:p>
    <w:p>
      <w:pPr>
        <w:pStyle w:val="Heading3"/>
        <w:spacing w:after="120" w:before="240" w:line="312"/>
      </w:pPr>
      <w:r>
        <w:rPr>
          <w:rFonts w:ascii="Times New Roman" w:eastAsia="SimSun"/>
          <w:b/>
          <w:bCs/>
          <w:color w:val="000000"/>
          <w:sz w:val="26"/>
          <w:szCs w:val="26"/>
        </w:rPr>
        <w:t xml:space="preserve">3. What MarketWise and the Single Report provide</w:t>
      </w:r>
    </w:p>
    <w:p>
      <w:pPr>
        <w:keepNext w:val="false"/>
        <w:spacing w:after="160" w:before="0" w:line="312"/>
        <w:jc w:val="left"/>
      </w:pPr>
      <w:r>
        <w:rPr>
          <w:rFonts w:ascii="Times New Roman" w:eastAsia="SimSun"/>
          <w:color w:val="000000"/>
          <w:sz w:val="24"/>
          <w:szCs w:val="24"/>
        </w:rPr>
        <w:t xml:space="preserve">MarketWise is a web application for small businesses and founders. The customer enters their website URL; MarketWise then runs live web research on the site, its market and its competitors, followed by a multi-step AI analysis, and generates a full marketing diagnostic report. All three MarketWise products deliver the same unit — one full analysis — and differ only in volume and support:</w:t>
      </w:r>
    </w:p>
    <w:p>
      <w:pPr>
        <w:pStyle w:val="ListParagraph"/>
        <w:numPr>
          <w:ilvl w:val="0"/>
          <w:numId w:val="1"/>
        </w:numPr>
        <w:spacing w:after="80" w:line="312"/>
      </w:pPr>
      <w:r>
        <w:rPr>
          <w:rFonts w:ascii="Times New Roman" w:eastAsia="SimSun"/>
          <w:b/>
          <w:bCs/>
          <w:i w:val="false"/>
          <w:iCs w:val="false"/>
          <w:color w:val="000000"/>
          <w:sz w:val="24"/>
          <w:szCs w:val="24"/>
        </w:rPr>
        <w:t xml:space="preserve">Starter (€19/month): </w:t>
      </w:r>
      <w:r>
        <w:rPr>
          <w:rFonts w:ascii="Times New Roman" w:eastAsia="SimSun"/>
          <w:b w:val="false"/>
          <w:bCs w:val="false"/>
          <w:i w:val="false"/>
          <w:iCs w:val="false"/>
          <w:color w:val="000000"/>
          <w:sz w:val="24"/>
          <w:szCs w:val="24"/>
        </w:rPr>
        <w:t xml:space="preserve">2 full marketing analyses per month.</w:t>
      </w:r>
    </w:p>
    <w:p>
      <w:pPr>
        <w:pStyle w:val="ListParagraph"/>
        <w:numPr>
          <w:ilvl w:val="0"/>
          <w:numId w:val="1"/>
        </w:numPr>
        <w:spacing w:after="80" w:line="312"/>
      </w:pPr>
      <w:r>
        <w:rPr>
          <w:rFonts w:ascii="Times New Roman" w:eastAsia="SimSun"/>
          <w:b/>
          <w:bCs/>
          <w:i w:val="false"/>
          <w:iCs w:val="false"/>
          <w:color w:val="000000"/>
          <w:sz w:val="24"/>
          <w:szCs w:val="24"/>
        </w:rPr>
        <w:t xml:space="preserve">Pro (€29/month): </w:t>
      </w:r>
      <w:r>
        <w:rPr>
          <w:rFonts w:ascii="Times New Roman" w:eastAsia="SimSun"/>
          <w:b w:val="false"/>
          <w:bCs w:val="false"/>
          <w:i w:val="false"/>
          <w:iCs w:val="false"/>
          <w:color w:val="000000"/>
          <w:sz w:val="24"/>
          <w:szCs w:val="24"/>
        </w:rPr>
        <w:t xml:space="preserve">4 full marketing analyses per month, priority support, and enough capacity to re-audit a site monthly and track what moved.</w:t>
      </w:r>
    </w:p>
    <w:p>
      <w:pPr>
        <w:pStyle w:val="ListParagraph"/>
        <w:numPr>
          <w:ilvl w:val="0"/>
          <w:numId w:val="1"/>
        </w:numPr>
        <w:spacing w:after="80" w:line="312"/>
      </w:pPr>
      <w:r>
        <w:rPr>
          <w:rFonts w:ascii="Times New Roman" w:eastAsia="SimSun"/>
          <w:b/>
          <w:bCs/>
          <w:i w:val="false"/>
          <w:iCs w:val="false"/>
          <w:color w:val="000000"/>
          <w:sz w:val="24"/>
          <w:szCs w:val="24"/>
        </w:rPr>
        <w:t xml:space="preserve">Single Report (€14, one-time): </w:t>
      </w:r>
      <w:r>
        <w:rPr>
          <w:rFonts w:ascii="Times New Roman" w:eastAsia="SimSun"/>
          <w:b w:val="false"/>
          <w:bCs w:val="false"/>
          <w:i w:val="false"/>
          <w:iCs w:val="false"/>
          <w:color w:val="000000"/>
          <w:sz w:val="24"/>
          <w:szCs w:val="24"/>
        </w:rPr>
        <w:t xml:space="preserve">one full analysis for one website. No subscription; the report credit is valid for 90 days.</w:t>
      </w:r>
    </w:p>
    <w:p>
      <w:pPr>
        <w:keepNext/>
        <w:spacing w:after="160" w:before="80" w:line="312"/>
        <w:jc w:val="left"/>
      </w:pPr>
      <w:r>
        <w:rPr>
          <w:rFonts w:ascii="Times New Roman" w:eastAsia="SimSun"/>
          <w:color w:val="000000"/>
          <w:sz w:val="24"/>
          <w:szCs w:val="24"/>
        </w:rPr>
        <w:t xml:space="preserve">Each full analysis contains the following information:</w:t>
      </w:r>
    </w:p>
    <w:p>
      <w:pPr>
        <w:pStyle w:val="ListParagraph"/>
        <w:numPr>
          <w:ilvl w:val="0"/>
          <w:numId w:val="1"/>
        </w:numPr>
        <w:spacing w:after="80" w:line="312"/>
      </w:pPr>
      <w:r>
        <w:rPr>
          <w:rFonts w:ascii="Times New Roman" w:eastAsia="SimSun"/>
          <w:b w:val="false"/>
          <w:bCs w:val="false"/>
          <w:i w:val="false"/>
          <w:iCs w:val="false"/>
          <w:color w:val="000000"/>
          <w:sz w:val="24"/>
          <w:szCs w:val="24"/>
        </w:rPr>
        <w:t xml:space="preserve">Market and competitor research, with every market claim backed by a cited, checkable source.</w:t>
      </w:r>
    </w:p>
    <w:p>
      <w:pPr>
        <w:pStyle w:val="ListParagraph"/>
        <w:numPr>
          <w:ilvl w:val="0"/>
          <w:numId w:val="1"/>
        </w:numPr>
        <w:spacing w:after="80" w:line="312"/>
      </w:pPr>
      <w:r>
        <w:rPr>
          <w:rFonts w:ascii="Times New Roman" w:eastAsia="SimSun"/>
          <w:b w:val="false"/>
          <w:bCs w:val="false"/>
          <w:i w:val="false"/>
          <w:iCs w:val="false"/>
          <w:color w:val="000000"/>
          <w:sz w:val="24"/>
          <w:szCs w:val="24"/>
        </w:rPr>
        <w:t xml:space="preserve">A five-part website audit and an 18-point SEO checklist.</w:t>
      </w:r>
    </w:p>
    <w:p>
      <w:pPr>
        <w:pStyle w:val="ListParagraph"/>
        <w:numPr>
          <w:ilvl w:val="0"/>
          <w:numId w:val="1"/>
        </w:numPr>
        <w:spacing w:after="80" w:line="312"/>
      </w:pPr>
      <w:r>
        <w:rPr>
          <w:rFonts w:ascii="Times New Roman" w:eastAsia="SimSun"/>
          <w:b w:val="false"/>
          <w:bCs w:val="false"/>
          <w:i w:val="false"/>
          <w:iCs w:val="false"/>
          <w:color w:val="000000"/>
          <w:sz w:val="24"/>
          <w:szCs w:val="24"/>
        </w:rPr>
        <w:t xml:space="preserve">A scored diagnostic report showing how the site performs across the main marketing dimensions.</w:t>
      </w:r>
    </w:p>
    <w:p>
      <w:pPr>
        <w:pStyle w:val="ListParagraph"/>
        <w:numPr>
          <w:ilvl w:val="0"/>
          <w:numId w:val="1"/>
        </w:numPr>
        <w:spacing w:after="80" w:line="312"/>
      </w:pPr>
      <w:r>
        <w:rPr>
          <w:rFonts w:ascii="Times New Roman" w:eastAsia="SimSun"/>
          <w:b w:val="false"/>
          <w:bCs w:val="false"/>
          <w:i w:val="false"/>
          <w:iCs w:val="false"/>
          <w:color w:val="000000"/>
          <w:sz w:val="24"/>
          <w:szCs w:val="24"/>
        </w:rPr>
        <w:t xml:space="preserve">A prioritized 7/30/60/90-day action roadmap with KPIs.</w:t>
      </w:r>
    </w:p>
    <w:p>
      <w:pPr>
        <w:pStyle w:val="ListParagraph"/>
        <w:numPr>
          <w:ilvl w:val="0"/>
          <w:numId w:val="1"/>
        </w:numPr>
        <w:spacing w:after="80" w:line="312"/>
      </w:pPr>
      <w:r>
        <w:rPr>
          <w:rFonts w:ascii="Times New Roman" w:eastAsia="SimSun"/>
          <w:b w:val="false"/>
          <w:bCs w:val="false"/>
          <w:i w:val="false"/>
          <w:iCs w:val="false"/>
          <w:color w:val="000000"/>
          <w:sz w:val="24"/>
          <w:szCs w:val="24"/>
        </w:rPr>
        <w:t xml:space="preserve">Export options: Markdown, print-to-PDF, and a copyable action plan.</w:t>
      </w:r>
    </w:p>
    <w:p>
      <w:pPr>
        <w:keepNext w:val="false"/>
        <w:spacing w:after="160" w:before="80" w:line="312"/>
        <w:jc w:val="left"/>
      </w:pPr>
      <w:r>
        <w:rPr>
          <w:rFonts w:ascii="Times New Roman" w:eastAsia="SimSun"/>
          <w:b w:val="false"/>
          <w:bCs w:val="false"/>
          <w:i w:val="false"/>
          <w:iCs w:val="false"/>
          <w:color w:val="000000"/>
          <w:sz w:val="24"/>
          <w:szCs w:val="24"/>
        </w:rPr>
        <w:t xml:space="preserve">A complete sample report — exactly what a customer receives — is publicly viewable at </w:t>
      </w:r>
      <w:hyperlink w:history="1" r:id="rIdx12tt1dizermm7jh960zs">
        <w:r>
          <w:rPr>
            <w:rFonts w:ascii="Times New Roman" w:eastAsia="SimSun"/>
            <w:color w:val="0B5394"/>
            <w:sz w:val="24"/>
            <w:szCs w:val="24"/>
            <w:u w:val="single"/>
          </w:rPr>
          <w:t xml:space="preserve">https://get.marketwiselabs.workers.dev/sample-report/</w:t>
        </w:r>
      </w:hyperlink>
      <w:r>
        <w:rPr>
          <w:rFonts w:ascii="Times New Roman" w:eastAsia="SimSun"/>
          <w:b w:val="false"/>
          <w:bCs w:val="false"/>
          <w:i w:val="false"/>
          <w:iCs w:val="false"/>
          <w:color w:val="000000"/>
          <w:sz w:val="24"/>
          <w:szCs w:val="24"/>
        </w:rPr>
        <w:t xml:space="preserve">.</w:t>
      </w:r>
    </w:p>
    <w:p>
      <w:pPr>
        <w:keepNext w:val="false"/>
        <w:spacing w:after="160" w:before="0" w:line="312"/>
        <w:jc w:val="left"/>
      </w:pPr>
      <w:r>
        <w:rPr>
          <w:rFonts w:ascii="Times New Roman" w:eastAsia="SimSun"/>
          <w:color w:val="000000"/>
          <w:sz w:val="24"/>
          <w:szCs w:val="24"/>
        </w:rPr>
        <w:t xml:space="preserve">How delivery works after payment: checkout is embedded in the application and processed by Polar. After payment, Polar redirects the customer back to the app, and a Polar webhook activates their entitlement (the subscription or the report credit) within seconds. The customer then runs their analyses from their account dashboard; a report takes a few minutes to generate and remains in the account permanently, where it can be re-read and exported at any time. Subscriptions can be cancelled at any time, with access running to the end of the paid period, and failed analyses never consume the customer's quota.</w:t>
      </w:r>
    </w:p>
    <w:p>
      <w:pPr>
        <w:keepNext w:val="false"/>
        <w:spacing w:after="160" w:before="0" w:line="312"/>
        <w:jc w:val="left"/>
      </w:pPr>
      <w:r>
        <w:rPr>
          <w:rFonts w:ascii="Times New Roman" w:eastAsia="SimSun"/>
          <w:color w:val="000000"/>
          <w:sz w:val="24"/>
          <w:szCs w:val="24"/>
        </w:rPr>
        <w:t xml:space="preserve">There is also a free tier: anyone can run a free instant audit of their site without payment. The paid products unlock the full cited research, audit and roadmap described above.</w:t>
      </w:r>
    </w:p>
    <w:p>
      <w:pPr>
        <w:keepNext/>
        <w:spacing w:after="160" w:before="0" w:line="312"/>
        <w:jc w:val="left"/>
      </w:pPr>
      <w:r>
        <w:rPr>
          <w:rFonts w:ascii="Times New Roman" w:eastAsia="SimSun"/>
          <w:color w:val="000000"/>
          <w:sz w:val="24"/>
          <w:szCs w:val="24"/>
        </w:rPr>
        <w:t xml:space="preserve">Product and pricing pages:</w:t>
      </w:r>
    </w:p>
    <w:p>
      <w:pPr>
        <w:pStyle w:val="ListParagraph"/>
        <w:numPr>
          <w:ilvl w:val="0"/>
          <w:numId w:val="1"/>
        </w:numPr>
        <w:spacing w:after="80" w:line="312"/>
      </w:pPr>
      <w:r>
        <w:rPr>
          <w:rFonts w:ascii="Times New Roman" w:eastAsia="SimSun"/>
          <w:b w:val="false"/>
          <w:bCs w:val="false"/>
          <w:i w:val="false"/>
          <w:iCs w:val="false"/>
          <w:color w:val="000000"/>
          <w:sz w:val="24"/>
          <w:szCs w:val="24"/>
        </w:rPr>
        <w:t xml:space="preserve">Landing page: </w:t>
      </w:r>
      <w:hyperlink w:history="1" r:id="rIdboi8talnyerlprfrh7ptw">
        <w:r>
          <w:rPr>
            <w:rFonts w:ascii="Times New Roman" w:eastAsia="SimSun"/>
            <w:color w:val="0B5394"/>
            <w:sz w:val="24"/>
            <w:szCs w:val="24"/>
            <w:u w:val="single"/>
          </w:rPr>
          <w:t xml:space="preserve">https://get.marketwiselabs.workers.dev</w:t>
        </w:r>
      </w:hyperlink>
    </w:p>
    <w:p>
      <w:pPr>
        <w:pStyle w:val="ListParagraph"/>
        <w:numPr>
          <w:ilvl w:val="0"/>
          <w:numId w:val="1"/>
        </w:numPr>
        <w:spacing w:after="80" w:line="312"/>
      </w:pPr>
      <w:r>
        <w:rPr>
          <w:rFonts w:ascii="Times New Roman" w:eastAsia="SimSun"/>
          <w:b w:val="false"/>
          <w:bCs w:val="false"/>
          <w:i w:val="false"/>
          <w:iCs w:val="false"/>
          <w:color w:val="000000"/>
          <w:sz w:val="24"/>
          <w:szCs w:val="24"/>
        </w:rPr>
        <w:t xml:space="preserve">Pricing, all three plans: </w:t>
      </w:r>
      <w:hyperlink w:history="1" r:id="rIdbfhbnjqdkkzhlw0mgfksg">
        <w:r>
          <w:rPr>
            <w:rFonts w:ascii="Times New Roman" w:eastAsia="SimSun"/>
            <w:color w:val="0B5394"/>
            <w:sz w:val="24"/>
            <w:szCs w:val="24"/>
            <w:u w:val="single"/>
          </w:rPr>
          <w:t xml:space="preserve">https://get.marketwiselabs.workers.dev/pricing</w:t>
        </w:r>
      </w:hyperlink>
    </w:p>
    <w:p>
      <w:pPr>
        <w:pStyle w:val="ListParagraph"/>
        <w:numPr>
          <w:ilvl w:val="0"/>
          <w:numId w:val="1"/>
        </w:numPr>
        <w:spacing w:after="80" w:line="312"/>
      </w:pPr>
      <w:r>
        <w:rPr>
          <w:rFonts w:ascii="Times New Roman" w:eastAsia="SimSun"/>
          <w:b w:val="false"/>
          <w:bCs w:val="false"/>
          <w:i w:val="false"/>
          <w:iCs w:val="false"/>
          <w:color w:val="000000"/>
          <w:sz w:val="24"/>
          <w:szCs w:val="24"/>
        </w:rPr>
        <w:t xml:space="preserve">Sample report: </w:t>
      </w:r>
      <w:hyperlink w:history="1" r:id="rIdllhcb9z9ax_7xvnlliepz">
        <w:r>
          <w:rPr>
            <w:rFonts w:ascii="Times New Roman" w:eastAsia="SimSun"/>
            <w:color w:val="0B5394"/>
            <w:sz w:val="24"/>
            <w:szCs w:val="24"/>
            <w:u w:val="single"/>
          </w:rPr>
          <w:t xml:space="preserve">https://get.marketwiselabs.workers.dev/sample-report</w:t>
        </w:r>
      </w:hyperlink>
    </w:p>
    <w:p>
      <w:pPr>
        <w:pStyle w:val="Heading3"/>
        <w:spacing w:after="120" w:before="240" w:line="312"/>
      </w:pPr>
      <w:r>
        <w:rPr>
          <w:rFonts w:ascii="Times New Roman" w:eastAsia="SimSun"/>
          <w:b/>
          <w:bCs/>
          <w:color w:val="000000"/>
          <w:sz w:val="26"/>
          <w:szCs w:val="26"/>
        </w:rPr>
        <w:t xml:space="preserve">4. Splitting into separate organizations</w:t>
      </w:r>
    </w:p>
    <w:p>
      <w:pPr>
        <w:keepNext w:val="false"/>
        <w:spacing w:after="160" w:before="0" w:line="312"/>
        <w:jc w:val="left"/>
      </w:pPr>
      <w:r>
        <w:rPr>
          <w:rFonts w:ascii="Times New Roman" w:eastAsia="SimSun"/>
          <w:color w:val="000000"/>
          <w:sz w:val="24"/>
          <w:szCs w:val="24"/>
        </w:rPr>
        <w:t xml:space="preserve">Understood — each distinct use case needs its own organization and independent review. With FoldFX deleted, only one new organization is needed. We propose the following structure:</w:t>
      </w:r>
    </w:p>
    <w:p>
      <w:pPr>
        <w:pStyle w:val="ListParagraph"/>
        <w:numPr>
          <w:ilvl w:val="0"/>
          <w:numId w:val="1"/>
        </w:numPr>
        <w:spacing w:after="80" w:line="312"/>
      </w:pPr>
      <w:r>
        <w:rPr>
          <w:rFonts w:ascii="Times New Roman" w:eastAsia="SimSun"/>
          <w:b/>
          <w:bCs/>
          <w:i w:val="false"/>
          <w:iCs w:val="false"/>
          <w:color w:val="000000"/>
          <w:sz w:val="24"/>
          <w:szCs w:val="24"/>
        </w:rPr>
        <w:t xml:space="preserve">Current organization: </w:t>
      </w:r>
      <w:r>
        <w:rPr>
          <w:rFonts w:ascii="Times New Roman" w:eastAsia="SimSun"/>
          <w:b w:val="false"/>
          <w:bCs w:val="false"/>
          <w:i w:val="false"/>
          <w:iCs w:val="false"/>
          <w:color w:val="000000"/>
          <w:sz w:val="24"/>
          <w:szCs w:val="24"/>
        </w:rPr>
        <w:t xml:space="preserve">Trisle only, the approved Android Dynamic Island app.</w:t>
      </w:r>
    </w:p>
    <w:p>
      <w:pPr>
        <w:pStyle w:val="ListParagraph"/>
        <w:numPr>
          <w:ilvl w:val="0"/>
          <w:numId w:val="1"/>
        </w:numPr>
        <w:spacing w:after="80" w:line="312"/>
      </w:pPr>
      <w:r>
        <w:rPr>
          <w:rFonts w:ascii="Times New Roman" w:eastAsia="SimSun"/>
          <w:b/>
          <w:bCs/>
          <w:i w:val="false"/>
          <w:iCs w:val="false"/>
          <w:color w:val="000000"/>
          <w:sz w:val="24"/>
          <w:szCs w:val="24"/>
        </w:rPr>
        <w:t xml:space="preserve">New organization: </w:t>
      </w:r>
      <w:r>
        <w:rPr>
          <w:rFonts w:ascii="Times New Roman" w:eastAsia="SimSun"/>
          <w:b w:val="false"/>
          <w:bCs w:val="false"/>
          <w:i w:val="false"/>
          <w:iCs w:val="false"/>
          <w:color w:val="000000"/>
          <w:sz w:val="24"/>
          <w:szCs w:val="24"/>
        </w:rPr>
        <w:t xml:space="preserve">MarketWise — Starter, Pro and Single Report together (one use case: the marketing analysis service), submitted for independent review.</w:t>
      </w:r>
    </w:p>
    <w:p>
      <w:pPr>
        <w:keepNext/>
        <w:spacing w:after="160" w:before="80" w:line="312"/>
        <w:jc w:val="left"/>
      </w:pPr>
      <w:r>
        <w:rPr>
          <w:rFonts w:ascii="Times New Roman" w:eastAsia="SimSun"/>
          <w:color w:val="000000"/>
          <w:sz w:val="24"/>
          <w:szCs w:val="24"/>
        </w:rPr>
        <w:t xml:space="preserve">Two questions so that we handle the transition correctly:</w:t>
      </w:r>
    </w:p>
    <w:p>
      <w:pPr>
        <w:pStyle w:val="ListParagraph"/>
        <w:numPr>
          <w:ilvl w:val="0"/>
          <w:numId w:val="2"/>
        </w:numPr>
        <w:spacing w:after="100" w:line="312"/>
      </w:pPr>
      <w:r>
        <w:rPr>
          <w:rFonts w:ascii="Times New Roman" w:eastAsia="SimSun"/>
          <w:b w:val="false"/>
          <w:bCs w:val="false"/>
          <w:i w:val="false"/>
          <w:iCs w:val="false"/>
          <w:color w:val="000000"/>
          <w:sz w:val="24"/>
          <w:szCs w:val="24"/>
        </w:rPr>
        <w:t xml:space="preserve">Would you like us to disable the MarketWise products in the current organization immediately, while the new organization is set up and reviewed?</w:t>
      </w:r>
    </w:p>
    <w:p>
      <w:pPr>
        <w:pStyle w:val="ListParagraph"/>
        <w:numPr>
          <w:ilvl w:val="0"/>
          <w:numId w:val="2"/>
        </w:numPr>
        <w:spacing w:after="100" w:line="312"/>
      </w:pPr>
      <w:r>
        <w:rPr>
          <w:rFonts w:ascii="Times New Roman" w:eastAsia="SimSun"/>
          <w:b w:val="false"/>
          <w:bCs w:val="false"/>
          <w:i w:val="false"/>
          <w:iCs w:val="false"/>
          <w:color w:val="000000"/>
          <w:sz w:val="24"/>
          <w:szCs w:val="24"/>
        </w:rPr>
        <w:t xml:space="preserve">How should existing orders and subscriptions for products that move to a new organization be handled — is there a migration path, or should they run their course in the current organization?</w:t>
      </w:r>
    </w:p>
    <w:p>
      <w:pPr>
        <w:keepNext w:val="false"/>
        <w:spacing w:after="160" w:before="80" w:line="312"/>
        <w:jc w:val="left"/>
      </w:pPr>
      <w:r>
        <w:rPr>
          <w:rFonts w:ascii="Times New Roman" w:eastAsia="SimSun"/>
          <w:color w:val="000000"/>
          <w:sz w:val="24"/>
          <w:szCs w:val="24"/>
        </w:rPr>
        <w:t xml:space="preserve">We are happy to provide anything else that helps the review: screenshots of the report interface, a walkthrough of the purchase and delivery flow, or anything else you need.</w:t>
      </w:r>
    </w:p>
    <w:p>
      <w:pPr>
        <w:spacing w:after="40" w:before="300" w:line="312"/>
        <w:jc w:val="right"/>
      </w:pPr>
      <w:r>
        <w:rPr>
          <w:rFonts w:ascii="Times New Roman" w:eastAsia="SimSun"/>
          <w:b w:val="false"/>
          <w:bCs w:val="false"/>
          <w:i w:val="false"/>
          <w:iCs w:val="false"/>
          <w:color w:val="000000"/>
          <w:sz w:val="24"/>
          <w:szCs w:val="24"/>
        </w:rPr>
        <w:t xml:space="preserve">Best regards,</w:t>
      </w:r>
    </w:p>
    <w:p>
      <w:pPr>
        <w:spacing w:after="0" w:line="312"/>
        <w:jc w:val="right"/>
      </w:pPr>
      <w:r>
        <w:rPr>
          <w:rFonts w:ascii="Times New Roman" w:eastAsia="SimSun"/>
          <w:b w:val="false"/>
          <w:bCs w:val="false"/>
          <w:i w:val="false"/>
          <w:iCs w:val="false"/>
          <w:color w:val="000000"/>
          <w:sz w:val="24"/>
          <w:szCs w:val="24"/>
        </w:rPr>
        <w:t xml:space="preserve">【Your name】</w:t>
      </w:r>
    </w:p>
    <w:p>
      <w:pPr>
        <w:pStyle w:val="Heading2"/>
        <w:spacing w:after="140" w:before="300" w:line="312"/>
      </w:pPr>
      <w:r>
        <w:rPr>
          <w:rFonts w:ascii="Times New Roman" w:eastAsia="SimSun"/>
          <w:b/>
          <w:bCs/>
          <w:color w:val="000000"/>
          <w:sz w:val="28"/>
          <w:szCs w:val="28"/>
        </w:rPr>
        <w:t xml:space="preserve">Before sending — quick checklist</w:t>
      </w:r>
    </w:p>
    <w:p>
      <w:pPr>
        <w:pStyle w:val="ListParagraph"/>
        <w:numPr>
          <w:ilvl w:val="0"/>
          <w:numId w:val="1"/>
        </w:numPr>
        <w:spacing w:after="80" w:line="312"/>
      </w:pPr>
      <w:r>
        <w:rPr>
          <w:rFonts w:ascii="Times New Roman" w:eastAsia="SimSun"/>
          <w:b w:val="false"/>
          <w:bCs w:val="false"/>
          <w:i w:val="false"/>
          <w:iCs w:val="false"/>
          <w:color w:val="000000"/>
          <w:sz w:val="24"/>
          <w:szCs w:val="24"/>
        </w:rPr>
        <w:t xml:space="preserve">Fill in 【Your name】 in the signature and adjust the sign-off if you prefer a different closing.</w:t>
      </w:r>
    </w:p>
    <w:p>
      <w:pPr>
        <w:pStyle w:val="ListParagraph"/>
        <w:numPr>
          <w:ilvl w:val="0"/>
          <w:numId w:val="1"/>
        </w:numPr>
        <w:spacing w:after="80" w:line="312"/>
      </w:pPr>
      <w:r>
        <w:rPr>
          <w:rFonts w:ascii="Times New Roman" w:eastAsia="SimSun"/>
          <w:b w:val="false"/>
          <w:bCs w:val="false"/>
          <w:i w:val="false"/>
          <w:iCs w:val="false"/>
          <w:color w:val="000000"/>
          <w:sz w:val="24"/>
          <w:szCs w:val="24"/>
        </w:rPr>
        <w:t xml:space="preserve">Confirm FoldFX actually shows as deleted/unlisted in the Polar dashboard — if it is still visible on their side, delete it there before sending so the reply matches what Polar sees.</w:t>
      </w:r>
    </w:p>
    <w:p>
      <w:pPr>
        <w:pStyle w:val="ListParagraph"/>
        <w:numPr>
          <w:ilvl w:val="0"/>
          <w:numId w:val="1"/>
        </w:numPr>
        <w:spacing w:after="80" w:line="312"/>
      </w:pPr>
      <w:r>
        <w:rPr>
          <w:rFonts w:ascii="Times New Roman" w:eastAsia="SimSun"/>
          <w:b w:val="false"/>
          <w:bCs w:val="false"/>
          <w:i w:val="false"/>
          <w:iCs w:val="false"/>
          <w:color w:val="000000"/>
          <w:sz w:val="24"/>
          <w:szCs w:val="24"/>
        </w:rPr>
        <w:t xml:space="preserve">Consider aligning the price labels on the MarketWise site (currently shown as $19 / $29 / $14) with the EUR prices charged at Polar checkout (€19 / €29 / €14), so buyers see one consistent currency during review.</w:t>
      </w:r>
    </w:p>
    <w:sectPr>
      <w:headerReference w:type="default" r:id="rId6"/>
      <w:footerReference w:type="default" r:id="rId7"/>
      <w:pgSz w:w="11906" w:h="16838" w:orient="portrait"/>
      <w:pgMar w:top="1440" w:right="1417" w:bottom="1440"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eastAsia="SimSun"/>
        <w:color w:val="888888"/>
        <w:sz w:val="18"/>
        <w:szCs w:val="18"/>
      </w:rPr>
      <w:t xml:space="preserve">Polar review — draft reply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120" w:before="0" w:line="312"/>
    </w:pPr>
    <w:rPr>
      <w:rFonts w:ascii="Times New Roman" w:eastAsia="SimSun"/>
      <w:b/>
      <w:bCs/>
      <w:color w:val="000000"/>
      <w:sz w:val="32"/>
      <w:szCs w:val="32"/>
    </w:rPr>
  </w:style>
  <w:style w:type="paragraph" w:styleId="Heading2">
    <w:name w:val="Heading 2"/>
    <w:basedOn w:val="Normal"/>
    <w:next w:val="Normal"/>
    <w:qFormat/>
    <w:pPr>
      <w:spacing w:after="140" w:before="300" w:line="312"/>
    </w:pPr>
    <w:rPr>
      <w:rFonts w:ascii="Times New Roman" w:eastAsia="SimSun"/>
      <w:b/>
      <w:bCs/>
      <w:color w:val="000000"/>
      <w:sz w:val="28"/>
      <w:szCs w:val="28"/>
    </w:rPr>
  </w:style>
  <w:style w:type="paragraph" w:styleId="Heading3">
    <w:name w:val="Heading 3"/>
    <w:basedOn w:val="Normal"/>
    <w:next w:val="Normal"/>
    <w:qFormat/>
    <w:pPr>
      <w:spacing w:after="120" w:before="240" w:line="312"/>
    </w:pPr>
    <w:rPr>
      <w:rFonts w:ascii="Times New Roman" w:eastAsia="SimSun"/>
      <w:b/>
      <w:bCs/>
      <w:color w:val="000000"/>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e0fxtrmnfjmv80ypa3isr" Type="http://schemas.openxmlformats.org/officeDocument/2006/relationships/hyperlink" Target="https://trisle-app.github.io/Trisle_Website/" TargetMode="External"/><Relationship Id="rIdx12tt1dizermm7jh960zs" Type="http://schemas.openxmlformats.org/officeDocument/2006/relationships/hyperlink" Target="https://get.marketwiselabs.workers.dev/sample-report/" TargetMode="External"/><Relationship Id="rIdboi8talnyerlprfrh7ptw" Type="http://schemas.openxmlformats.org/officeDocument/2006/relationships/hyperlink" Target="https://get.marketwiselabs.workers.dev" TargetMode="External"/><Relationship Id="rIdbfhbnjqdkkzhlw0mgfksg" Type="http://schemas.openxmlformats.org/officeDocument/2006/relationships/hyperlink" Target="https://get.marketwiselabs.workers.dev/pricing" TargetMode="External"/><Relationship Id="rIdllhcb9z9ax_7xvnlliepz" Type="http://schemas.openxmlformats.org/officeDocument/2006/relationships/hyperlink" Target="https://get.marketwiselabs.workers.dev/sample-report"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2026-09-28T21:29:40.346Z</dcterms:created>
  <dcterms:modified xsi:type="dcterms:W3CDTF">2026-09-28T21:29:40.347Z</dcterms:modified>
</cp:coreProperties>
</file>

<file path=docProps/custom.xml><?xml version="1.0" encoding="utf-8"?>
<Properties xmlns="http://schemas.openxmlformats.org/officeDocument/2006/custom-properties" xmlns:vt="http://schemas.openxmlformats.org/officeDocument/2006/docPropsVTypes"/>
</file>