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07131F"/>
            <w:tcBorders>
              <w:top w:val="nil"/>
              <w:left w:val="nil"/>
              <w:bottom w:val="nil"/>
              <w:right w:val="nil"/>
              <w:insideH w:val="nil"/>
              <w:insideV w:val="nil"/>
            </w:tcBorders>
            <w:tcMar>
              <w:top w:w="360" w:type="dxa"/>
              <w:start w:w="350" w:type="dxa"/>
              <w:bottom w:w="360" w:type="dxa"/>
              <w:end w:w="350" w:type="dxa"/>
            </w:tcMar>
          </w:tcPr>
          <w:p>
            <w:pPr>
              <w:spacing w:before="0" w:after="240" w:line="283" w:lineRule="auto"/>
              <w:jc w:val="center"/>
            </w:pPr>
            <w:r>
              <w:drawing>
                <wp:inline xmlns:a="http://schemas.openxmlformats.org/drawingml/2006/main" xmlns:pic="http://schemas.openxmlformats.org/drawingml/2006/picture">
                  <wp:extent cx="841248" cy="841248"/>
                  <wp:docPr id="1" name="Picture 1" title="CryptoSure shield" descr="Yellow shield with CSI monogram"/>
                  <wp:cNvGraphicFramePr>
                    <a:graphicFrameLocks noChangeAspect="1"/>
                  </wp:cNvGraphicFramePr>
                  <a:graphic>
                    <a:graphicData uri="http://schemas.openxmlformats.org/drawingml/2006/picture">
                      <pic:pic>
                        <pic:nvPicPr>
                          <pic:cNvPr id="0" name="cryptosure-shield.png"/>
                          <pic:cNvPicPr/>
                        </pic:nvPicPr>
                        <pic:blipFill>
                          <a:blip r:embed="rId11"/>
                          <a:stretch>
                            <a:fillRect/>
                          </a:stretch>
                        </pic:blipFill>
                        <pic:spPr>
                          <a:xfrm>
                            <a:off x="0" y="0"/>
                            <a:ext cx="841248" cy="841248"/>
                          </a:xfrm>
                          <a:prstGeom prst="rect"/>
                        </pic:spPr>
                      </pic:pic>
                    </a:graphicData>
                  </a:graphic>
                </wp:inline>
              </w:drawing>
            </w:r>
          </w:p>
          <w:p>
            <w:pPr>
              <w:spacing w:before="0" w:after="200" w:line="283" w:lineRule="auto"/>
              <w:jc w:val="center"/>
            </w:pPr>
            <w:r>
              <w:rPr>
                <w:b/>
                <w:i w:val="0"/>
                <w:color w:val="FFD84D"/>
                <w:sz w:val="22"/>
              </w:rPr>
              <w:t>CRYPTOSURE</w:t>
            </w:r>
          </w:p>
          <w:p>
            <w:pPr>
              <w:spacing w:before="0" w:after="360" w:line="240" w:lineRule="auto"/>
              <w:jc w:val="center"/>
            </w:pPr>
            <w:r>
              <w:rPr>
                <w:b/>
                <w:i w:val="0"/>
                <w:color w:val="FFFFFF"/>
                <w:sz w:val="60"/>
              </w:rPr>
              <w:t>Getting Started</w:t>
            </w:r>
            <w:r>
              <w:br/>
            </w:r>
            <w:r>
              <w:rPr>
                <w:b/>
                <w:i w:val="0"/>
                <w:color w:val="FFFFFF"/>
                <w:sz w:val="40"/>
              </w:rPr>
              <w:t>From concept to carrier-backed pilot</w:t>
            </w:r>
          </w:p>
          <w:p>
            <w:pPr>
              <w:spacing w:before="0" w:after="560" w:line="274" w:lineRule="auto"/>
              <w:jc w:val="center"/>
            </w:pPr>
            <w:r>
              <w:rPr>
                <w:b w:val="0"/>
                <w:i w:val="0"/>
                <w:color w:val="D9E6EF"/>
                <w:sz w:val="24"/>
              </w:rPr>
              <w:t>Pennsylvania regulatory path, operating model, provider outreach, capital boundaries, and a 90-day execution plan</w:t>
            </w:r>
          </w:p>
          <w:p>
            <w:pPr>
              <w:spacing w:before="0" w:after="360" w:line="283" w:lineRule="auto"/>
              <w:jc w:val="center"/>
            </w:pPr>
            <w:r>
              <w:rPr>
                <w:b w:val="0"/>
                <w:i w:val="0"/>
                <w:color w:val="46E6C2"/>
                <w:sz w:val="20"/>
              </w:rPr>
              <w:t>━━━━━━━━━━━━━━━━━━━━━━━━━━━━</w:t>
            </w:r>
          </w:p>
          <w:p>
            <w:pPr>
              <w:spacing w:before="0" w:after="480" w:line="269" w:lineRule="auto"/>
              <w:jc w:val="center"/>
            </w:pPr>
            <w:r>
              <w:rPr>
                <w:b/>
                <w:i w:val="0"/>
                <w:color w:val="46E6C2"/>
                <w:sz w:val="17"/>
              </w:rPr>
              <w:t>THE RECOMMENDED FIRST MOVE</w:t>
            </w:r>
            <w:r>
              <w:br/>
            </w:r>
            <w:r>
              <w:rPr>
                <w:b/>
                <w:i w:val="0"/>
                <w:color w:val="FFFFFF"/>
                <w:sz w:val="26"/>
              </w:rPr>
              <w:t>Build CryptoSure as the privacy and evidence layer on licensed carrier paper, not as a new insurer or informal claims pool.</w:t>
            </w:r>
          </w:p>
          <w:p>
            <w:pPr>
              <w:spacing w:before="0" w:after="0" w:line="283" w:lineRule="auto"/>
              <w:jc w:val="center"/>
            </w:pPr>
            <w:r>
              <w:rPr>
                <w:b w:val="0"/>
                <w:i w:val="0"/>
                <w:color w:val="B9C8D3"/>
                <w:sz w:val="18"/>
              </w:rPr>
              <w:t>Founder working guide  |  August 6, 2026  |  Pennsylvania pilot</w:t>
            </w:r>
          </w:p>
        </w:tc>
      </w:tr>
    </w:tbl>
    <w:p/>
    <w:p>
      <w:pPr>
        <w:spacing w:before="0" w:after="0" w:line="264" w:lineRule="auto"/>
        <w:jc w:val="center"/>
      </w:pPr>
      <w:r>
        <w:rPr>
          <w:b w:val="0"/>
          <w:i/>
          <w:color w:val="53606D"/>
          <w:sz w:val="17"/>
        </w:rPr>
        <w:t>Strategic research, not legal, actuarial, securities, tax, or investment advice. Confirm current requirements with licensed counsel, the Pennsylvania Insurance Department, and each capacity partner before transacting insurance or raising capital.</w:t>
      </w:r>
    </w:p>
    <w:p>
      <w:r>
        <w:br w:type="page"/>
      </w:r>
    </w:p>
    <w:p>
      <w:pPr>
        <w:spacing w:before="40" w:after="40" w:line="283" w:lineRule="auto"/>
        <w:keepNext/>
      </w:pPr>
      <w:r>
        <w:rPr>
          <w:b/>
          <w:i w:val="0"/>
          <w:color w:val="247A53"/>
          <w:sz w:val="17"/>
        </w:rPr>
        <w:t>READ THIS FIRST</w:t>
      </w:r>
    </w:p>
    <w:p>
      <w:pPr>
        <w:pStyle w:val="Heading1"/>
        <w:keepNext/>
      </w:pPr>
      <w:r>
        <w:t>Executive brief</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FFD84D"/>
            <w:tcBorders>
              <w:top w:val="nil"/>
              <w:left w:val="nil"/>
              <w:bottom w:val="nil"/>
              <w:right w:val="nil"/>
              <w:insideH w:val="nil"/>
              <w:insideV w:val="nil"/>
            </w:tcBorders>
            <w:tcMar>
              <w:top w:w="0" w:type="dxa"/>
              <w:start w:w="0" w:type="dxa"/>
              <w:bottom w:w="0" w:type="dxa"/>
              <w:end w:w="0" w:type="dxa"/>
            </w:tcMar>
          </w:tcPr>
          <w:p/>
        </w:tc>
        <w:tc>
          <w:tcPr>
            <w:tcW w:type="dxa" w:w="9000"/>
            <w:shd w:fill="FFF7C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THE DECISION</w:t>
            </w:r>
          </w:p>
          <w:p>
            <w:pPr>
              <w:spacing w:before="0" w:after="0" w:line="278" w:lineRule="auto"/>
            </w:pPr>
            <w:r>
              <w:rPr>
                <w:b w:val="0"/>
                <w:i w:val="0"/>
                <w:color w:val="17202A"/>
                <w:sz w:val="21"/>
              </w:rPr>
              <w:t>CryptoSure should begin as a technology-enabled program developer and licensed insurance distributor. A licensed insurer should issue policies, hold reserves, receive regulated risk capital, and pay claims. CryptoSure should own the customer experience, privacy-preserving evidence workflow, risk controls, and partner coordination.</w:t>
            </w:r>
          </w:p>
        </w:tc>
      </w:tr>
    </w:tbl>
    <w:p>
      <w:pPr>
        <w:spacing w:after="0"/>
      </w:pPr>
    </w:p>
    <w:tbl>
      <w:tblPr>
        <w:tblW w:type="auto" w:w="0"/>
        <w:jc w:val="center"/>
        <w:tblLayout w:type="fixed"/>
        <w:tblLook w:firstColumn="1" w:firstRow="1" w:lastColumn="0" w:lastRow="0" w:noHBand="0" w:noVBand="1" w:val="04A0"/>
      </w:tblPr>
      <w:tblGrid>
        <w:gridCol w:w="4896"/>
        <w:gridCol w:w="4896"/>
      </w:tblGrid>
      <w:tr>
        <w:trPr>
          <w:cantSplit/>
        </w:trPr>
        <w:tc>
          <w:tcPr>
            <w:tcW w:type="dxa" w:w="4536"/>
            <w:tcBorders>
              <w:top w:val="nil"/>
              <w:left w:val="nil"/>
              <w:bottom w:val="nil"/>
              <w:right w:val="nil"/>
              <w:insideH w:val="nil"/>
              <w:insideV w:val="nil"/>
            </w:tcBorders>
            <w:tcMar>
              <w:top w:w="130" w:type="dxa"/>
              <w:start w:w="145" w:type="dxa"/>
              <w:bottom w:w="130" w:type="dxa"/>
              <w:end w:w="145" w:type="dxa"/>
            </w:tcMar>
            <w:shd w:fill="E8EEF5"/>
          </w:tcPr>
          <w:p>
            <w:pPr>
              <w:spacing w:before="0" w:after="80" w:line="283" w:lineRule="auto"/>
            </w:pPr>
            <w:r>
              <w:rPr>
                <w:b/>
                <w:i w:val="0"/>
                <w:color w:val="07131F"/>
                <w:sz w:val="20"/>
              </w:rPr>
              <w:t>Apply to Pennsylvania</w:t>
            </w:r>
          </w:p>
          <w:p>
            <w:pPr>
              <w:spacing w:before="0" w:after="0" w:line="269" w:lineRule="auto"/>
            </w:pPr>
            <w:r>
              <w:rPr>
                <w:b w:val="0"/>
                <w:i w:val="0"/>
                <w:color w:val="17202A"/>
                <w:sz w:val="19"/>
              </w:rPr>
              <w:t>Submit Keystone Smart Launch as soon as the two-to-four-page concept brief in this guide is finalized. Do not wait for a carrier contract.</w:t>
            </w:r>
          </w:p>
        </w:tc>
        <w:tc>
          <w:tcPr>
            <w:tcW w:type="dxa" w:w="4536"/>
            <w:tcBorders>
              <w:top w:val="nil"/>
              <w:left w:val="nil"/>
              <w:bottom w:val="nil"/>
              <w:right w:val="nil"/>
              <w:insideH w:val="nil"/>
              <w:insideV w:val="nil"/>
            </w:tcBorders>
            <w:tcMar>
              <w:top w:w="130" w:type="dxa"/>
              <w:start w:w="145" w:type="dxa"/>
              <w:bottom w:w="130" w:type="dxa"/>
              <w:end w:w="145" w:type="dxa"/>
            </w:tcMar>
            <w:shd w:fill="E8FAF6"/>
          </w:tcPr>
          <w:p>
            <w:pPr>
              <w:spacing w:before="0" w:after="80" w:line="283" w:lineRule="auto"/>
            </w:pPr>
            <w:r>
              <w:rPr>
                <w:b/>
                <w:i w:val="0"/>
                <w:color w:val="07131F"/>
                <w:sz w:val="20"/>
              </w:rPr>
              <w:t>Contact providers</w:t>
            </w:r>
          </w:p>
          <w:p>
            <w:pPr>
              <w:spacing w:before="0" w:after="0" w:line="269" w:lineRule="auto"/>
            </w:pPr>
            <w:r>
              <w:rPr>
                <w:b w:val="0"/>
                <w:i w:val="0"/>
                <w:color w:val="17202A"/>
                <w:sz w:val="19"/>
              </w:rPr>
              <w:t>Begin exploratory broker, underwriter, recovery, security, and claims conversations now. Ask for feedback first, not immediate capacity.</w:t>
            </w:r>
          </w:p>
        </w:tc>
      </w:tr>
      <w:tr>
        <w:trPr>
          <w:cantSplit/>
        </w:trPr>
        <w:tc>
          <w:tcPr>
            <w:tcW w:type="dxa" w:w="4536"/>
            <w:tcBorders>
              <w:top w:val="nil"/>
              <w:left w:val="nil"/>
              <w:bottom w:val="nil"/>
              <w:right w:val="nil"/>
              <w:insideH w:val="nil"/>
              <w:insideV w:val="nil"/>
            </w:tcBorders>
            <w:tcMar>
              <w:top w:w="130" w:type="dxa"/>
              <w:start w:w="145" w:type="dxa"/>
              <w:bottom w:w="130" w:type="dxa"/>
              <w:end w:w="145" w:type="dxa"/>
            </w:tcMar>
            <w:shd w:fill="E8EEF5"/>
          </w:tcPr>
          <w:p>
            <w:pPr>
              <w:spacing w:before="0" w:after="80" w:line="283" w:lineRule="auto"/>
            </w:pPr>
            <w:r>
              <w:rPr>
                <w:b/>
                <w:i w:val="0"/>
                <w:color w:val="07131F"/>
                <w:sz w:val="20"/>
              </w:rPr>
              <w:t>Earn first revenue</w:t>
            </w:r>
          </w:p>
          <w:p>
            <w:pPr>
              <w:spacing w:before="0" w:after="0" w:line="269" w:lineRule="auto"/>
            </w:pPr>
            <w:r>
              <w:rPr>
                <w:b w:val="0"/>
                <w:i w:val="0"/>
                <w:color w:val="17202A"/>
                <w:sz w:val="19"/>
              </w:rPr>
              <w:t>Before insurance licensing, sell only genuine software or risk-readiness work that is not contingent on a policy sale. After licensing and appointments, add producer commissions and program fees.</w:t>
            </w:r>
          </w:p>
        </w:tc>
        <w:tc>
          <w:tcPr>
            <w:tcW w:type="dxa" w:w="4536"/>
            <w:tcBorders>
              <w:top w:val="nil"/>
              <w:left w:val="nil"/>
              <w:bottom w:val="nil"/>
              <w:right w:val="nil"/>
              <w:insideH w:val="nil"/>
              <w:insideV w:val="nil"/>
            </w:tcBorders>
            <w:tcMar>
              <w:top w:w="130" w:type="dxa"/>
              <w:start w:w="145" w:type="dxa"/>
              <w:bottom w:w="130" w:type="dxa"/>
              <w:end w:w="145" w:type="dxa"/>
            </w:tcMar>
            <w:shd w:fill="E8FAF6"/>
          </w:tcPr>
          <w:p>
            <w:pPr>
              <w:spacing w:before="0" w:after="80" w:line="283" w:lineRule="auto"/>
            </w:pPr>
            <w:r>
              <w:rPr>
                <w:b/>
                <w:i w:val="0"/>
                <w:color w:val="07131F"/>
                <w:sz w:val="20"/>
              </w:rPr>
              <w:t>Separate the capital</w:t>
            </w:r>
          </w:p>
          <w:p>
            <w:pPr>
              <w:spacing w:before="0" w:after="0" w:line="269" w:lineRule="auto"/>
            </w:pPr>
            <w:r>
              <w:rPr>
                <w:b w:val="0"/>
                <w:i w:val="0"/>
                <w:color w:val="17202A"/>
                <w:sz w:val="19"/>
              </w:rPr>
              <w:t>Company equity funds CryptoSure. Insurance risk capital supports claims through carrier, reinsurance, captive, protected-cell, or Lloyd's structures. Never mix them informally.</w:t>
            </w:r>
          </w:p>
        </w:tc>
      </w:tr>
    </w:tbl>
    <w:p>
      <w:pPr>
        <w:spacing w:after="0"/>
      </w:pPr>
    </w:p>
    <w:p>
      <w:pPr>
        <w:pStyle w:val="Heading2"/>
        <w:keepNext/>
      </w:pPr>
      <w:r>
        <w:t>The fastest credible route</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29"/>
            <w:shd w:fill="07131F"/>
            <w:tcBorders>
              <w:top w:val="single" w:sz="10" w:space="0" w:color="FFFFFF"/>
              <w:left w:val="single" w:sz="10" w:space="0" w:color="FFFFFF"/>
              <w:bottom w:val="single" w:sz="10" w:space="0" w:color="FFFFFF"/>
              <w:right w:val="single" w:sz="10" w:space="0" w:color="FFFFFF"/>
            </w:tcBorders>
            <w:tcMar>
              <w:top w:w="120" w:type="dxa"/>
              <w:start w:w="90" w:type="dxa"/>
              <w:bottom w:w="120" w:type="dxa"/>
              <w:end w:w="90" w:type="dxa"/>
            </w:tcMar>
            <w:vAlign w:val="center"/>
          </w:tcPr>
          <w:p>
            <w:pPr>
              <w:spacing w:before="0" w:after="60" w:line="283" w:lineRule="auto"/>
              <w:jc w:val="center"/>
            </w:pPr>
            <w:r>
              <w:rPr>
                <w:b/>
                <w:i w:val="0"/>
                <w:color w:val="FFD84D"/>
                <w:sz w:val="18"/>
              </w:rPr>
              <w:t>1  PROVE</w:t>
            </w:r>
          </w:p>
          <w:p>
            <w:pPr>
              <w:spacing w:before="0" w:after="0" w:line="252" w:lineRule="auto"/>
              <w:jc w:val="center"/>
            </w:pPr>
            <w:r>
              <w:rPr>
                <w:b w:val="0"/>
                <w:i w:val="0"/>
                <w:color w:val="FFFFFF"/>
                <w:sz w:val="15"/>
              </w:rPr>
              <w:t>DemoLand, interviews, synthetic loss scenarios</w:t>
            </w:r>
          </w:p>
        </w:tc>
        <w:tc>
          <w:tcPr>
            <w:tcW w:type="dxa" w:w="1829"/>
            <w:shd w:fill="0D3A3D"/>
            <w:tcBorders>
              <w:top w:val="single" w:sz="10" w:space="0" w:color="FFFFFF"/>
              <w:left w:val="single" w:sz="10" w:space="0" w:color="FFFFFF"/>
              <w:bottom w:val="single" w:sz="10" w:space="0" w:color="FFFFFF"/>
              <w:right w:val="single" w:sz="10" w:space="0" w:color="FFFFFF"/>
            </w:tcBorders>
            <w:tcMar>
              <w:top w:w="120" w:type="dxa"/>
              <w:start w:w="90" w:type="dxa"/>
              <w:bottom w:w="120" w:type="dxa"/>
              <w:end w:w="90" w:type="dxa"/>
            </w:tcMar>
            <w:vAlign w:val="center"/>
          </w:tcPr>
          <w:p>
            <w:pPr>
              <w:spacing w:before="0" w:after="60" w:line="283" w:lineRule="auto"/>
              <w:jc w:val="center"/>
            </w:pPr>
            <w:r>
              <w:rPr>
                <w:b/>
                <w:i w:val="0"/>
                <w:color w:val="FFFFFF"/>
                <w:sz w:val="18"/>
              </w:rPr>
              <w:t>2  LICENSE</w:t>
            </w:r>
          </w:p>
          <w:p>
            <w:pPr>
              <w:spacing w:before="0" w:after="0" w:line="252" w:lineRule="auto"/>
              <w:jc w:val="center"/>
            </w:pPr>
            <w:r>
              <w:rPr>
                <w:b w:val="0"/>
                <w:i w:val="0"/>
                <w:color w:val="FFFFFF"/>
                <w:sz w:val="15"/>
              </w:rPr>
              <w:t>PA producer, business entity, partner agency</w:t>
            </w:r>
          </w:p>
        </w:tc>
        <w:tc>
          <w:tcPr>
            <w:tcW w:type="dxa" w:w="1829"/>
            <w:shd w:fill="07131F"/>
            <w:tcBorders>
              <w:top w:val="single" w:sz="10" w:space="0" w:color="FFFFFF"/>
              <w:left w:val="single" w:sz="10" w:space="0" w:color="FFFFFF"/>
              <w:bottom w:val="single" w:sz="10" w:space="0" w:color="FFFFFF"/>
              <w:right w:val="single" w:sz="10" w:space="0" w:color="FFFFFF"/>
            </w:tcBorders>
            <w:tcMar>
              <w:top w:w="120" w:type="dxa"/>
              <w:start w:w="90" w:type="dxa"/>
              <w:bottom w:w="120" w:type="dxa"/>
              <w:end w:w="90" w:type="dxa"/>
            </w:tcMar>
            <w:vAlign w:val="center"/>
          </w:tcPr>
          <w:p>
            <w:pPr>
              <w:spacing w:before="0" w:after="60" w:line="283" w:lineRule="auto"/>
              <w:jc w:val="center"/>
            </w:pPr>
            <w:r>
              <w:rPr>
                <w:b/>
                <w:i w:val="0"/>
                <w:color w:val="FFFFFF"/>
                <w:sz w:val="18"/>
              </w:rPr>
              <w:t>3  PARTNER</w:t>
            </w:r>
          </w:p>
          <w:p>
            <w:pPr>
              <w:spacing w:before="0" w:after="0" w:line="252" w:lineRule="auto"/>
              <w:jc w:val="center"/>
            </w:pPr>
            <w:r>
              <w:rPr>
                <w:b w:val="0"/>
                <w:i w:val="0"/>
                <w:color w:val="FFFFFF"/>
                <w:sz w:val="15"/>
              </w:rPr>
              <w:t>Broker, underwriter, carrier paper, claims</w:t>
            </w:r>
          </w:p>
        </w:tc>
        <w:tc>
          <w:tcPr>
            <w:tcW w:type="dxa" w:w="1829"/>
            <w:shd w:fill="0D3A3D"/>
            <w:tcBorders>
              <w:top w:val="single" w:sz="10" w:space="0" w:color="FFFFFF"/>
              <w:left w:val="single" w:sz="10" w:space="0" w:color="FFFFFF"/>
              <w:bottom w:val="single" w:sz="10" w:space="0" w:color="FFFFFF"/>
              <w:right w:val="single" w:sz="10" w:space="0" w:color="FFFFFF"/>
            </w:tcBorders>
            <w:tcMar>
              <w:top w:w="120" w:type="dxa"/>
              <w:start w:w="90" w:type="dxa"/>
              <w:bottom w:w="120" w:type="dxa"/>
              <w:end w:w="90" w:type="dxa"/>
            </w:tcMar>
            <w:vAlign w:val="center"/>
          </w:tcPr>
          <w:p>
            <w:pPr>
              <w:spacing w:before="0" w:after="60" w:line="283" w:lineRule="auto"/>
              <w:jc w:val="center"/>
            </w:pPr>
            <w:r>
              <w:rPr>
                <w:b/>
                <w:i w:val="0"/>
                <w:color w:val="FFFFFF"/>
                <w:sz w:val="18"/>
              </w:rPr>
              <w:t>4  PILOT</w:t>
            </w:r>
          </w:p>
          <w:p>
            <w:pPr>
              <w:spacing w:before="0" w:after="0" w:line="252" w:lineRule="auto"/>
              <w:jc w:val="center"/>
            </w:pPr>
            <w:r>
              <w:rPr>
                <w:b w:val="0"/>
                <w:i w:val="0"/>
                <w:color w:val="FFFFFF"/>
                <w:sz w:val="15"/>
              </w:rPr>
              <w:t>One peril, one segment, one jurisdiction</w:t>
            </w:r>
          </w:p>
        </w:tc>
        <w:tc>
          <w:tcPr>
            <w:tcW w:type="dxa" w:w="1829"/>
            <w:shd w:fill="07131F"/>
            <w:tcBorders>
              <w:top w:val="single" w:sz="10" w:space="0" w:color="FFFFFF"/>
              <w:left w:val="single" w:sz="10" w:space="0" w:color="FFFFFF"/>
              <w:bottom w:val="single" w:sz="10" w:space="0" w:color="FFFFFF"/>
              <w:right w:val="single" w:sz="10" w:space="0" w:color="FFFFFF"/>
            </w:tcBorders>
            <w:tcMar>
              <w:top w:w="120" w:type="dxa"/>
              <w:start w:w="90" w:type="dxa"/>
              <w:bottom w:w="120" w:type="dxa"/>
              <w:end w:w="90" w:type="dxa"/>
            </w:tcMar>
            <w:vAlign w:val="center"/>
          </w:tcPr>
          <w:p>
            <w:pPr>
              <w:spacing w:before="0" w:after="60" w:line="283" w:lineRule="auto"/>
              <w:jc w:val="center"/>
            </w:pPr>
            <w:r>
              <w:rPr>
                <w:b/>
                <w:i w:val="0"/>
                <w:color w:val="FFFFFF"/>
                <w:sz w:val="18"/>
              </w:rPr>
              <w:t>5  EXPAND</w:t>
            </w:r>
          </w:p>
          <w:p>
            <w:pPr>
              <w:spacing w:before="0" w:after="0" w:line="252" w:lineRule="auto"/>
              <w:jc w:val="center"/>
            </w:pPr>
            <w:r>
              <w:rPr>
                <w:b w:val="0"/>
                <w:i w:val="0"/>
                <w:color w:val="FFFFFF"/>
                <w:sz w:val="15"/>
              </w:rPr>
              <w:t>MGA authority and risk capital after data</w:t>
            </w:r>
          </w:p>
        </w:tc>
      </w:tr>
    </w:tbl>
    <w:p>
      <w:pPr>
        <w:spacing w:after="0"/>
      </w:pPr>
    </w:p>
    <w:p>
      <w:pPr>
        <w:spacing w:before="0" w:after="140" w:line="283" w:lineRule="auto"/>
      </w:pPr>
      <w:r>
        <w:rPr>
          <w:b w:val="0"/>
          <w:i/>
          <w:color w:val="53606D"/>
          <w:sz w:val="17"/>
        </w:rPr>
        <w:t>Sources: [S1]-[S7], [S15]-[S20]</w:t>
      </w:r>
    </w:p>
    <w:p>
      <w:pPr>
        <w:pStyle w:val="Heading2"/>
        <w:keepNext/>
      </w:pPr>
      <w:r>
        <w:t>What CryptoSure should not do first</w:t>
      </w:r>
    </w:p>
    <w:p>
      <w:pPr>
        <w:pStyle w:val="ListBullet"/>
        <w:spacing w:before="0" w:after="80" w:line="283" w:lineRule="auto"/>
        <w:keepLines/>
      </w:pPr>
      <w:r>
        <w:rPr>
          <w:b w:val="0"/>
          <w:i w:val="0"/>
        </w:rPr>
        <w:t>Form a full insurance carrier before product-market fit, loss data, experienced insurance leadership, distribution, reinsurance, and substantial capital exist.</w:t>
      </w:r>
    </w:p>
    <w:p>
      <w:pPr>
        <w:pStyle w:val="ListBullet"/>
        <w:spacing w:before="0" w:after="80" w:line="283" w:lineRule="auto"/>
        <w:keepLines/>
      </w:pPr>
      <w:r>
        <w:rPr>
          <w:b w:val="0"/>
          <w:i w:val="0"/>
        </w:rPr>
        <w:t>Accept public 'liquidity' into an informal claims pool, promise a share of premiums, or imply guaranteed investment returns.</w:t>
      </w:r>
    </w:p>
    <w:p>
      <w:pPr>
        <w:pStyle w:val="ListBullet"/>
        <w:spacing w:before="0" w:after="80" w:line="283" w:lineRule="auto"/>
        <w:keepLines/>
      </w:pPr>
      <w:r>
        <w:rPr>
          <w:b w:val="0"/>
          <w:i w:val="0"/>
        </w:rPr>
        <w:t>Quote, bind, accept premium, recommend a specific policy, or present DemoLand as available insurance before the required licenses, appointments, forms, rates, and capacity are in place.</w:t>
      </w:r>
    </w:p>
    <w:p>
      <w:pPr>
        <w:pStyle w:val="ListBullet"/>
        <w:spacing w:before="0" w:after="80" w:line="283" w:lineRule="auto"/>
        <w:keepLines/>
      </w:pPr>
      <w:r>
        <w:rPr>
          <w:b w:val="0"/>
          <w:i w:val="0"/>
        </w:rPr>
        <w:t>Launch broad protection for every crypto loss. Start with one precisely defined customer, custody environment, and peril.</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46E6C2"/>
            <w:tcBorders>
              <w:top w:val="nil"/>
              <w:left w:val="nil"/>
              <w:bottom w:val="nil"/>
              <w:right w:val="nil"/>
              <w:insideH w:val="nil"/>
              <w:insideV w:val="nil"/>
            </w:tcBorders>
            <w:tcMar>
              <w:top w:w="0" w:type="dxa"/>
              <w:start w:w="0" w:type="dxa"/>
              <w:bottom w:w="0" w:type="dxa"/>
              <w:end w:w="0" w:type="dxa"/>
            </w:tcMar>
          </w:tcPr>
          <w:p/>
        </w:tc>
        <w:tc>
          <w:tcPr>
            <w:tcW w:type="dxa" w:w="9000"/>
            <w:shd w:fill="E8FAF6"/>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PLAIN-ENGLISH ROLE</w:t>
            </w:r>
          </w:p>
          <w:p>
            <w:pPr>
              <w:spacing w:before="0" w:after="0" w:line="278" w:lineRule="auto"/>
            </w:pPr>
            <w:r>
              <w:rPr>
                <w:b w:val="0"/>
                <w:i w:val="0"/>
                <w:color w:val="17202A"/>
                <w:sz w:val="21"/>
              </w:rPr>
              <w:t>John's 'middleman' instinct is directionally right. The regulated version is a producer and program developer first, then potentially a Managing General Agent (MGA) if a carrier later delegates underwriting or claims authority. CryptoSure is not the risk bearer at the beginning.</w:t>
            </w:r>
          </w:p>
        </w:tc>
      </w:tr>
    </w:tbl>
    <w:p>
      <w:pPr>
        <w:spacing w:after="0"/>
      </w:pPr>
    </w:p>
    <w:p>
      <w:pPr>
        <w:pStyle w:val="Heading2"/>
        <w:keepNext/>
      </w:pPr>
      <w:r>
        <w:t>Contents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037"/>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Section</w:t>
            </w:r>
          </w:p>
        </w:tc>
        <w:tc>
          <w:tcPr>
            <w:tcW w:type="dxa" w:w="468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Topic</w:t>
            </w:r>
          </w:p>
        </w:tc>
        <w:tc>
          <w:tcPr>
            <w:tcW w:type="dxa" w:w="3355"/>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Use</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1</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Choose the operating model deliberately</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Role and structure</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2</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Pennsylvania path</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Smart Launch, licensing, surplus lines</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3</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The first 90 days</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Parallel execution roadmap</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4</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Provider outreach</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Targets, timing, packet, first message</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5</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Capital and profitability</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Equity, risk capital, economics</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6</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Experimentation and data</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Lloyd's API and synthetic dataset</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7</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Draft Smart Launch concept brief</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Submission-ready starting point</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8</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Launch controls and red flags</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Pre-transaction safeguards</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9</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Founder dashboard</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Next evidence and owners</w:t>
            </w:r>
          </w:p>
        </w:tc>
      </w:tr>
      <w:tr>
        <w:trPr>
          <w:cantSplit/>
        </w:trPr>
        <w:tc>
          <w:tcPr>
            <w:tcW w:type="dxa" w:w="103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10</w:t>
            </w:r>
          </w:p>
        </w:tc>
        <w:tc>
          <w:tcPr>
            <w:tcW w:type="dxa" w:w="46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Sources and research notes</w:t>
            </w:r>
          </w:p>
        </w:tc>
        <w:tc>
          <w:tcPr>
            <w:tcW w:type="dxa" w:w="335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Official and primary materials</w:t>
            </w:r>
          </w:p>
        </w:tc>
      </w:tr>
    </w:tbl>
    <w:p>
      <w:pPr>
        <w:spacing w:after="0"/>
      </w:pP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46E6C2"/>
            <w:tcBorders>
              <w:top w:val="nil"/>
              <w:left w:val="nil"/>
              <w:bottom w:val="nil"/>
              <w:right w:val="nil"/>
              <w:insideH w:val="nil"/>
              <w:insideV w:val="nil"/>
            </w:tcBorders>
            <w:tcMar>
              <w:top w:w="0" w:type="dxa"/>
              <w:start w:w="0" w:type="dxa"/>
              <w:bottom w:w="0" w:type="dxa"/>
              <w:end w:w="0" w:type="dxa"/>
            </w:tcMar>
          </w:tcPr>
          <w:p/>
        </w:tc>
        <w:tc>
          <w:tcPr>
            <w:tcW w:type="dxa" w:w="9000"/>
            <w:shd w:fill="F3F6F8"/>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HOW TO USE THIS GUIDE</w:t>
            </w:r>
          </w:p>
          <w:p>
            <w:pPr>
              <w:spacing w:before="0" w:after="0" w:line="278" w:lineRule="auto"/>
            </w:pPr>
            <w:r>
              <w:rPr>
                <w:b w:val="0"/>
                <w:i w:val="0"/>
                <w:color w:val="17202A"/>
                <w:sz w:val="21"/>
              </w:rPr>
              <w:t>Start with the decision and 90-day roadmap. Use Section 7 as the Smart Launch draft, Section 4 for partner calls, and Section 8 as the live-launch gate. Recheck linked sources before acting.</w:t>
            </w:r>
          </w:p>
        </w:tc>
      </w:tr>
    </w:tbl>
    <w:p>
      <w:pPr>
        <w:spacing w:after="0"/>
      </w:pPr>
    </w:p>
    <w:p>
      <w:r>
        <w:br w:type="page"/>
      </w:r>
    </w:p>
    <w:p>
      <w:pPr>
        <w:spacing w:before="40" w:after="40" w:line="283" w:lineRule="auto"/>
        <w:keepNext/>
      </w:pPr>
      <w:r>
        <w:rPr>
          <w:b/>
          <w:i w:val="0"/>
          <w:color w:val="247A53"/>
          <w:sz w:val="17"/>
        </w:rPr>
        <w:t>BUSINESS ARCHITECTURE</w:t>
      </w:r>
    </w:p>
    <w:p>
      <w:pPr>
        <w:pStyle w:val="Heading1"/>
        <w:keepNext/>
      </w:pPr>
      <w:r>
        <w:t>1. Choose the operating model deliberately</w:t>
      </w:r>
    </w:p>
    <w:p>
      <w:pPr>
        <w:spacing w:before="0" w:after="120" w:line="283" w:lineRule="auto"/>
        <w:keepLines/>
      </w:pPr>
      <w:r>
        <w:rPr>
          <w:b w:val="0"/>
          <w:i w:val="0"/>
        </w:rPr>
        <w:t>The fastest legally plausible model places regulated risk with an established carrier while CryptoSure supplies distribution, privacy-preserving evidence, risk controls, and program operations. This preserves the distinctive product while avoiding a premature balance-sheet insurer build.</w:t>
      </w:r>
    </w:p>
    <w:tbl>
      <w:tblPr>
        <w:tblW w:type="auto" w:w="0"/>
        <w:jc w:val="center"/>
        <w:tblLayout w:type="fixed"/>
        <w:tblLook w:firstColumn="1" w:firstRow="1" w:lastColumn="0" w:lastRow="0" w:noHBand="0" w:noVBand="1" w:val="04A0"/>
        <w:tblInd w:w="120" w:type="dxa"/>
      </w:tblPr>
      <w:tblGrid>
        <w:gridCol w:w="1958"/>
        <w:gridCol w:w="1958"/>
        <w:gridCol w:w="1958"/>
        <w:gridCol w:w="1958"/>
        <w:gridCol w:w="1958"/>
      </w:tblGrid>
      <w:tr>
        <w:trPr>
          <w:tblHeader w:val="true"/>
          <w:cantSplit/>
        </w:trPr>
        <w:tc>
          <w:tcPr>
            <w:tcW w:type="dxa" w:w="1699"/>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Model</w:t>
            </w:r>
          </w:p>
        </w:tc>
        <w:tc>
          <w:tcPr>
            <w:tcW w:type="dxa" w:w="1181"/>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Risk bearer?</w:t>
            </w:r>
          </w:p>
        </w:tc>
        <w:tc>
          <w:tcPr>
            <w:tcW w:type="dxa" w:w="2088"/>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What it permits</w:t>
            </w:r>
          </w:p>
        </w:tc>
        <w:tc>
          <w:tcPr>
            <w:tcW w:type="dxa" w:w="151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When</w:t>
            </w:r>
          </w:p>
        </w:tc>
        <w:tc>
          <w:tcPr>
            <w:tcW w:type="dxa" w:w="252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CryptoSure view</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Education / DemoLand</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No</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No sales or policy recommendation</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Now</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Keep as truthful research and conversion funnel</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Licensed producer agency</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No</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Sell, solicit, negotiate, service</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Near term</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Best immediate regulated fit</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Program administrator</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Usually no</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Product operations under contract</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After carrier interest</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Good second stage</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MGA / Lloyd's Coverholder</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Usually no direct balance-sheet risk</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Delegated underwriting or claims authority</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After a carrier-backed book exists</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Destination, not starting title</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Captive / protected cell / sidecar</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Yes, defined layer</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Collateralized risk participation</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After pricing and capacity structure</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For sophisticated risk capital later</w:t>
            </w:r>
          </w:p>
        </w:tc>
      </w:tr>
      <w:tr>
        <w:trPr>
          <w:cantSplit/>
        </w:trPr>
        <w:tc>
          <w:tcPr>
            <w:tcW w:type="dxa" w:w="169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Full insurance carrier</w:t>
            </w:r>
          </w:p>
        </w:tc>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Yes</w:t>
            </w:r>
          </w:p>
        </w:tc>
        <w:tc>
          <w:tcPr>
            <w:tcW w:type="dxa" w:w="208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Issues policy, reserves, pays claims</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Much later</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Slowest and most capital-intensive</w:t>
            </w:r>
          </w:p>
        </w:tc>
      </w:tr>
    </w:tbl>
    <w:p>
      <w:pPr>
        <w:spacing w:after="0"/>
      </w:pPr>
    </w:p>
    <w:p>
      <w:pPr>
        <w:spacing w:before="0" w:after="140" w:line="283" w:lineRule="auto"/>
      </w:pPr>
      <w:r>
        <w:rPr>
          <w:b w:val="0"/>
          <w:i/>
          <w:color w:val="53606D"/>
          <w:sz w:val="17"/>
        </w:rPr>
        <w:t>Sources: [S2]-[S7], [S17]-[S20]</w:t>
      </w:r>
    </w:p>
    <w:p>
      <w:pPr>
        <w:pStyle w:val="Heading2"/>
        <w:keepNext/>
      </w:pPr>
      <w:r>
        <w:t>Recommended role map</w:t>
      </w:r>
    </w:p>
    <w:tbl>
      <w:tblPr>
        <w:tblW w:type="auto" w:w="0"/>
        <w:jc w:val="center"/>
        <w:tblLayout w:type="fixed"/>
        <w:tblLook w:firstColumn="1" w:firstRow="1" w:lastColumn="0" w:lastRow="0" w:noHBand="0" w:noVBand="1" w:val="04A0"/>
        <w:tblInd w:w="120" w:type="dxa"/>
      </w:tblPr>
      <w:tblGrid>
        <w:gridCol w:w="4896"/>
        <w:gridCol w:w="4896"/>
      </w:tblGrid>
      <w:tr>
        <w:trPr>
          <w:tblHeader w:val="true"/>
          <w:cantSplit/>
        </w:trPr>
        <w:tc>
          <w:tcPr>
            <w:tcW w:type="dxa" w:w="237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Participant</w:t>
            </w:r>
          </w:p>
        </w:tc>
        <w:tc>
          <w:tcPr>
            <w:tcW w:type="dxa" w:w="669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Accountable role</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Customer</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Chooses coverage, pays premium, submits claim evidence</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CryptoSure</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Customer experience, licensed distribution, privacy/evidence workflow, risk controls, partner orchestration</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Wholesale/program broker</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Structures placement, tests markets, manages surplus-lines obligations when applicable</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Carrier / syndicate</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Issues policy, holds reserves, receives premium, makes or authorizes claim payments</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MGA / MGU</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May design and underwrite the program under delegated authority; MGU is an industry label</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Reinsurer / risk-capital vehicle</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Absorbs a contractually defined portion of carrier risk</w:t>
            </w:r>
          </w:p>
        </w:tc>
      </w:tr>
      <w:tr>
        <w:trPr>
          <w:cantSplit/>
        </w:trPr>
        <w:tc>
          <w:tcPr>
            <w:tcW w:type="dxa" w:w="237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Claims and recovery partners</w:t>
            </w:r>
          </w:p>
        </w:tc>
        <w:tc>
          <w:tcPr>
            <w:tcW w:type="dxa" w:w="66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Incident response, blockchain forensics, recovery, evidence, claim administration</w:t>
            </w:r>
          </w:p>
        </w:tc>
      </w:tr>
    </w:tbl>
    <w:p>
      <w:pPr>
        <w:spacing w:after="0"/>
      </w:pPr>
    </w:p>
    <w:p>
      <w:pPr>
        <w:pStyle w:val="Heading2"/>
        <w:keepNext/>
      </w:pPr>
      <w:r>
        <w:t>Two-track commercial strategy</w:t>
      </w:r>
    </w:p>
    <w:p>
      <w:pPr>
        <w:spacing w:before="0" w:after="80" w:line="283" w:lineRule="auto"/>
        <w:ind w:left="518" w:hanging="432"/>
        <w:keepLines/>
      </w:pPr>
      <w:r>
        <w:rPr>
          <w:b w:val="0"/>
          <w:i w:val="0"/>
          <w:color w:val="17202A"/>
        </w:rPr>
        <w:t xml:space="preserve">1.  </w:t>
      </w:r>
      <w:r>
        <w:rPr>
          <w:b/>
          <w:i w:val="0"/>
        </w:rPr>
        <w:t>Revenue bridge:</w:t>
      </w:r>
      <w:r>
        <w:rPr>
          <w:b w:val="0"/>
          <w:i w:val="0"/>
        </w:rPr>
        <w:t xml:space="preserve"> help crypto businesses understand and obtain existing digital-asset, cyber, crime, specie, custody, or technology coverage through a properly licensed partner. Pre-license work must remain true software, research, or risk-readiness work, not compensated selling.</w:t>
      </w:r>
    </w:p>
    <w:p>
      <w:pPr>
        <w:spacing w:before="0" w:after="80" w:line="283" w:lineRule="auto"/>
        <w:ind w:left="518" w:hanging="432"/>
        <w:keepLines/>
      </w:pPr>
      <w:r>
        <w:rPr>
          <w:b w:val="0"/>
          <w:i w:val="0"/>
          <w:color w:val="17202A"/>
        </w:rPr>
        <w:t xml:space="preserve">2.  </w:t>
      </w:r>
      <w:r>
        <w:rPr>
          <w:b/>
          <w:i w:val="0"/>
        </w:rPr>
        <w:t>Flagship product:</w:t>
      </w:r>
      <w:r>
        <w:rPr>
          <w:b w:val="0"/>
          <w:i w:val="0"/>
        </w:rPr>
        <w:t xml:space="preserve"> develop the narrow consumer or embedded wallet-protection program through Keystone Smart Launch and a carrier or specialized underwriter.</w:t>
      </w:r>
    </w:p>
    <w:p>
      <w:pPr>
        <w:spacing w:before="0" w:after="80" w:line="283" w:lineRule="auto"/>
        <w:ind w:left="518" w:hanging="432"/>
        <w:keepLines/>
      </w:pPr>
      <w:r>
        <w:rPr>
          <w:b w:val="0"/>
          <w:i w:val="0"/>
          <w:color w:val="17202A"/>
        </w:rPr>
        <w:t xml:space="preserve">3.  </w:t>
      </w:r>
      <w:r>
        <w:rPr>
          <w:b/>
          <w:i w:val="0"/>
        </w:rPr>
        <w:t>Long-term moat:</w:t>
      </w:r>
      <w:r>
        <w:rPr>
          <w:b w:val="0"/>
          <w:i w:val="0"/>
        </w:rPr>
        <w:t xml:space="preserve"> turn CryptoSure's minimum-disclosure evidence and loss-control system into the reason carriers can price and administer a risk they previously avoided.</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46E6C2"/>
            <w:tcBorders>
              <w:top w:val="nil"/>
              <w:left w:val="nil"/>
              <w:bottom w:val="nil"/>
              <w:right w:val="nil"/>
              <w:insideH w:val="nil"/>
              <w:insideV w:val="nil"/>
            </w:tcBorders>
            <w:tcMar>
              <w:top w:w="0" w:type="dxa"/>
              <w:start w:w="0" w:type="dxa"/>
              <w:bottom w:w="0" w:type="dxa"/>
              <w:end w:w="0" w:type="dxa"/>
            </w:tcMar>
          </w:tcPr>
          <w:p/>
        </w:tc>
        <w:tc>
          <w:tcPr>
            <w:tcW w:type="dxa" w:w="9000"/>
            <w:shd w:fill="E8FAF6"/>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RECOMMENDED FIRST WEDGE</w:t>
            </w:r>
          </w:p>
          <w:p>
            <w:pPr>
              <w:spacing w:before="0" w:after="0" w:line="278" w:lineRule="auto"/>
            </w:pPr>
            <w:r>
              <w:rPr>
                <w:b w:val="0"/>
                <w:i w:val="0"/>
                <w:color w:val="17202A"/>
                <w:sz w:val="21"/>
              </w:rPr>
              <w:t>A business-to-business-to-consumer pilot through one wallet, custodian, exchange, or digital-asset platform is easier to audit and underwrite than thousands of unrelated self-custody wallets. Start with one Pennsylvania cohort and one covered peril, such as verified unauthorized wallet compromise, subject to carrier and regulator classification.</w:t>
            </w:r>
          </w:p>
        </w:tc>
      </w:tr>
    </w:tbl>
    <w:p>
      <w:pPr>
        <w:spacing w:after="0"/>
      </w:pPr>
    </w:p>
    <w:p>
      <w:pPr>
        <w:spacing w:before="40" w:after="40" w:line="283" w:lineRule="auto"/>
        <w:keepNext/>
      </w:pPr>
      <w:r>
        <w:rPr>
          <w:b/>
          <w:i w:val="0"/>
          <w:color w:val="247A53"/>
          <w:sz w:val="17"/>
        </w:rPr>
        <w:t>REGULATORY SEQUENCE</w:t>
      </w:r>
    </w:p>
    <w:p>
      <w:pPr>
        <w:pStyle w:val="Heading1"/>
        <w:keepNext/>
      </w:pPr>
      <w:r>
        <w:t>2. Pennsylvania path</w:t>
      </w:r>
    </w:p>
    <w:p>
      <w:pPr>
        <w:pStyle w:val="Heading2"/>
        <w:keepNext/>
      </w:pPr>
      <w:r>
        <w:t>Apply to Keystone Smart Launch now</w:t>
      </w:r>
    </w:p>
    <w:p>
      <w:pPr>
        <w:spacing w:before="0" w:after="120" w:line="283" w:lineRule="auto"/>
        <w:keepLines/>
      </w:pPr>
      <w:r>
        <w:rPr>
          <w:b w:val="0"/>
          <w:i w:val="0"/>
        </w:rPr>
        <w:t>Pennsylvania's Keystone Smart Launch accepts regulated entities, non-regulated entities, innovators, startups, and disruptors. It offers preliminary cross-functional feedback and an option to maintain confidentiality. It is the right early conversation for CryptoSure once the concept brief is concise enough to evaluate.</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A52727"/>
            <w:tcBorders>
              <w:top w:val="nil"/>
              <w:left w:val="nil"/>
              <w:bottom w:val="nil"/>
              <w:right w:val="nil"/>
              <w:insideH w:val="nil"/>
              <w:insideV w:val="nil"/>
            </w:tcBorders>
            <w:tcMar>
              <w:top w:w="0" w:type="dxa"/>
              <w:start w:w="0" w:type="dxa"/>
              <w:bottom w:w="0" w:type="dxa"/>
              <w:end w:w="0" w:type="dxa"/>
            </w:tcMar>
          </w:tcPr>
          <w:p/>
        </w:tc>
        <w:tc>
          <w:tcPr>
            <w:tcW w:type="dxa" w:w="9000"/>
            <w:shd w:fill="FDECE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A52727"/>
                <w:sz w:val="18"/>
              </w:rPr>
              <w:t>WHAT SMART LAUNCH IS NOT</w:t>
            </w:r>
          </w:p>
          <w:p>
            <w:pPr>
              <w:spacing w:before="0" w:after="0" w:line="278" w:lineRule="auto"/>
            </w:pPr>
            <w:r>
              <w:rPr>
                <w:b w:val="0"/>
                <w:i w:val="0"/>
                <w:color w:val="17202A"/>
                <w:sz w:val="21"/>
              </w:rPr>
              <w:t>It is not a license, certificate of authority, carrier approval, form approval, or waiver from insurance law. Pennsylvania's proposed general Regulatory Sandbox Program Act, Senate Bill 245, was still laid on the table on the official bill page generated August 5, 2026.</w:t>
            </w:r>
          </w:p>
        </w:tc>
      </w:tr>
    </w:tbl>
    <w:p>
      <w:pPr>
        <w:spacing w:after="0"/>
      </w:pPr>
    </w:p>
    <w:p>
      <w:pPr>
        <w:spacing w:before="0" w:after="140" w:line="283" w:lineRule="auto"/>
      </w:pPr>
      <w:r>
        <w:rPr>
          <w:b w:val="0"/>
          <w:i/>
          <w:color w:val="53606D"/>
          <w:sz w:val="17"/>
        </w:rPr>
        <w:t>Sources: [S1], [S28]</w:t>
      </w:r>
    </w:p>
    <w:p>
      <w:pPr>
        <w:pStyle w:val="Heading2"/>
        <w:keepNext/>
      </w:pPr>
      <w:r>
        <w:t>Submission timing and sequence</w:t>
      </w:r>
    </w:p>
    <w:tbl>
      <w:tblPr>
        <w:tblW w:type="auto" w:w="0"/>
        <w:jc w:val="center"/>
        <w:tblLayout w:type="fixed"/>
        <w:tblLook w:firstColumn="1" w:firstRow="1" w:lastColumn="0" w:lastRow="0" w:noHBand="0" w:noVBand="1" w:val="04A0"/>
        <w:tblInd w:w="120" w:type="dxa"/>
      </w:tblPr>
      <w:tblGrid>
        <w:gridCol w:w="4896"/>
        <w:gridCol w:w="4896"/>
      </w:tblGrid>
      <w:tr>
        <w:trPr>
          <w:tblHeader w:val="true"/>
          <w:cantSplit/>
        </w:trPr>
        <w:tc>
          <w:tcPr>
            <w:tcW w:type="dxa" w:w="2045"/>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When</w:t>
            </w:r>
          </w:p>
        </w:tc>
        <w:tc>
          <w:tcPr>
            <w:tcW w:type="dxa" w:w="7027"/>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Action</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Now</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Finalize concept brief, retain PA insurance counsel, begin producer exam preparation, start broker discovery</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Within 1-2 weeks</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Submit Smart Launch and request confidential preliminary review</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In parallel</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Seek product classification, test admitted and surplus-lines appetite, collect customer and distribution evidence</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After preliminary feedback</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Build formal carrier submission, draft wording and pricing with actuary and broker</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After carrier appetite</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Negotiate roles, economics, reinsurance, claims, filings, data, and delegated authority</w:t>
            </w:r>
          </w:p>
        </w:tc>
      </w:tr>
      <w:tr>
        <w:trPr>
          <w:cantSplit/>
        </w:trPr>
        <w:tc>
          <w:tcPr>
            <w:tcW w:type="dxa" w:w="2045"/>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Before live transactions</w:t>
            </w:r>
          </w:p>
        </w:tc>
        <w:tc>
          <w:tcPr>
            <w:tcW w:type="dxa" w:w="7027"/>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Verify every license, appointment, form/rate path, disclosure, data-security control, and capacity agreement</w:t>
            </w:r>
          </w:p>
        </w:tc>
      </w:tr>
    </w:tbl>
    <w:p>
      <w:pPr>
        <w:spacing w:after="0"/>
      </w:pPr>
    </w:p>
    <w:p>
      <w:pPr>
        <w:pStyle w:val="Heading2"/>
        <w:keepNext/>
      </w:pPr>
      <w:r>
        <w:t>Producer licensing sequence</w:t>
      </w:r>
    </w:p>
    <w:p>
      <w:pPr>
        <w:spacing w:before="0" w:after="80" w:line="283" w:lineRule="auto"/>
        <w:ind w:left="518" w:hanging="432"/>
        <w:keepLines/>
      </w:pPr>
      <w:r>
        <w:rPr>
          <w:b w:val="0"/>
          <w:i w:val="0"/>
          <w:color w:val="17202A"/>
        </w:rPr>
        <w:t xml:space="preserve">1.  </w:t>
      </w:r>
      <w:r>
        <w:rPr>
          <w:b w:val="0"/>
          <w:i w:val="0"/>
        </w:rPr>
        <w:t>An individual responsible producer obtains Pennsylvania Property and Casualty (P&amp;C) authority: examination, application, and resident fingerprinting. The current individual application fee is $55.</w:t>
      </w:r>
    </w:p>
    <w:p>
      <w:pPr>
        <w:spacing w:before="0" w:after="80" w:line="283" w:lineRule="auto"/>
        <w:ind w:left="518" w:hanging="432"/>
        <w:keepLines/>
      </w:pPr>
      <w:r>
        <w:rPr>
          <w:b w:val="0"/>
          <w:i w:val="0"/>
          <w:color w:val="17202A"/>
        </w:rPr>
        <w:t xml:space="preserve">2.  </w:t>
      </w:r>
      <w:r>
        <w:rPr>
          <w:b w:val="0"/>
          <w:i w:val="0"/>
        </w:rPr>
        <w:t>Obtain Pennsylvania Insurance Department approval for the business-entity name before registration when required, then license the agency. The entity needs a designated licensed producer responsible for compliance.</w:t>
      </w:r>
    </w:p>
    <w:p>
      <w:pPr>
        <w:spacing w:before="0" w:after="80" w:line="283" w:lineRule="auto"/>
        <w:ind w:left="518" w:hanging="432"/>
        <w:keepLines/>
      </w:pPr>
      <w:r>
        <w:rPr>
          <w:b w:val="0"/>
          <w:i w:val="0"/>
          <w:color w:val="17202A"/>
        </w:rPr>
        <w:t xml:space="preserve">3.  </w:t>
      </w:r>
      <w:r>
        <w:rPr>
          <w:b w:val="0"/>
          <w:i w:val="0"/>
        </w:rPr>
        <w:t>Obtain insurer appointments when acting for carriers. If acting for a consumer and charging a fee, use the required written agreement and disclosures.</w:t>
      </w:r>
    </w:p>
    <w:p>
      <w:pPr>
        <w:spacing w:before="0" w:after="80" w:line="283" w:lineRule="auto"/>
        <w:ind w:left="518" w:hanging="432"/>
        <w:keepLines/>
      </w:pPr>
      <w:r>
        <w:rPr>
          <w:b w:val="0"/>
          <w:i w:val="0"/>
          <w:color w:val="17202A"/>
        </w:rPr>
        <w:t xml:space="preserve">4.  </w:t>
      </w:r>
      <w:r>
        <w:rPr>
          <w:b w:val="0"/>
          <w:i w:val="0"/>
        </w:rPr>
        <w:t>If the placement uses surplus lines, obtain the additional individual and agency surplus-lines authorities and use an eligible non-admitted insurer.</w:t>
      </w:r>
    </w:p>
    <w:p>
      <w:pPr>
        <w:spacing w:before="0" w:after="80" w:line="283" w:lineRule="auto"/>
        <w:ind w:left="518" w:hanging="432"/>
        <w:keepLines/>
      </w:pPr>
      <w:r>
        <w:rPr>
          <w:b w:val="0"/>
          <w:i w:val="0"/>
          <w:color w:val="17202A"/>
        </w:rPr>
        <w:t xml:space="preserve">5.  </w:t>
      </w:r>
      <w:r>
        <w:rPr>
          <w:b w:val="0"/>
          <w:i w:val="0"/>
        </w:rPr>
        <w:t>Add nonresident states only after the Pennsylvania workflow is stable.</w:t>
      </w:r>
    </w:p>
    <w:p>
      <w:pPr>
        <w:spacing w:before="0" w:after="140" w:line="283" w:lineRule="auto"/>
      </w:pPr>
      <w:r>
        <w:rPr>
          <w:b w:val="0"/>
          <w:i/>
          <w:color w:val="53606D"/>
          <w:sz w:val="17"/>
        </w:rPr>
        <w:t>Sources: [S2]-[S4], [S8]-[S10]</w:t>
      </w:r>
    </w:p>
    <w:p>
      <w:pPr>
        <w:pStyle w:val="Heading2"/>
        <w:keepNext/>
      </w:pPr>
      <w:r>
        <w:t>Why MGA comes later</w:t>
      </w:r>
    </w:p>
    <w:p>
      <w:pPr>
        <w:spacing w:before="0" w:after="120" w:line="283" w:lineRule="auto"/>
        <w:keepLines/>
      </w:pPr>
      <w:r>
        <w:rPr>
          <w:b w:val="0"/>
          <w:i w:val="0"/>
        </w:rPr>
        <w:t>A Pennsylvania Managing General Agent (MGA) appointment starts with an insurer contract and producer licensing. The current instructions also call for insurer endorsement, at least $1 million in errors-and-omissions coverage, and a fidelity bond tied to premium volume. The statutory category turns on actual delegated authority and volume, not branding.</w:t>
      </w:r>
    </w:p>
    <w:p>
      <w:pPr>
        <w:spacing w:before="0" w:after="140" w:line="283" w:lineRule="auto"/>
      </w:pPr>
      <w:r>
        <w:rPr>
          <w:b w:val="0"/>
          <w:i/>
          <w:color w:val="53606D"/>
          <w:sz w:val="17"/>
        </w:rPr>
        <w:t>Sources: [S5]</w:t>
      </w:r>
    </w:p>
    <w:p>
      <w:pPr>
        <w:pStyle w:val="Heading2"/>
        <w:keepNext/>
      </w:pPr>
      <w:r>
        <w:t>Admitted versus surplus lines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944"/>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Path</w:t>
            </w:r>
          </w:p>
        </w:tc>
        <w:tc>
          <w:tcPr>
            <w:tcW w:type="dxa" w:w="511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Reality</w:t>
            </w:r>
          </w:p>
        </w:tc>
        <w:tc>
          <w:tcPr>
            <w:tcW w:type="dxa" w:w="201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Potential fit</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Admitted carrier</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State-authorized; stronger consumer protections; forms/rates may require review</w:t>
            </w:r>
          </w:p>
        </w:tc>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Long-term consumer product</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Surplus-lines carrier</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Specialty route for risks the admitted market will not write; licensed placement, eligibility, tax, disclosures, and diligent search generally apply</w:t>
            </w:r>
          </w:p>
        </w:tc>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Possible pilot route for unusual crypto risk</w:t>
            </w:r>
          </w:p>
        </w:tc>
      </w:tr>
    </w:tbl>
    <w:p>
      <w:pPr>
        <w:spacing w:after="0"/>
      </w:pPr>
    </w:p>
    <w:p>
      <w:pPr>
        <w:spacing w:before="0" w:after="120" w:line="283" w:lineRule="auto"/>
        <w:keepLines/>
      </w:pPr>
      <w:r>
        <w:rPr>
          <w:b w:val="0"/>
          <w:i w:val="0"/>
        </w:rPr>
        <w:t>Crypto or digital-asset protection is not expressly listed on Pennsylvania's current export list, so CryptoSure should not assume an automatic diligent-search exception. Surplus-lines policies also lack Pennsylvania guaranty-association protection if the insurer becomes insolvent, and Pennsylvania imposes a 3 percent surplus-lines premium tax.</w:t>
      </w:r>
    </w:p>
    <w:p>
      <w:pPr>
        <w:spacing w:before="0" w:after="140" w:line="283" w:lineRule="auto"/>
      </w:pPr>
      <w:r>
        <w:rPr>
          <w:b w:val="0"/>
          <w:i/>
          <w:color w:val="53606D"/>
          <w:sz w:val="17"/>
        </w:rPr>
        <w:t>Sources: [S8]-[S10]</w:t>
      </w:r>
    </w:p>
    <w:p>
      <w:pPr>
        <w:pStyle w:val="Heading2"/>
        <w:keepNext/>
      </w:pPr>
      <w:r>
        <w:t>Why not form the carrier first</w:t>
      </w:r>
    </w:p>
    <w:p>
      <w:pPr>
        <w:spacing w:before="0" w:after="120" w:line="283" w:lineRule="auto"/>
        <w:keepLines/>
      </w:pPr>
      <w:r>
        <w:rPr>
          <w:b w:val="0"/>
          <w:i w:val="0"/>
        </w:rPr>
        <w:t>Pennsylvania publishes class-specific capital and surplus floors. A one-class stock casualty figure can begin at $750,000 capital plus $375,000 surplus, while broader authority can be higher. These are statutory floors, not a practical startup budget. The Commissioner can require more based on forecasts, and the National Association of Insurance Commissioners' new-insurer application requires management, governance, actuarial projections, reinsurance, deposits, delegated-function contracts, controls, and a complete operating plan.</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A52727"/>
            <w:tcBorders>
              <w:top w:val="nil"/>
              <w:left w:val="nil"/>
              <w:bottom w:val="nil"/>
              <w:right w:val="nil"/>
              <w:insideH w:val="nil"/>
              <w:insideV w:val="nil"/>
            </w:tcBorders>
            <w:tcMar>
              <w:top w:w="0" w:type="dxa"/>
              <w:start w:w="0" w:type="dxa"/>
              <w:bottom w:w="0" w:type="dxa"/>
              <w:end w:w="0" w:type="dxa"/>
            </w:tcMar>
          </w:tcPr>
          <w:p/>
        </w:tc>
        <w:tc>
          <w:tcPr>
            <w:tcW w:type="dxa" w:w="9000"/>
            <w:shd w:fill="FDECE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A52727"/>
                <w:sz w:val="18"/>
              </w:rPr>
              <w:t>DO NOT MISREAD THE 90-DAY UCAA TARGET</w:t>
            </w:r>
          </w:p>
          <w:p>
            <w:pPr>
              <w:spacing w:before="0" w:after="0" w:line="278" w:lineRule="auto"/>
            </w:pPr>
            <w:r>
              <w:rPr>
                <w:b w:val="0"/>
                <w:i w:val="0"/>
                <w:color w:val="17202A"/>
                <w:sz w:val="21"/>
              </w:rPr>
              <w:t>The Uniform Certificate of Authority Application processing goal starts only after a complete application is accepted and pauses when regulators request more information. It does not mean a new carrier can be conceived and launched in 90 days.</w:t>
            </w:r>
          </w:p>
        </w:tc>
      </w:tr>
    </w:tbl>
    <w:p>
      <w:pPr>
        <w:spacing w:after="0"/>
      </w:pPr>
    </w:p>
    <w:p>
      <w:pPr>
        <w:spacing w:before="0" w:after="140" w:line="283" w:lineRule="auto"/>
      </w:pPr>
      <w:r>
        <w:rPr>
          <w:b w:val="0"/>
          <w:i/>
          <w:color w:val="53606D"/>
          <w:sz w:val="17"/>
        </w:rPr>
        <w:t>Sources: [S6], [S7]</w:t>
      </w:r>
    </w:p>
    <w:p>
      <w:pPr>
        <w:spacing w:before="40" w:after="40" w:line="283" w:lineRule="auto"/>
        <w:keepNext/>
      </w:pPr>
      <w:r>
        <w:rPr>
          <w:b/>
          <w:i w:val="0"/>
          <w:color w:val="247A53"/>
          <w:sz w:val="17"/>
        </w:rPr>
        <w:t>EXECUTION ROADMAP</w:t>
      </w:r>
    </w:p>
    <w:p>
      <w:pPr>
        <w:pStyle w:val="Heading1"/>
        <w:keepNext/>
      </w:pPr>
      <w:r>
        <w:t>3. The first 90 days</w:t>
      </w:r>
    </w:p>
    <w:p>
      <w:pPr>
        <w:spacing w:before="0" w:after="120" w:line="283" w:lineRule="auto"/>
        <w:keepLines/>
      </w:pPr>
      <w:r>
        <w:rPr>
          <w:b w:val="0"/>
          <w:i w:val="0"/>
        </w:rPr>
        <w:t>The workstreams should run in parallel. Regulatory clarity, licensing, market discovery, and product evidence reinforce one another. The dates below are planning estimates, not regulatory or carrier promises.</w:t>
      </w:r>
    </w:p>
    <w:tbl>
      <w:tblPr>
        <w:tblW w:type="auto" w:w="0"/>
        <w:jc w:val="center"/>
        <w:tblLayout w:type="fixed"/>
        <w:tblLook w:firstColumn="1" w:firstRow="1" w:lastColumn="0" w:lastRow="0" w:noHBand="0" w:noVBand="1" w:val="04A0"/>
        <w:tblInd w:w="120" w:type="dxa"/>
      </w:tblPr>
      <w:tblGrid>
        <w:gridCol w:w="2448"/>
        <w:gridCol w:w="2448"/>
        <w:gridCol w:w="2448"/>
        <w:gridCol w:w="2448"/>
      </w:tblGrid>
      <w:tr>
        <w:trPr>
          <w:tblHeader w:val="true"/>
          <w:cantSplit/>
        </w:trPr>
        <w:tc>
          <w:tcPr>
            <w:tcW w:type="dxa" w:w="1181"/>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Window</w:t>
            </w:r>
          </w:p>
        </w:tc>
        <w:tc>
          <w:tcPr>
            <w:tcW w:type="dxa" w:w="1123"/>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Track</w:t>
            </w:r>
          </w:p>
        </w:tc>
        <w:tc>
          <w:tcPr>
            <w:tcW w:type="dxa" w:w="511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Work</w:t>
            </w:r>
          </w:p>
        </w:tc>
        <w:tc>
          <w:tcPr>
            <w:tcW w:type="dxa" w:w="165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Output</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Days 1-14</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Definition</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Select one insured segment, one custody model, one peril, USD valuation, pilot limits, and exclusions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Concept brief ready</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Days 1-14</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Regulatory</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Retain PA insurance and securities counsel; submit Keystone Smart Launch</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Intake confirmation and question log</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Days 1-30</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Licensing</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Prepare for PA P&amp;C producer exam; begin entity-name and designated-producer path</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Licensing checklist active</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Days 1-30</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Demand</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Interview 15-25 target users and 5-10 distribution prospects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Pain, willingness, and control evidence</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Days 7-45</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Partners</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Hold discovery calls with brokers, underwriters, recovery, data, and claims partners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Appetite map and second meetings</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Days 15-45</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Economics</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Build synthetic loss scenarios, expense stack, pricing ranges, and aggregation stress tests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Actuarial question set</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Days 30-60</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Submission</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Assemble carrier-grade underwriting packet and draft coverage matrix</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Broker-ready submission</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Days 45-75</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Capacity</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Seek nonbinding indication for one PA pilot; compare admitted and surplus-lines routes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Capacity pathway or documented gaps</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Days 60-90</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Pilot design</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Finalize roles, claims workflow, compliance controls, data agreement, pilot metrics, and stop conditions</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Go/no-go memo</w:t>
            </w:r>
          </w:p>
        </w:tc>
      </w:tr>
      <w:tr>
        <w:trPr>
          <w:cantSplit/>
        </w:trPr>
        <w:tc>
          <w:tcPr>
            <w:tcW w:type="dxa" w:w="1181"/>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After capacity signal</w:t>
            </w:r>
          </w:p>
        </w:tc>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Capital</w:t>
            </w:r>
          </w:p>
        </w:tc>
        <w:tc>
          <w:tcPr>
            <w:tcW w:type="dxa" w:w="51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Raise company equity and, separately, explore regulated risk capital</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Counsel-approved capital structure</w:t>
            </w:r>
          </w:p>
        </w:tc>
      </w:tr>
    </w:tbl>
    <w:p>
      <w:pPr>
        <w:spacing w:after="0"/>
      </w:pPr>
    </w:p>
    <w:p>
      <w:pPr>
        <w:pStyle w:val="Heading2"/>
        <w:keepNext/>
      </w:pPr>
      <w:r>
        <w:t>What to do this week</w:t>
      </w:r>
    </w:p>
    <w:p>
      <w:pPr>
        <w:pStyle w:val="ListBullet"/>
        <w:spacing w:before="0" w:after="80" w:line="283" w:lineRule="auto"/>
        <w:keepLines/>
      </w:pPr>
      <w:r>
        <w:rPr>
          <w:b w:val="0"/>
          <w:i w:val="0"/>
        </w:rPr>
        <w:t>Use the concept brief in Section 7 to make the Smart Launch submission concrete.</w:t>
      </w:r>
    </w:p>
    <w:p>
      <w:pPr>
        <w:pStyle w:val="ListBullet"/>
        <w:spacing w:before="0" w:after="80" w:line="283" w:lineRule="auto"/>
        <w:keepLines/>
      </w:pPr>
      <w:r>
        <w:rPr>
          <w:b w:val="0"/>
          <w:i w:val="0"/>
        </w:rPr>
        <w:t>Ask Pennsylvania counsel to review insurance classification, producer activity, surplus lines, securities language, and site copy.</w:t>
      </w:r>
    </w:p>
    <w:p>
      <w:pPr>
        <w:pStyle w:val="ListBullet"/>
        <w:spacing w:before="0" w:after="80" w:line="283" w:lineRule="auto"/>
        <w:keepLines/>
      </w:pPr>
      <w:r>
        <w:rPr>
          <w:b w:val="0"/>
          <w:i w:val="0"/>
        </w:rPr>
        <w:t>Begin P&amp;C producer exam preparation while the Department evaluates product classification.</w:t>
      </w:r>
    </w:p>
    <w:p>
      <w:pPr>
        <w:pStyle w:val="ListBullet"/>
        <w:spacing w:before="0" w:after="80" w:line="283" w:lineRule="auto"/>
        <w:keepLines/>
      </w:pPr>
      <w:r>
        <w:rPr>
          <w:b w:val="0"/>
          <w:i w:val="0"/>
        </w:rPr>
        <w:t>Ask two specialist brokers for 30-minute discovery calls. Lead with the defined risk and evidence, not with an open-ended request to 'insure crypto.'</w:t>
      </w:r>
    </w:p>
    <w:p>
      <w:pPr>
        <w:pStyle w:val="ListBullet"/>
        <w:spacing w:before="0" w:after="80" w:line="283" w:lineRule="auto"/>
        <w:keepLines/>
      </w:pPr>
      <w:r>
        <w:rPr>
          <w:b w:val="0"/>
          <w:i w:val="0"/>
        </w:rPr>
        <w:t>Create a one-page role map naming who issues the policy, holds premium, pays claims, owns data, and makes each decision.</w:t>
      </w:r>
    </w:p>
    <w:p>
      <w:pPr>
        <w:pStyle w:val="ListBullet"/>
        <w:spacing w:before="0" w:after="80" w:line="283" w:lineRule="auto"/>
        <w:keepLines/>
      </w:pPr>
      <w:r>
        <w:rPr>
          <w:b w:val="0"/>
          <w:i w:val="0"/>
        </w:rPr>
        <w:t>Replace or pause investment-sounding public language before capital outreach.</w:t>
      </w:r>
    </w:p>
    <w:p>
      <w:pPr>
        <w:pStyle w:val="Heading2"/>
        <w:keepNext/>
      </w:pPr>
      <w:r>
        <w:t>Decision gates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944"/>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Gate</w:t>
            </w:r>
          </w:p>
        </w:tc>
        <w:tc>
          <w:tcPr>
            <w:tcW w:type="dxa" w:w="5544"/>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Evidence</w:t>
            </w:r>
          </w:p>
        </w:tc>
        <w:tc>
          <w:tcPr>
            <w:tcW w:type="dxa" w:w="1584"/>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Timing</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Gate 0: truthful prototype</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Site is educational; no live quote, binding, premium, policy, or claims promise</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Required now</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Gate 1: regulatory map</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PID classification and counsel agree on licenses, form/rate path, and public language</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Before formal product submission</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Gate 2: credible economics</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Loss, expense, aggregation, and fraud scenarios produce a defendable range</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Before asking for capacity</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Gate 3: licensed chain</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Producer, broker, carrier, claims, data, and reinsurance roles are contracted</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Before taking applications</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Gate 4: controlled pilot</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One state, one segment, one peril, aggregate cap, monitoring, and stop-loss controls</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Before launch</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Gate 5: retain risk</w:t>
            </w:r>
          </w:p>
        </w:tc>
        <w:tc>
          <w:tcPr>
            <w:tcW w:type="dxa" w:w="55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Credible premium and loss data justify protected-cell, reinsurance, or MGA expansion</w:t>
            </w:r>
          </w:p>
        </w:tc>
        <w:tc>
          <w:tcPr>
            <w:tcW w:type="dxa" w:w="158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Only after pilot evidence</w:t>
            </w:r>
          </w:p>
        </w:tc>
      </w:tr>
    </w:tbl>
    <w:p>
      <w:pPr>
        <w:spacing w:after="0"/>
      </w:pPr>
    </w:p>
    <w:p>
      <w:pPr>
        <w:spacing w:before="40" w:after="40" w:line="283" w:lineRule="auto"/>
        <w:keepNext/>
      </w:pPr>
      <w:r>
        <w:rPr>
          <w:b/>
          <w:i w:val="0"/>
          <w:color w:val="247A53"/>
          <w:sz w:val="17"/>
        </w:rPr>
        <w:t>WHO, WHEN, AND WHAT TO ASK</w:t>
      </w:r>
    </w:p>
    <w:p>
      <w:pPr>
        <w:pStyle w:val="Heading1"/>
        <w:keepNext/>
      </w:pPr>
      <w:r>
        <w:t>4. Provider outreach</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46E6C2"/>
            <w:tcBorders>
              <w:top w:val="nil"/>
              <w:left w:val="nil"/>
              <w:bottom w:val="nil"/>
              <w:right w:val="nil"/>
              <w:insideH w:val="nil"/>
              <w:insideV w:val="nil"/>
            </w:tcBorders>
            <w:tcMar>
              <w:top w:w="0" w:type="dxa"/>
              <w:start w:w="0" w:type="dxa"/>
              <w:bottom w:w="0" w:type="dxa"/>
              <w:end w:w="0" w:type="dxa"/>
            </w:tcMar>
          </w:tcPr>
          <w:p/>
        </w:tc>
        <w:tc>
          <w:tcPr>
            <w:tcW w:type="dxa" w:w="9000"/>
            <w:shd w:fill="E8FAF6"/>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START NOW, BUT ASK FOR DISCOVERY</w:t>
            </w:r>
          </w:p>
          <w:p>
            <w:pPr>
              <w:spacing w:before="0" w:after="0" w:line="278" w:lineRule="auto"/>
            </w:pPr>
            <w:r>
              <w:rPr>
                <w:b w:val="0"/>
                <w:i w:val="0"/>
                <w:color w:val="17202A"/>
                <w:sz w:val="21"/>
              </w:rPr>
              <w:t>The first goal is informed feedback and a second meeting, not an immediate promise of capacity. Serious markets will respond better to one defined peril, one customer segment, one jurisdiction, and a disciplined evidence plan than to a broad 'crypto insurance' pitch.</w:t>
            </w:r>
          </w:p>
        </w:tc>
      </w:tr>
    </w:tbl>
    <w:p>
      <w:pPr>
        <w:spacing w:after="0"/>
      </w:pPr>
    </w:p>
    <w:tbl>
      <w:tblPr>
        <w:tblW w:type="auto" w:w="0"/>
        <w:jc w:val="center"/>
        <w:tblLayout w:type="fixed"/>
        <w:tblLook w:firstColumn="1" w:firstRow="1" w:lastColumn="0" w:lastRow="0" w:noHBand="0" w:noVBand="1" w:val="04A0"/>
        <w:tblInd w:w="120" w:type="dxa"/>
      </w:tblPr>
      <w:tblGrid>
        <w:gridCol w:w="2448"/>
        <w:gridCol w:w="2448"/>
        <w:gridCol w:w="2448"/>
        <w:gridCol w:w="2448"/>
      </w:tblGrid>
      <w:tr>
        <w:trPr>
          <w:tblHeader w:val="true"/>
          <w:cantSplit/>
        </w:trPr>
        <w:tc>
          <w:tcPr>
            <w:tcW w:type="dxa" w:w="1123"/>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When</w:t>
            </w:r>
          </w:p>
        </w:tc>
        <w:tc>
          <w:tcPr>
            <w:tcW w:type="dxa" w:w="151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Partner type</w:t>
            </w:r>
          </w:p>
        </w:tc>
        <w:tc>
          <w:tcPr>
            <w:tcW w:type="dxa" w:w="3168"/>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Examples</w:t>
            </w:r>
          </w:p>
        </w:tc>
        <w:tc>
          <w:tcPr>
            <w:tcW w:type="dxa" w:w="3269"/>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Ask</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Now</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Specialist broker</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Aon Digital Assets, Marsh digital-asset team, specialist program/wholesale brokers</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Appetite, classification, admitted vs. surplus lines, underwriter introductions</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Now</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Security / recovery / data</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CoinCover, Chainalysis incident response, wallet-control vendors</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Evidence standards, pilot pricing, recovery workflow, data availability</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30-60 days</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Crypto underwriter / MGU</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Evertas; other broker-vetted digital-asset markets</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Existing product fit, underwriting questions, exclusions, data requirements</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After credible packet</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Program infrastructure</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Boost; Accelerant/MISSION; other carrier-paper or incubator platforms</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White-label pilot, administration, carrier paper, compliance, reinsurance</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After broker validation</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Carrier / reinsurer</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Munich Re digital-asset team and broker-selected markets</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Nonbinding capacity indication for the defined pilot</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After capacity pathway</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Risk-capital partner</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Reinsurer, protected-cell sponsor, institutional ILS or sidecar capital</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Contractually defined layer, collateral, governance, reporting</w:t>
            </w:r>
          </w:p>
        </w:tc>
      </w:tr>
      <w:tr>
        <w:trPr>
          <w:cantSplit/>
        </w:trPr>
        <w:tc>
          <w:tcPr>
            <w:tcW w:type="dxa" w:w="1123"/>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After operating evidence</w:t>
            </w:r>
          </w:p>
        </w:tc>
        <w:tc>
          <w:tcPr>
            <w:tcW w:type="dxa" w:w="151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Lloyd's path</w:t>
            </w:r>
          </w:p>
        </w:tc>
        <w:tc>
          <w:tcPr>
            <w:tcW w:type="dxa" w:w="3168"/>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Lloyd's Broker plus Managing Agent sponsor; then Coverholder or Digital Platform Provider</w:t>
            </w:r>
          </w:p>
        </w:tc>
        <w:tc>
          <w:tcPr>
            <w:tcW w:type="dxa" w:w="3269"/>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Delegated authority or automated distribution</w:t>
            </w:r>
          </w:p>
        </w:tc>
      </w:tr>
    </w:tbl>
    <w:p>
      <w:pPr>
        <w:spacing w:after="0"/>
      </w:pPr>
    </w:p>
    <w:p>
      <w:pPr>
        <w:spacing w:before="0" w:after="140" w:line="283" w:lineRule="auto"/>
      </w:pPr>
      <w:r>
        <w:rPr>
          <w:b w:val="0"/>
          <w:i/>
          <w:color w:val="53606D"/>
          <w:sz w:val="17"/>
        </w:rPr>
        <w:t>Sources: [S16]-[S24]</w:t>
      </w:r>
    </w:p>
    <w:p>
      <w:pPr>
        <w:pStyle w:val="Heading2"/>
        <w:keepNext/>
      </w:pPr>
      <w:r>
        <w:t>Lloyd's, accurately understood</w:t>
      </w:r>
    </w:p>
    <w:p>
      <w:pPr>
        <w:spacing w:before="0" w:after="120" w:line="283" w:lineRule="auto"/>
        <w:keepLines/>
      </w:pPr>
      <w:r>
        <w:rPr>
          <w:b w:val="0"/>
          <w:i w:val="0"/>
        </w:rPr>
        <w:t>Lloyd's is a marketplace, not the insurer you call directly for ordinary coverage. New insurance enquiries should normally begin with a suitable broker or intermediary. A Coverholder is authorized by a Lloyd's Managing Agent under a Binding Authority, and a new applicant needs broker and managing-agent sponsorship.</w:t>
      </w:r>
    </w:p>
    <w:p>
      <w:pPr>
        <w:spacing w:before="0" w:after="120" w:line="283" w:lineRule="auto"/>
        <w:keepLines/>
      </w:pPr>
      <w:r>
        <w:rPr>
          <w:b w:val="0"/>
          <w:i w:val="0"/>
        </w:rPr>
        <w:t>Lloyd's also recognizes a Digital Platform Provider model for fixed underwriting and rating rules. That could eventually fit CryptoSure's interface, but it still sits under the authority and controls of a managing agent or coverholder.</w:t>
      </w:r>
    </w:p>
    <w:p>
      <w:pPr>
        <w:spacing w:before="0" w:after="140" w:line="283" w:lineRule="auto"/>
      </w:pPr>
      <w:r>
        <w:rPr>
          <w:b w:val="0"/>
          <w:i/>
          <w:color w:val="53606D"/>
          <w:sz w:val="17"/>
        </w:rPr>
        <w:t>Sources: [S16]-[S19]</w:t>
      </w:r>
    </w:p>
    <w:p>
      <w:pPr>
        <w:pStyle w:val="Heading2"/>
        <w:keepNext/>
      </w:pPr>
      <w:r>
        <w:t>Carrier-grade submission packet</w:t>
      </w:r>
    </w:p>
    <w:p>
      <w:pPr>
        <w:pStyle w:val="ListBullet"/>
        <w:spacing w:before="0" w:after="80" w:line="283" w:lineRule="auto"/>
        <w:keepLines/>
      </w:pPr>
      <w:r>
        <w:rPr>
          <w:b w:val="0"/>
          <w:i w:val="0"/>
        </w:rPr>
        <w:t>Exact insured segment, jurisdiction, custody model, assets, and distribution channel</w:t>
      </w:r>
    </w:p>
    <w:p>
      <w:pPr>
        <w:pStyle w:val="ListBullet"/>
        <w:spacing w:before="0" w:after="80" w:line="283" w:lineRule="auto"/>
        <w:keepLines/>
      </w:pPr>
      <w:r>
        <w:rPr>
          <w:b w:val="0"/>
          <w:i w:val="0"/>
        </w:rPr>
        <w:t>Named covered events, exclusions, waiting periods, deductibles, valuation time, and limits</w:t>
      </w:r>
    </w:p>
    <w:p>
      <w:pPr>
        <w:pStyle w:val="ListBullet"/>
        <w:spacing w:before="0" w:after="80" w:line="283" w:lineRule="auto"/>
        <w:keepLines/>
      </w:pPr>
      <w:r>
        <w:rPr>
          <w:b w:val="0"/>
          <w:i w:val="0"/>
        </w:rPr>
        <w:t>Demand evidence: interviews, waitlist quality, conversion signals, and distribution letters of intent</w:t>
      </w:r>
    </w:p>
    <w:p>
      <w:pPr>
        <w:pStyle w:val="ListBullet"/>
        <w:spacing w:before="0" w:after="80" w:line="283" w:lineRule="auto"/>
        <w:keepLines/>
      </w:pPr>
      <w:r>
        <w:rPr>
          <w:b w:val="0"/>
          <w:i w:val="0"/>
        </w:rPr>
        <w:t>Underwriting questionnaire, eligibility rules, wallet/key controls, sanctions, identity, and fraud checks</w:t>
      </w:r>
    </w:p>
    <w:p>
      <w:pPr>
        <w:pStyle w:val="ListBullet"/>
        <w:spacing w:before="0" w:after="80" w:line="283" w:lineRule="auto"/>
        <w:keepLines/>
      </w:pPr>
      <w:r>
        <w:rPr>
          <w:b w:val="0"/>
          <w:i w:val="0"/>
        </w:rPr>
        <w:t>Frequency, severity, maximum-loss, aggregation, correlation, and recovery assumptions</w:t>
      </w:r>
    </w:p>
    <w:p>
      <w:pPr>
        <w:pStyle w:val="ListBullet"/>
        <w:spacing w:before="0" w:after="80" w:line="283" w:lineRule="auto"/>
        <w:keepLines/>
      </w:pPr>
      <w:r>
        <w:rPr>
          <w:b w:val="0"/>
          <w:i w:val="0"/>
        </w:rPr>
        <w:t>Premium, commission, acquisition cost, claims cost, carrier/program fees, reinsurance, and expense model</w:t>
      </w:r>
    </w:p>
    <w:p>
      <w:pPr>
        <w:pStyle w:val="ListBullet"/>
        <w:spacing w:before="0" w:after="80" w:line="283" w:lineRule="auto"/>
        <w:keepLines/>
      </w:pPr>
      <w:r>
        <w:rPr>
          <w:b w:val="0"/>
          <w:i w:val="0"/>
        </w:rPr>
        <w:t>Claims trigger, required evidence, decision authority, incident response, recovery, disputes, and appeals</w:t>
      </w:r>
    </w:p>
    <w:p>
      <w:pPr>
        <w:pStyle w:val="ListBullet"/>
        <w:spacing w:before="0" w:after="80" w:line="283" w:lineRule="auto"/>
        <w:keepLines/>
      </w:pPr>
      <w:r>
        <w:rPr>
          <w:b w:val="0"/>
          <w:i w:val="0"/>
        </w:rPr>
        <w:t>Privacy data-flow map: minimum facts, verifier, recipient, retention, deletion, and breach response</w:t>
      </w:r>
    </w:p>
    <w:p>
      <w:pPr>
        <w:pStyle w:val="ListBullet"/>
        <w:spacing w:before="0" w:after="80" w:line="283" w:lineRule="auto"/>
        <w:keepLines/>
      </w:pPr>
      <w:r>
        <w:rPr>
          <w:b w:val="0"/>
          <w:i w:val="0"/>
        </w:rPr>
        <w:t>Role map and contracts for producer, broker, program administrator, carrier, reinsurer, claims, and vendors</w:t>
      </w:r>
    </w:p>
    <w:p>
      <w:pPr>
        <w:pStyle w:val="ListBullet"/>
        <w:spacing w:before="0" w:after="80" w:line="283" w:lineRule="auto"/>
        <w:keepLines/>
      </w:pPr>
      <w:r>
        <w:rPr>
          <w:b w:val="0"/>
          <w:i w:val="0"/>
        </w:rPr>
        <w:t>Experienced insurance, actuarial, legal, compliance, security, and claims leadership</w:t>
      </w:r>
    </w:p>
    <w:p>
      <w:pPr>
        <w:pStyle w:val="ListBullet"/>
        <w:spacing w:before="0" w:after="80" w:line="283" w:lineRule="auto"/>
        <w:keepLines/>
      </w:pPr>
      <w:r>
        <w:rPr>
          <w:b w:val="0"/>
          <w:i w:val="0"/>
        </w:rPr>
        <w:t>Three-year projections, conservative pilot budget, aggregate cap, monitoring, and stop conditions</w:t>
      </w:r>
    </w:p>
    <w:p>
      <w:pPr>
        <w:pStyle w:val="Heading2"/>
        <w:keepNext/>
      </w:pPr>
      <w:r>
        <w:t>Suggested first message</w:t>
      </w:r>
    </w:p>
    <w:tbl>
      <w:tblPr>
        <w:tblW w:type="auto" w:w="0"/>
        <w:jc w:val="center"/>
        <w:tblLook w:firstColumn="1" w:firstRow="1" w:lastColumn="0" w:lastRow="0" w:noHBand="0" w:noVBand="1" w:val="04A0"/>
      </w:tblPr>
      <w:tblGrid>
        <w:gridCol w:w="9792"/>
      </w:tblGrid>
      <w:tr>
        <w:tc>
          <w:tcPr>
            <w:tcW w:type="dxa" w:w="9792"/>
            <w:shd w:fill="F3F6F8"/>
            <w:tcBorders>
              <w:top w:val="single" w:sz="6" w:space="0" w:color="D6DEE5"/>
              <w:left w:val="single" w:sz="6" w:space="0" w:color="D6DEE5"/>
              <w:bottom w:val="single" w:sz="6" w:space="0" w:color="D6DEE5"/>
              <w:right w:val="single" w:sz="6" w:space="0" w:color="D6DEE5"/>
            </w:tcBorders>
            <w:tcMar>
              <w:top w:w="160" w:type="dxa"/>
              <w:start w:w="180" w:type="dxa"/>
              <w:bottom w:w="160" w:type="dxa"/>
              <w:end w:w="180" w:type="dxa"/>
            </w:tcMar>
          </w:tcPr>
          <w:p>
            <w:pPr>
              <w:spacing w:before="0" w:after="160" w:line="283" w:lineRule="auto"/>
            </w:pPr>
            <w:r>
              <w:rPr>
                <w:b/>
                <w:i w:val="0"/>
                <w:color w:val="07131F"/>
                <w:sz w:val="19"/>
              </w:rPr>
              <w:t>Subject: Defined Pennsylvania digital-asset protection pilot, discovery request</w:t>
            </w:r>
          </w:p>
          <w:p>
            <w:pPr>
              <w:spacing w:before="0" w:after="0" w:line="269" w:lineRule="auto"/>
            </w:pPr>
            <w:r>
              <w:rPr>
                <w:b w:val="0"/>
                <w:i w:val="0"/>
                <w:color w:val="17202A"/>
                <w:sz w:val="18"/>
              </w:rPr>
              <w:t>CryptoSure is developing a privacy-preserving distribution and risk-evidence layer for digital-asset protection, beginning with one narrowly defined customer segment and peril. We are not asking you to accept an undefined crypto exposure. We would value a 30-minute discovery call to test market appetite, underwriting evidence requirements, exclusions, and the route to a controlled pilot on licensed carrier paper. We can share a concise concept, demand evidence, data flow, risk controls, and an initial claims-and-recovery plan. Who on your team reviews new digital-asset programs or distribution partnerships?</w:t>
            </w:r>
          </w:p>
        </w:tc>
      </w:tr>
    </w:tbl>
    <w:p>
      <w:pPr>
        <w:pStyle w:val="Heading2"/>
        <w:keepNext/>
      </w:pPr>
      <w:r>
        <w:t>Thirty-minute discovery agenda</w:t>
      </w:r>
    </w:p>
    <w:p>
      <w:pPr>
        <w:spacing w:before="0" w:after="80" w:line="283" w:lineRule="auto"/>
        <w:ind w:left="518" w:hanging="432"/>
        <w:keepLines/>
      </w:pPr>
      <w:r>
        <w:rPr>
          <w:b w:val="0"/>
          <w:i w:val="0"/>
          <w:color w:val="17202A"/>
        </w:rPr>
        <w:t xml:space="preserve">1.  </w:t>
      </w:r>
      <w:r>
        <w:rPr>
          <w:b w:val="0"/>
          <w:i w:val="0"/>
        </w:rPr>
        <w:t>3 minutes: CryptoSure, proposed segment, and the single covered peril</w:t>
      </w:r>
    </w:p>
    <w:p>
      <w:pPr>
        <w:spacing w:before="0" w:after="80" w:line="283" w:lineRule="auto"/>
        <w:ind w:left="518" w:hanging="432"/>
        <w:keepLines/>
      </w:pPr>
      <w:r>
        <w:rPr>
          <w:b w:val="0"/>
          <w:i w:val="0"/>
          <w:color w:val="17202A"/>
        </w:rPr>
        <w:t xml:space="preserve">2.  </w:t>
      </w:r>
      <w:r>
        <w:rPr>
          <w:b w:val="0"/>
          <w:i w:val="0"/>
        </w:rPr>
        <w:t>5 minutes: Why present products leave a measurable gap</w:t>
      </w:r>
    </w:p>
    <w:p>
      <w:pPr>
        <w:spacing w:before="0" w:after="80" w:line="283" w:lineRule="auto"/>
        <w:ind w:left="518" w:hanging="432"/>
        <w:keepLines/>
      </w:pPr>
      <w:r>
        <w:rPr>
          <w:b w:val="0"/>
          <w:i w:val="0"/>
          <w:color w:val="17202A"/>
        </w:rPr>
        <w:t xml:space="preserve">3.  </w:t>
      </w:r>
      <w:r>
        <w:rPr>
          <w:b w:val="0"/>
          <w:i w:val="0"/>
        </w:rPr>
        <w:t>7 minutes: Underwriting and claims evidence with minimum disclosure</w:t>
      </w:r>
    </w:p>
    <w:p>
      <w:pPr>
        <w:spacing w:before="0" w:after="80" w:line="283" w:lineRule="auto"/>
        <w:ind w:left="518" w:hanging="432"/>
        <w:keepLines/>
      </w:pPr>
      <w:r>
        <w:rPr>
          <w:b w:val="0"/>
          <w:i w:val="0"/>
          <w:color w:val="17202A"/>
        </w:rPr>
        <w:t xml:space="preserve">4.  </w:t>
      </w:r>
      <w:r>
        <w:rPr>
          <w:b w:val="0"/>
          <w:i w:val="0"/>
        </w:rPr>
        <w:t>10 minutes: Partner appetite, exclusions, classifications, data, and capacity requirements</w:t>
      </w:r>
    </w:p>
    <w:p>
      <w:pPr>
        <w:spacing w:before="0" w:after="80" w:line="283" w:lineRule="auto"/>
        <w:ind w:left="518" w:hanging="432"/>
        <w:keepLines/>
      </w:pPr>
      <w:r>
        <w:rPr>
          <w:b w:val="0"/>
          <w:i w:val="0"/>
          <w:color w:val="17202A"/>
        </w:rPr>
        <w:t xml:space="preserve">5.  </w:t>
      </w:r>
      <w:r>
        <w:rPr>
          <w:b w:val="0"/>
          <w:i w:val="0"/>
        </w:rPr>
        <w:t>5 minutes: Next artifact, decision-maker, and second meeting</w:t>
      </w:r>
    </w:p>
    <w:p>
      <w:pPr>
        <w:spacing w:before="40" w:after="40" w:line="283" w:lineRule="auto"/>
        <w:keepNext/>
      </w:pPr>
      <w:r>
        <w:rPr>
          <w:b/>
          <w:i w:val="0"/>
          <w:color w:val="247A53"/>
          <w:sz w:val="17"/>
        </w:rPr>
        <w:t>SEPARATE THE ECONOMICS</w:t>
      </w:r>
    </w:p>
    <w:p>
      <w:pPr>
        <w:pStyle w:val="Heading1"/>
        <w:keepNext/>
      </w:pPr>
      <w:r>
        <w:t>5. Capital and profitability</w:t>
      </w:r>
    </w:p>
    <w:p>
      <w:pPr>
        <w:pStyle w:val="Heading2"/>
        <w:keepNext/>
      </w:pPr>
      <w:r>
        <w:t>Two different raises</w:t>
      </w:r>
    </w:p>
    <w:tbl>
      <w:tblPr>
        <w:tblW w:type="auto" w:w="0"/>
        <w:jc w:val="center"/>
        <w:tblLayout w:type="fixed"/>
        <w:tblLook w:firstColumn="1" w:firstRow="1" w:lastColumn="0" w:lastRow="0" w:noHBand="0" w:noVBand="1" w:val="04A0"/>
        <w:tblInd w:w="120" w:type="dxa"/>
      </w:tblPr>
      <w:tblGrid>
        <w:gridCol w:w="2448"/>
        <w:gridCol w:w="2448"/>
        <w:gridCol w:w="2448"/>
        <w:gridCol w:w="2448"/>
      </w:tblGrid>
      <w:tr>
        <w:trPr>
          <w:tblHeader w:val="true"/>
          <w:cantSplit/>
        </w:trPr>
        <w:tc>
          <w:tcPr>
            <w:tcW w:type="dxa" w:w="144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Capital</w:t>
            </w:r>
          </w:p>
        </w:tc>
        <w:tc>
          <w:tcPr>
            <w:tcW w:type="dxa" w:w="252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Funds</w:t>
            </w:r>
          </w:p>
        </w:tc>
        <w:tc>
          <w:tcPr>
            <w:tcW w:type="dxa" w:w="309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Structure</w:t>
            </w:r>
          </w:p>
        </w:tc>
        <w:tc>
          <w:tcPr>
            <w:tcW w:type="dxa" w:w="201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Timing</w:t>
            </w:r>
          </w:p>
        </w:tc>
      </w:tr>
      <w:tr>
        <w:trPr>
          <w:cantSplit/>
        </w:trPr>
        <w:tc>
          <w:tcPr>
            <w:tcW w:type="dxa" w:w="14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Company equity</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Staff, software, counsel, licensing, product development, sales, operations</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Startup security offering, subject to federal and state securities rules</w:t>
            </w:r>
          </w:p>
        </w:tc>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Can begin once counsel approves the offering path and communications</w:t>
            </w:r>
          </w:p>
        </w:tc>
      </w:tr>
      <w:tr>
        <w:trPr>
          <w:cantSplit/>
        </w:trPr>
        <w:tc>
          <w:tcPr>
            <w:tcW w:type="dxa" w:w="14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Insurance risk capital</w:t>
            </w:r>
          </w:p>
        </w:tc>
        <w:tc>
          <w:tcPr>
            <w:tcW w:type="dxa" w:w="25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Contractually supports policy losses</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Carrier capital, reinsurance, captive/protected cell, sidecar, or other approved structure</w:t>
            </w:r>
          </w:p>
        </w:tc>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Only after a carrier/reinsurance structure defines the risk</w:t>
            </w:r>
          </w:p>
        </w:tc>
      </w:tr>
    </w:tbl>
    <w:p>
      <w:pPr>
        <w:spacing w:after="0"/>
      </w:pPr>
    </w:p>
    <w:p>
      <w:pPr>
        <w:spacing w:before="0" w:after="140" w:line="283" w:lineRule="auto"/>
      </w:pPr>
      <w:r>
        <w:rPr>
          <w:b w:val="0"/>
          <w:i/>
          <w:color w:val="53606D"/>
          <w:sz w:val="17"/>
        </w:rPr>
        <w:t>Sources: [S11]-[S15]</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A52727"/>
            <w:tcBorders>
              <w:top w:val="nil"/>
              <w:left w:val="nil"/>
              <w:bottom w:val="nil"/>
              <w:right w:val="nil"/>
              <w:insideH w:val="nil"/>
              <w:insideV w:val="nil"/>
            </w:tcBorders>
            <w:tcMar>
              <w:top w:w="0" w:type="dxa"/>
              <w:start w:w="0" w:type="dxa"/>
              <w:bottom w:w="0" w:type="dxa"/>
              <w:end w:w="0" w:type="dxa"/>
            </w:tcMar>
          </w:tcPr>
          <w:p/>
        </w:tc>
        <w:tc>
          <w:tcPr>
            <w:tcW w:type="dxa" w:w="9000"/>
            <w:shd w:fill="FDECE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A52727"/>
                <w:sz w:val="18"/>
              </w:rPr>
              <w:t>PUBLIC-COPY ACTION BEFORE OUTREACH</w:t>
            </w:r>
          </w:p>
          <w:p>
            <w:pPr>
              <w:spacing w:before="0" w:after="0" w:line="278" w:lineRule="auto"/>
            </w:pPr>
            <w:r>
              <w:rPr>
                <w:b w:val="0"/>
                <w:i w:val="0"/>
                <w:color w:val="17202A"/>
                <w:sz w:val="21"/>
              </w:rPr>
              <w:t>Pause or replace “Liquidity providers, invest in us, the sure thing.” A public website can be general solicitation, and words implying a guaranteed return are a recognized investment-fraud red flag. Safer partnership copy is: “Risk-capital partners: explore a regulated insurance-capacity partnership.” Counsel should approve any actual offering language.</w:t>
            </w:r>
          </w:p>
        </w:tc>
      </w:tr>
    </w:tbl>
    <w:p>
      <w:pPr>
        <w:spacing w:after="0"/>
      </w:pPr>
    </w:p>
    <w:p>
      <w:pPr>
        <w:spacing w:before="0" w:after="120" w:line="283" w:lineRule="auto"/>
        <w:keepLines/>
      </w:pPr>
      <w:r>
        <w:rPr>
          <w:b w:val="0"/>
          <w:i w:val="0"/>
        </w:rPr>
        <w:t>Federal law generally requires an offering to be registered or qualify for an exemption. Pennsylvania likewise requires registration or an exemption. A token does not avoid securities law: the U.S. Securities and Exchange Commission states that a tokenized security remains a security represented on a crypto network.</w:t>
      </w:r>
    </w:p>
    <w:p>
      <w:pPr>
        <w:spacing w:before="0" w:after="140" w:line="283" w:lineRule="auto"/>
      </w:pPr>
      <w:r>
        <w:rPr>
          <w:b w:val="0"/>
          <w:i/>
          <w:color w:val="53606D"/>
          <w:sz w:val="17"/>
        </w:rPr>
        <w:t>Sources: [S11]-[S14]</w:t>
      </w:r>
    </w:p>
    <w:p>
      <w:pPr>
        <w:pStyle w:val="Heading2"/>
        <w:keepNext/>
      </w:pPr>
      <w:r>
        <w:t>Profitability is possible, not certain</w:t>
      </w:r>
    </w:p>
    <w:p>
      <w:pPr>
        <w:spacing w:before="0" w:after="120" w:line="283" w:lineRule="auto"/>
        <w:keepLines/>
      </w:pPr>
      <w:r>
        <w:rPr>
          <w:b w:val="0"/>
          <w:i w:val="0"/>
        </w:rPr>
        <w:t>The strongest commercial logic is that CryptoSure can earn technology, implementation, distribution, and later program fees without taking claim volatility on its own balance sheet. Underwriting profit is a later option, not the starting assumption.</w:t>
      </w:r>
    </w:p>
    <w:p>
      <w:pPr>
        <w:spacing w:before="0" w:after="120" w:line="283" w:lineRule="auto"/>
        <w:keepLines/>
      </w:pPr>
      <w:r>
        <w:rPr>
          <w:b w:val="0"/>
          <w:i w:val="0"/>
        </w:rPr>
        <w:t>For context, the U.S. Property and Casualty industry reported a 92.9 percent combined ratio for 2025, including a 66.5 percent net loss ratio and 25.8 percent expense ratio. That aggregate result does not prove crypto insurance will be profitable. A combined ratio below 100 percent means underwriting profit before investment income; above 100 percent means an underwriting loss.</w:t>
      </w:r>
    </w:p>
    <w:p>
      <w:pPr>
        <w:spacing w:before="0" w:after="140" w:line="283" w:lineRule="auto"/>
      </w:pPr>
      <w:r>
        <w:rPr>
          <w:b w:val="0"/>
          <w:i/>
          <w:color w:val="53606D"/>
          <w:sz w:val="17"/>
        </w:rPr>
        <w:t>Sources: [S25]</w:t>
      </w:r>
    </w:p>
    <w:p>
      <w:pPr>
        <w:pStyle w:val="Heading2"/>
        <w:keepNext/>
      </w:pPr>
      <w:r>
        <w:t>CryptoSure's economic stress points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944"/>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Risk</w:t>
            </w:r>
          </w:p>
        </w:tc>
        <w:tc>
          <w:tcPr>
            <w:tcW w:type="dxa" w:w="309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Why it matters</w:t>
            </w:r>
          </w:p>
        </w:tc>
        <w:tc>
          <w:tcPr>
            <w:tcW w:type="dxa" w:w="403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Initial control</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Adverse selection</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People expecting a loss buy first</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Waiting periods, eligibility, control attestation, cohort distribution</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Correlated loss</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One exploit can hit many insureds</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Aggregate limits, sublimits, exclusion clarity, event modeling, reinsurance</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Fraud and moral hazard</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Fabricated compromise or weak post-purchase behavior</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Independent evidence, forensics, recovery duties, controls</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Volatile valuation</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Token price changes alter severity</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USD policy limits and a defined valuation timestamp</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Small-policy expenses</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Claims and support can consume premium</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Embedded distribution, automation, minimum viable premium, triage</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Recovery uncertainty</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Stolen assets may be partially recovered</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Subrogation, recovery vendor, clear allocation of recovered funds</w:t>
            </w:r>
          </w:p>
        </w:tc>
      </w:tr>
      <w:tr>
        <w:trPr>
          <w:cantSplit/>
        </w:trPr>
        <w:tc>
          <w:tcPr>
            <w:tcW w:type="dxa" w:w="1944"/>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Regulatory classification</w:t>
            </w:r>
          </w:p>
        </w:tc>
        <w:tc>
          <w:tcPr>
            <w:tcW w:type="dxa" w:w="30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Different perils may trigger different lines and filings</w:t>
            </w:r>
          </w:p>
        </w:tc>
        <w:tc>
          <w:tcPr>
            <w:tcW w:type="dxa" w:w="40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One peril first, Smart Launch, counsel, broker</w:t>
            </w:r>
          </w:p>
        </w:tc>
      </w:tr>
    </w:tbl>
    <w:p>
      <w:pPr>
        <w:spacing w:after="0"/>
      </w:pPr>
    </w:p>
    <w:p>
      <w:pPr>
        <w:pStyle w:val="Heading2"/>
        <w:keepNext/>
      </w:pPr>
      <w:r>
        <w:t>Revenue ladder, fastest first</w:t>
      </w:r>
    </w:p>
    <w:p>
      <w:pPr>
        <w:spacing w:before="0" w:after="80" w:line="283" w:lineRule="auto"/>
        <w:ind w:left="518" w:hanging="432"/>
        <w:keepLines/>
      </w:pPr>
      <w:r>
        <w:rPr>
          <w:b w:val="0"/>
          <w:i w:val="0"/>
          <w:color w:val="17202A"/>
        </w:rPr>
        <w:t xml:space="preserve">1.  </w:t>
      </w:r>
      <w:r>
        <w:rPr>
          <w:b w:val="0"/>
          <w:i w:val="0"/>
        </w:rPr>
        <w:t>Paid business-to-business privacy, risk-readiness, evidence, or workflow pilot, structured as genuine services and not compensation for unlicensed insurance sales</w:t>
      </w:r>
    </w:p>
    <w:p>
      <w:pPr>
        <w:spacing w:before="0" w:after="80" w:line="283" w:lineRule="auto"/>
        <w:ind w:left="518" w:hanging="432"/>
        <w:keepLines/>
      </w:pPr>
      <w:r>
        <w:rPr>
          <w:b w:val="0"/>
          <w:i w:val="0"/>
          <w:color w:val="17202A"/>
        </w:rPr>
        <w:t xml:space="preserve">2.  </w:t>
      </w:r>
      <w:r>
        <w:rPr>
          <w:b w:val="0"/>
          <w:i w:val="0"/>
        </w:rPr>
        <w:t>Software implementation or administration fee from a licensed broker, MGA, MGU, or carrier</w:t>
      </w:r>
    </w:p>
    <w:p>
      <w:pPr>
        <w:spacing w:before="0" w:after="80" w:line="283" w:lineRule="auto"/>
        <w:ind w:left="518" w:hanging="432"/>
        <w:keepLines/>
      </w:pPr>
      <w:r>
        <w:rPr>
          <w:b w:val="0"/>
          <w:i w:val="0"/>
          <w:color w:val="17202A"/>
        </w:rPr>
        <w:t xml:space="preserve">3.  </w:t>
      </w:r>
      <w:r>
        <w:rPr>
          <w:b w:val="0"/>
          <w:i w:val="0"/>
        </w:rPr>
        <w:t>Producer commission or permitted platform fee after licenses, appointments, and contracts</w:t>
      </w:r>
    </w:p>
    <w:p>
      <w:pPr>
        <w:spacing w:before="0" w:after="80" w:line="283" w:lineRule="auto"/>
        <w:ind w:left="518" w:hanging="432"/>
        <w:keepLines/>
      </w:pPr>
      <w:r>
        <w:rPr>
          <w:b w:val="0"/>
          <w:i w:val="0"/>
          <w:color w:val="17202A"/>
        </w:rPr>
        <w:t xml:space="preserve">4.  </w:t>
      </w:r>
      <w:r>
        <w:rPr>
          <w:b w:val="0"/>
          <w:i w:val="0"/>
        </w:rPr>
        <w:t>Program-management fee and potential performance compensation after carrier approval</w:t>
      </w:r>
    </w:p>
    <w:p>
      <w:pPr>
        <w:spacing w:before="0" w:after="80" w:line="283" w:lineRule="auto"/>
        <w:ind w:left="518" w:hanging="432"/>
        <w:keepLines/>
      </w:pPr>
      <w:r>
        <w:rPr>
          <w:b w:val="0"/>
          <w:i w:val="0"/>
          <w:color w:val="17202A"/>
        </w:rPr>
        <w:t xml:space="preserve">5.  </w:t>
      </w:r>
      <w:r>
        <w:rPr>
          <w:b w:val="0"/>
          <w:i w:val="0"/>
        </w:rPr>
        <w:t>Reinsurance or protected-cell participation only after credible premium and loss data</w:t>
      </w:r>
    </w:p>
    <w:p>
      <w:pPr>
        <w:spacing w:before="0" w:after="80" w:line="283" w:lineRule="auto"/>
        <w:ind w:left="518" w:hanging="432"/>
        <w:keepLines/>
      </w:pPr>
      <w:r>
        <w:rPr>
          <w:b w:val="0"/>
          <w:i w:val="0"/>
          <w:color w:val="17202A"/>
        </w:rPr>
        <w:t xml:space="preserve">6.  </w:t>
      </w:r>
      <w:r>
        <w:rPr>
          <w:b w:val="0"/>
          <w:i w:val="0"/>
        </w:rPr>
        <w:t>Standalone carrier only if scale, management, capital, and economics later justify it</w:t>
      </w:r>
    </w:p>
    <w:p>
      <w:pPr>
        <w:pStyle w:val="Heading2"/>
        <w:keepNext/>
      </w:pPr>
      <w:r>
        <w:t>Minimum model before pricing</w:t>
      </w:r>
    </w:p>
    <w:p>
      <w:pPr>
        <w:pStyle w:val="ListBullet"/>
        <w:spacing w:before="0" w:after="80" w:line="283" w:lineRule="auto"/>
        <w:keepLines/>
      </w:pPr>
      <w:r>
        <w:rPr>
          <w:b w:val="0"/>
          <w:i w:val="0"/>
        </w:rPr>
        <w:t>Frequency and severity by insured segment and custody model</w:t>
      </w:r>
    </w:p>
    <w:p>
      <w:pPr>
        <w:pStyle w:val="ListBullet"/>
        <w:spacing w:before="0" w:after="80" w:line="283" w:lineRule="auto"/>
        <w:keepLines/>
      </w:pPr>
      <w:r>
        <w:rPr>
          <w:b w:val="0"/>
          <w:i w:val="0"/>
        </w:rPr>
        <w:t>Claim-adjustment, forensics, recovery, support, and dispute costs</w:t>
      </w:r>
    </w:p>
    <w:p>
      <w:pPr>
        <w:pStyle w:val="ListBullet"/>
        <w:spacing w:before="0" w:after="80" w:line="283" w:lineRule="auto"/>
        <w:keepLines/>
      </w:pPr>
      <w:r>
        <w:rPr>
          <w:b w:val="0"/>
          <w:i w:val="0"/>
        </w:rPr>
        <w:t>Broker/producer commission, program, carrier/fronting, reinsurance, premium tax, and compliance costs</w:t>
      </w:r>
    </w:p>
    <w:p>
      <w:pPr>
        <w:pStyle w:val="ListBullet"/>
        <w:spacing w:before="0" w:after="80" w:line="283" w:lineRule="auto"/>
        <w:keepLines/>
      </w:pPr>
      <w:r>
        <w:rPr>
          <w:b w:val="0"/>
          <w:i w:val="0"/>
        </w:rPr>
        <w:t>Customer acquisition, conversion, cancellation, retention, and adverse-selection effects</w:t>
      </w:r>
    </w:p>
    <w:p>
      <w:pPr>
        <w:pStyle w:val="ListBullet"/>
        <w:spacing w:before="0" w:after="80" w:line="283" w:lineRule="auto"/>
        <w:keepLines/>
      </w:pPr>
      <w:r>
        <w:rPr>
          <w:b w:val="0"/>
          <w:i w:val="0"/>
        </w:rPr>
        <w:t>Single-event and multi-event aggregation, with a defined maximum portfolio loss</w:t>
      </w:r>
    </w:p>
    <w:p>
      <w:pPr>
        <w:pStyle w:val="ListBullet"/>
        <w:spacing w:before="0" w:after="80" w:line="283" w:lineRule="auto"/>
        <w:keepLines/>
      </w:pPr>
      <w:r>
        <w:rPr>
          <w:b w:val="0"/>
          <w:i w:val="0"/>
        </w:rPr>
        <w:t>Base, downside, and severe-but-plausible cases, plus explicit stop conditions</w:t>
      </w:r>
    </w:p>
    <w:p>
      <w:pPr>
        <w:spacing w:before="40" w:after="40" w:line="283" w:lineRule="auto"/>
        <w:keepNext/>
      </w:pPr>
      <w:r>
        <w:rPr>
          <w:b/>
          <w:i w:val="0"/>
          <w:color w:val="247A53"/>
          <w:sz w:val="17"/>
        </w:rPr>
        <w:t>SAFE LEARNING BEFORE LIVE RISK</w:t>
      </w:r>
    </w:p>
    <w:p>
      <w:pPr>
        <w:pStyle w:val="Heading1"/>
        <w:keepNext/>
      </w:pPr>
      <w:r>
        <w:t>6. Experimentation and data</w:t>
      </w:r>
    </w:p>
    <w:p>
      <w:pPr>
        <w:pStyle w:val="Heading2"/>
        <w:keepNext/>
      </w:pPr>
      <w:r>
        <w:t>Lloyd's API answer</w:t>
      </w:r>
    </w:p>
    <w:p>
      <w:pPr>
        <w:spacing w:before="0" w:after="120" w:line="283" w:lineRule="auto"/>
        <w:keepLines/>
      </w:pPr>
      <w:r>
        <w:rPr>
          <w:b w:val="0"/>
          <w:i w:val="0"/>
        </w:rPr>
        <w:t>Lloyd's has an API Developer Portal with subscriptions, keys, documentation, and a 'Try this operation' feature. The publicly described initial APIs include Crystal+ territory and territory-authorisation services. That is useful market infrastructure, but it is not a public practice underwriting or false-claims dataset for a startup to train on.</w:t>
      </w:r>
    </w:p>
    <w:p>
      <w:pPr>
        <w:spacing w:before="0" w:after="120" w:line="283" w:lineRule="auto"/>
        <w:keepLines/>
      </w:pPr>
      <w:r>
        <w:rPr>
          <w:b w:val="0"/>
          <w:i w:val="0"/>
        </w:rPr>
        <w:t>Recommendation: keep CryptoSure experimentation synthetic in DL (DemoLand). Use clearly labeled fictional policies and events until a carrier or data partner provides de-identified data under contract. Do not imply that synthetic results validate production pricing in RD (RealDeal).</w:t>
      </w:r>
    </w:p>
    <w:p>
      <w:pPr>
        <w:spacing w:before="0" w:after="140" w:line="283" w:lineRule="auto"/>
      </w:pPr>
      <w:r>
        <w:rPr>
          <w:b w:val="0"/>
          <w:i/>
          <w:color w:val="53606D"/>
          <w:sz w:val="17"/>
        </w:rPr>
        <w:t>Sources: [S26], [S27]</w:t>
      </w:r>
    </w:p>
    <w:p>
      <w:pPr>
        <w:pStyle w:val="Heading2"/>
        <w:keepNext/>
      </w:pPr>
      <w:r>
        <w:t>Synthetic dataset schema</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23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Field</w:t>
            </w:r>
          </w:p>
        </w:tc>
        <w:tc>
          <w:tcPr>
            <w:tcW w:type="dxa" w:w="396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Purpose</w:t>
            </w:r>
          </w:p>
        </w:tc>
        <w:tc>
          <w:tcPr>
            <w:tcW w:type="dxa" w:w="288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Example</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policy_id</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Fictional unique identifier</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DL-PA-000001</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segment</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Customer cohort</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platform_user</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custody_model</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Self, custodial, multisig, MPC</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MPC</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limit_usd / deductible_usd</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Contract boundaries</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5000 / 250</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security_controls</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Eligibility evidence</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hardware_key, allowlist</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incident_type</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Named peril or exclusion</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unauthorized_transfer</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loss_time / valuation_usd</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Defined valuation facts</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ISO timestamp / 3400</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proof_status</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Evidence workflow state</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verified_minimum_facts</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fraud_flags</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Synthetic investigation signals</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velocity_anomaly</w:t>
            </w:r>
          </w:p>
        </w:tc>
      </w:tr>
      <w:tr>
        <w:trPr>
          <w:cantSplit/>
        </w:trPr>
        <w:tc>
          <w:tcPr>
            <w:tcW w:type="dxa" w:w="223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recovery_amount / paid_loss</w:t>
            </w:r>
          </w:p>
        </w:tc>
        <w:tc>
          <w:tcPr>
            <w:tcW w:type="dxa" w:w="39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Subrogation and outcome</w:t>
            </w:r>
          </w:p>
        </w:tc>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800 / 2350</w:t>
            </w:r>
          </w:p>
        </w:tc>
      </w:tr>
    </w:tbl>
    <w:p>
      <w:pPr>
        <w:spacing w:after="0"/>
      </w:pPr>
    </w:p>
    <w:p>
      <w:pPr>
        <w:pStyle w:val="Heading2"/>
        <w:keepNext/>
      </w:pPr>
      <w:r>
        <w:t>Required scenario families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65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Scenario</w:t>
            </w:r>
          </w:p>
        </w:tc>
        <w:tc>
          <w:tcPr>
            <w:tcW w:type="dxa" w:w="381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Synthetic event</w:t>
            </w:r>
          </w:p>
        </w:tc>
        <w:tc>
          <w:tcPr>
            <w:tcW w:type="dxa" w:w="360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Question</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Baseline</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Independent low-frequency unauthorized transfers</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Does ordinary pricing cover claim and expense load?</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Adverse selection</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Higher-risk users disproportionately enroll</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What eligibility or waiting period restores viability?</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Correlation</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One wallet library or platform event affects many users</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Where must aggregate limits or reinsurance attach?</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Fraud</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False claims, collusion, pre-existing loss, manipulated evidence</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Which minimum facts change the decision?</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Recovery</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Partial and delayed asset recovery</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How do recovery cost, subrogation, and customer payment interact?</w:t>
            </w:r>
          </w:p>
        </w:tc>
      </w:tr>
      <w:tr>
        <w:trPr>
          <w:cantSplit/>
        </w:trPr>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Operations</w:t>
            </w:r>
          </w:p>
        </w:tc>
        <w:tc>
          <w:tcPr>
            <w:tcW w:type="dxa" w:w="38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Support surges, dispute rates, slow forensics</w:t>
            </w:r>
          </w:p>
        </w:tc>
        <w:tc>
          <w:tcPr>
            <w:tcW w:type="dxa" w:w="36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Can the promise be administered at the proposed premium?</w:t>
            </w:r>
          </w:p>
        </w:tc>
      </w:tr>
    </w:tbl>
    <w:p>
      <w:pPr>
        <w:spacing w:after="0"/>
      </w:pP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FFD84D"/>
            <w:tcBorders>
              <w:top w:val="nil"/>
              <w:left w:val="nil"/>
              <w:bottom w:val="nil"/>
              <w:right w:val="nil"/>
              <w:insideH w:val="nil"/>
              <w:insideV w:val="nil"/>
            </w:tcBorders>
            <w:tcMar>
              <w:top w:w="0" w:type="dxa"/>
              <w:start w:w="0" w:type="dxa"/>
              <w:bottom w:w="0" w:type="dxa"/>
              <w:end w:w="0" w:type="dxa"/>
            </w:tcMar>
          </w:tcPr>
          <w:p/>
        </w:tc>
        <w:tc>
          <w:tcPr>
            <w:tcW w:type="dxa" w:w="9000"/>
            <w:shd w:fill="FFF7C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EVIDENCE RULE</w:t>
            </w:r>
          </w:p>
          <w:p>
            <w:pPr>
              <w:spacing w:before="0" w:after="0" w:line="278" w:lineRule="auto"/>
            </w:pPr>
            <w:r>
              <w:rPr>
                <w:b w:val="0"/>
                <w:i w:val="0"/>
                <w:color w:val="17202A"/>
                <w:sz w:val="21"/>
              </w:rPr>
              <w:t>A synthetic model is for exploring sensitivity, designing controls, and asking better actuarial questions. It is not loss history, regulatory approval, a rate indication, or proof of profitability.</w:t>
            </w:r>
          </w:p>
        </w:tc>
      </w:tr>
    </w:tbl>
    <w:p>
      <w:pPr>
        <w:spacing w:after="0"/>
      </w:pPr>
    </w:p>
    <w:p>
      <w:pPr>
        <w:spacing w:before="40" w:after="40" w:line="283" w:lineRule="auto"/>
        <w:keepNext/>
      </w:pPr>
      <w:r>
        <w:rPr>
          <w:b/>
          <w:i w:val="0"/>
          <w:color w:val="247A53"/>
          <w:sz w:val="17"/>
        </w:rPr>
        <w:t>SUBMISSION-READY STARTING POINT</w:t>
      </w:r>
    </w:p>
    <w:p>
      <w:pPr>
        <w:pStyle w:val="Heading1"/>
        <w:keepNext/>
      </w:pPr>
      <w:r>
        <w:t>7. Draft Keystone Smart Launch concept brief</w:t>
      </w:r>
    </w:p>
    <w:p>
      <w:pPr>
        <w:spacing w:before="0" w:after="120" w:line="283" w:lineRule="auto"/>
        <w:keepLines/>
      </w:pPr>
      <w:r>
        <w:rPr>
          <w:b w:val="0"/>
          <w:i/>
          <w:color w:val="53606D"/>
        </w:rPr>
        <w:t>The following language is deliberately conservative. It can be adapted into the Pennsylvania submission portal after counsel confirms the facts and John chooses the first insured cohort. Bracketed items are decisions to finalize, not promises.</w:t>
      </w:r>
    </w:p>
    <w:p>
      <w:pPr>
        <w:pStyle w:val="Heading2"/>
        <w:keepNext/>
      </w:pPr>
      <w:r>
        <w:t>Concept</w:t>
      </w:r>
    </w:p>
    <w:p>
      <w:pPr>
        <w:spacing w:before="0" w:after="120" w:line="283" w:lineRule="auto"/>
        <w:keepLines/>
      </w:pPr>
      <w:r>
        <w:rPr>
          <w:b w:val="0"/>
          <w:i w:val="0"/>
        </w:rPr>
        <w:t>CryptoSure is developing a privacy-preserving customer, underwriting-evidence, and claims-evidence layer for digital-asset protection. The proposed Pennsylvania pilot would operate on licensed carrier paper. CryptoSure does not presently issue insurance, accept premium, hold claim reserves, or offer live coverage.</w:t>
      </w:r>
    </w:p>
    <w:p>
      <w:pPr>
        <w:pStyle w:val="Heading2"/>
        <w:keepNext/>
      </w:pPr>
      <w:r>
        <w:t>Recommended pilot boundary</w:t>
      </w:r>
    </w:p>
    <w:tbl>
      <w:tblPr>
        <w:tblW w:type="auto" w:w="0"/>
        <w:jc w:val="center"/>
        <w:tblLayout w:type="fixed"/>
        <w:tblLook w:firstColumn="1" w:firstRow="1" w:lastColumn="0" w:lastRow="0" w:noHBand="0" w:noVBand="1" w:val="04A0"/>
        <w:tblInd w:w="120" w:type="dxa"/>
      </w:tblPr>
      <w:tblGrid>
        <w:gridCol w:w="4896"/>
        <w:gridCol w:w="4896"/>
      </w:tblGrid>
      <w:tr>
        <w:trPr>
          <w:tblHeader w:val="true"/>
          <w:cantSplit/>
        </w:trPr>
        <w:tc>
          <w:tcPr>
            <w:tcW w:type="dxa" w:w="201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Element</w:t>
            </w:r>
          </w:p>
        </w:tc>
        <w:tc>
          <w:tcPr>
            <w:tcW w:type="dxa" w:w="705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Draft position</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Target insured</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Pennsylvania users of one participating wallet, custodian, exchange, or digital-asset platform [select one]</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Proposed peril</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Verified unauthorized wallet compromise or transfer [subject to PID and carrier classification]</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Assets</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Defined supported digital assets held in an eligible custody configuration</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Limits</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$500, $1,000, $5,000, and $10,000 concepts under evaluation, all subject to actuarial and carrier review</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Currency</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Premium, limits, valuation, and claims proposed in U.S. dollars for the first pilot</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Territory</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Pennsylvania only</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Risk bearer</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Licensed admitted or eligible surplus-lines insurer; CryptoSure would not initially retain insurance risk</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Distribution</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Licensed producer/agency and carrier-approved digital flow</w:t>
            </w:r>
          </w:p>
        </w:tc>
      </w:tr>
    </w:tbl>
    <w:p>
      <w:pPr>
        <w:spacing w:after="0"/>
      </w:pPr>
    </w:p>
    <w:p>
      <w:pPr>
        <w:pStyle w:val="Heading2"/>
        <w:keepNext/>
      </w:pPr>
      <w:r>
        <w:t>Coverage under evaluation</w:t>
      </w:r>
    </w:p>
    <w:p>
      <w:pPr>
        <w:pStyle w:val="ListBullet"/>
        <w:spacing w:before="0" w:after="80" w:line="283" w:lineRule="auto"/>
        <w:keepLines/>
      </w:pPr>
      <w:r>
        <w:rPr>
          <w:b w:val="0"/>
          <w:i w:val="0"/>
        </w:rPr>
        <w:t>A direct, externally verifiable unauthorized compromise resulting in covered digital assets leaving an eligible wallet or account</w:t>
      </w:r>
    </w:p>
    <w:p>
      <w:pPr>
        <w:pStyle w:val="ListBullet"/>
        <w:spacing w:before="0" w:after="80" w:line="283" w:lineRule="auto"/>
        <w:keepLines/>
      </w:pPr>
      <w:r>
        <w:rPr>
          <w:b w:val="0"/>
          <w:i w:val="0"/>
        </w:rPr>
        <w:t>A defined notice period, evidence package, deductible, valuation timestamp, and policy limit</w:t>
      </w:r>
    </w:p>
    <w:p>
      <w:pPr>
        <w:pStyle w:val="ListBullet"/>
        <w:spacing w:before="0" w:after="80" w:line="283" w:lineRule="auto"/>
        <w:keepLines/>
      </w:pPr>
      <w:r>
        <w:rPr>
          <w:b w:val="0"/>
          <w:i w:val="0"/>
        </w:rPr>
        <w:t>A contractual recovery and subrogation process when assets can be traced or recovered</w:t>
      </w:r>
    </w:p>
    <w:p>
      <w:pPr>
        <w:pStyle w:val="Heading2"/>
        <w:keepNext/>
      </w:pPr>
      <w:r>
        <w:t>Initial exclusions under evaluation</w:t>
      </w:r>
    </w:p>
    <w:p>
      <w:pPr>
        <w:pStyle w:val="ListBullet"/>
        <w:spacing w:before="0" w:after="80" w:line="283" w:lineRule="auto"/>
        <w:keepLines/>
      </w:pPr>
      <w:r>
        <w:rPr>
          <w:b w:val="0"/>
          <w:i w:val="0"/>
        </w:rPr>
        <w:t>Voluntary transfers, investment losses, market-price movement, and ordinary trading losses</w:t>
      </w:r>
    </w:p>
    <w:p>
      <w:pPr>
        <w:pStyle w:val="ListBullet"/>
        <w:spacing w:before="0" w:after="80" w:line="283" w:lineRule="auto"/>
        <w:keepLines/>
      </w:pPr>
      <w:r>
        <w:rPr>
          <w:b w:val="0"/>
          <w:i w:val="0"/>
        </w:rPr>
        <w:t>Social engineering, phishing, malicious approvals, seed-phrase sharing, or failure to follow stated security controls, unless specifically covered</w:t>
      </w:r>
    </w:p>
    <w:p>
      <w:pPr>
        <w:pStyle w:val="ListBullet"/>
        <w:spacing w:before="0" w:after="80" w:line="283" w:lineRule="auto"/>
        <w:keepLines/>
      </w:pPr>
      <w:r>
        <w:rPr>
          <w:b w:val="0"/>
          <w:i w:val="0"/>
        </w:rPr>
        <w:t>Smart-contract or protocol failure, custodian insolvency, stablecoin de-pegging, governance events, and chain outages, unless separately covered</w:t>
      </w:r>
    </w:p>
    <w:p>
      <w:pPr>
        <w:pStyle w:val="ListBullet"/>
        <w:spacing w:before="0" w:after="80" w:line="283" w:lineRule="auto"/>
        <w:keepLines/>
      </w:pPr>
      <w:r>
        <w:rPr>
          <w:b w:val="0"/>
          <w:i w:val="0"/>
        </w:rPr>
        <w:t>Losses before policy inception, sanctions violations, unlawful activity, misrepresentation, and fraud</w:t>
      </w:r>
    </w:p>
    <w:p>
      <w:pPr>
        <w:pStyle w:val="Heading2"/>
        <w:keepNext/>
      </w:pPr>
      <w:r>
        <w:t>Privacy and evidence</w:t>
      </w:r>
    </w:p>
    <w:p>
      <w:pPr>
        <w:spacing w:before="0" w:after="120" w:line="283" w:lineRule="auto"/>
        <w:keepLines/>
      </w:pPr>
      <w:r>
        <w:rPr>
          <w:b w:val="0"/>
          <w:i w:val="0"/>
        </w:rPr>
        <w:t>The proposed system would disclose only the facts needed for an authorized underwriting or claims decision, rather than a complete wallet history. Depending on partner acceptance, this may use verified attestations or zero-knowledge proofs for eligibility and claim facts. The carrier, claims administrator, and regulator would retain access to information required by law and contract. CryptoSure will document data sources, verifier authority, recipients, retention, deletion, auditability, and fallback evidence.</w:t>
      </w:r>
    </w:p>
    <w:p>
      <w:pPr>
        <w:pStyle w:val="Heading2"/>
        <w:keepNext/>
      </w:pPr>
      <w:r>
        <w:t>Proposed role allocation</w:t>
      </w:r>
    </w:p>
    <w:tbl>
      <w:tblPr>
        <w:tblW w:type="auto" w:w="0"/>
        <w:jc w:val="center"/>
        <w:tblLayout w:type="fixed"/>
        <w:tblLook w:firstColumn="1" w:firstRow="1" w:lastColumn="0" w:lastRow="0" w:noHBand="0" w:noVBand="1" w:val="04A0"/>
        <w:tblInd w:w="120" w:type="dxa"/>
      </w:tblPr>
      <w:tblGrid>
        <w:gridCol w:w="4896"/>
        <w:gridCol w:w="4896"/>
      </w:tblGrid>
      <w:tr>
        <w:trPr>
          <w:tblHeader w:val="true"/>
          <w:cantSplit/>
        </w:trPr>
        <w:tc>
          <w:tcPr>
            <w:tcW w:type="dxa" w:w="201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Party</w:t>
            </w:r>
          </w:p>
        </w:tc>
        <w:tc>
          <w:tcPr>
            <w:tcW w:type="dxa" w:w="705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Draft responsibility</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CryptoSure</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Interface, evidence workflow, loss-control design, licensed distribution when approved, program operations</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Producer / broker</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Regulated sale, solicitation, negotiation, placement, disclosures, and surplus-lines compliance if used</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Carrier</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Policy issuance, premium and reserves, underwriting authority, claim obligation, filings, and regulatory reporting</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MGA / MGU</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Optional carrier-delegated product and underwriting role</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Claims / recovery</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Incident intake, forensic analysis, adjudication support, recovery, and subrogation</w:t>
            </w:r>
          </w:p>
        </w:tc>
      </w:tr>
      <w:tr>
        <w:trPr>
          <w:cantSplit/>
        </w:trPr>
        <w:tc>
          <w:tcPr>
            <w:tcW w:type="dxa" w:w="201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Reinsurer / risk capital</w:t>
            </w:r>
          </w:p>
        </w:tc>
        <w:tc>
          <w:tcPr>
            <w:tcW w:type="dxa" w:w="70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Defined contractual layer behind the carrier, considered only after structure and pricing</w:t>
            </w:r>
          </w:p>
        </w:tc>
      </w:tr>
    </w:tbl>
    <w:p>
      <w:pPr>
        <w:spacing w:after="0"/>
      </w:pPr>
    </w:p>
    <w:p>
      <w:pPr>
        <w:pStyle w:val="Heading2"/>
        <w:keepNext/>
      </w:pPr>
      <w:r>
        <w:t>Questions for the Pennsylvania Insurance Department</w:t>
      </w:r>
    </w:p>
    <w:p>
      <w:pPr>
        <w:spacing w:before="0" w:after="80" w:line="283" w:lineRule="auto"/>
        <w:ind w:left="518" w:hanging="432"/>
        <w:keepLines/>
      </w:pPr>
      <w:r>
        <w:rPr>
          <w:b w:val="0"/>
          <w:i w:val="0"/>
          <w:color w:val="17202A"/>
        </w:rPr>
        <w:t xml:space="preserve">1.  </w:t>
      </w:r>
      <w:r>
        <w:rPr>
          <w:b w:val="0"/>
          <w:i w:val="0"/>
        </w:rPr>
        <w:t>Which line or combination of insurance best fits this proposed peril: personal property, inland marine, crime/theft, cyber, fidelity, or another class?</w:t>
      </w:r>
    </w:p>
    <w:p>
      <w:pPr>
        <w:spacing w:before="0" w:after="80" w:line="283" w:lineRule="auto"/>
        <w:ind w:left="518" w:hanging="432"/>
        <w:keepLines/>
      </w:pPr>
      <w:r>
        <w:rPr>
          <w:b w:val="0"/>
          <w:i w:val="0"/>
          <w:color w:val="17202A"/>
        </w:rPr>
        <w:t xml:space="preserve">2.  </w:t>
      </w:r>
      <w:r>
        <w:rPr>
          <w:b w:val="0"/>
          <w:i w:val="0"/>
        </w:rPr>
        <w:t>Would the recommended first pilot be eligible for surplus-lines placement, or should CryptoSure pursue an admitted product?</w:t>
      </w:r>
    </w:p>
    <w:p>
      <w:pPr>
        <w:spacing w:before="0" w:after="80" w:line="283" w:lineRule="auto"/>
        <w:ind w:left="518" w:hanging="432"/>
        <w:keepLines/>
      </w:pPr>
      <w:r>
        <w:rPr>
          <w:b w:val="0"/>
          <w:i w:val="0"/>
          <w:color w:val="17202A"/>
        </w:rPr>
        <w:t xml:space="preserve">3.  </w:t>
      </w:r>
      <w:r>
        <w:rPr>
          <w:b w:val="0"/>
          <w:i w:val="0"/>
        </w:rPr>
        <w:t>Which forms, rates, rules, notices, disclosures, taxes, and guaranty-fund statements would apply?</w:t>
      </w:r>
    </w:p>
    <w:p>
      <w:pPr>
        <w:spacing w:before="0" w:after="80" w:line="283" w:lineRule="auto"/>
        <w:ind w:left="518" w:hanging="432"/>
        <w:keepLines/>
      </w:pPr>
      <w:r>
        <w:rPr>
          <w:b w:val="0"/>
          <w:i w:val="0"/>
          <w:color w:val="17202A"/>
        </w:rPr>
        <w:t xml:space="preserve">4.  </w:t>
      </w:r>
      <w:r>
        <w:rPr>
          <w:b w:val="0"/>
          <w:i w:val="0"/>
        </w:rPr>
        <w:t>Which producer, business-entity, surplus-lines, administrator, adjuster, and MGA authorities are required for each proposed function?</w:t>
      </w:r>
    </w:p>
    <w:p>
      <w:pPr>
        <w:spacing w:before="0" w:after="80" w:line="283" w:lineRule="auto"/>
        <w:ind w:left="518" w:hanging="432"/>
        <w:keepLines/>
      </w:pPr>
      <w:r>
        <w:rPr>
          <w:b w:val="0"/>
          <w:i w:val="0"/>
          <w:color w:val="17202A"/>
        </w:rPr>
        <w:t xml:space="preserve">5.  </w:t>
      </w:r>
      <w:r>
        <w:rPr>
          <w:b w:val="0"/>
          <w:i w:val="0"/>
        </w:rPr>
        <w:t>What language and interactions may remain educational before licensing, and what would constitute selling, soliciting, negotiating, quoting, or binding?</w:t>
      </w:r>
    </w:p>
    <w:p>
      <w:pPr>
        <w:spacing w:before="0" w:after="80" w:line="283" w:lineRule="auto"/>
        <w:ind w:left="518" w:hanging="432"/>
        <w:keepLines/>
      </w:pPr>
      <w:r>
        <w:rPr>
          <w:b w:val="0"/>
          <w:i w:val="0"/>
          <w:color w:val="17202A"/>
        </w:rPr>
        <w:t xml:space="preserve">6.  </w:t>
      </w:r>
      <w:r>
        <w:rPr>
          <w:b w:val="0"/>
          <w:i w:val="0"/>
        </w:rPr>
        <w:t>Can privacy-preserving attestations or zero-knowledge proofs support eligibility and claim facts, and what underlying evidence must remain available?</w:t>
      </w:r>
    </w:p>
    <w:p>
      <w:pPr>
        <w:spacing w:before="0" w:after="80" w:line="283" w:lineRule="auto"/>
        <w:ind w:left="518" w:hanging="432"/>
        <w:keepLines/>
      </w:pPr>
      <w:r>
        <w:rPr>
          <w:b w:val="0"/>
          <w:i w:val="0"/>
          <w:color w:val="17202A"/>
        </w:rPr>
        <w:t xml:space="preserve">7.  </w:t>
      </w:r>
      <w:r>
        <w:rPr>
          <w:b w:val="0"/>
          <w:i w:val="0"/>
        </w:rPr>
        <w:t>Do premiums or claim settlement involving digital assets create additional insurance, money-transmission, custody, valuation, or reporting concerns?</w:t>
      </w:r>
    </w:p>
    <w:p>
      <w:pPr>
        <w:spacing w:before="0" w:after="80" w:line="283" w:lineRule="auto"/>
        <w:ind w:left="518" w:hanging="432"/>
        <w:keepLines/>
      </w:pPr>
      <w:r>
        <w:rPr>
          <w:b w:val="0"/>
          <w:i w:val="0"/>
          <w:color w:val="17202A"/>
        </w:rPr>
        <w:t xml:space="preserve">8.  </w:t>
      </w:r>
      <w:r>
        <w:rPr>
          <w:b w:val="0"/>
          <w:i w:val="0"/>
        </w:rPr>
        <w:t>How should company investors and insurance risk-capital partners be described publicly and contractually?</w:t>
      </w:r>
    </w:p>
    <w:p>
      <w:pPr>
        <w:spacing w:before="0" w:after="80" w:line="283" w:lineRule="auto"/>
        <w:ind w:left="518" w:hanging="432"/>
        <w:keepLines/>
      </w:pPr>
      <w:r>
        <w:rPr>
          <w:b w:val="0"/>
          <w:i w:val="0"/>
          <w:color w:val="17202A"/>
        </w:rPr>
        <w:t xml:space="preserve">9.  </w:t>
      </w:r>
      <w:r>
        <w:rPr>
          <w:b w:val="0"/>
          <w:i w:val="0"/>
        </w:rPr>
        <w:t>What Insurance Data Security Act obligations attach to the proposed data flow and third-party vendors?</w:t>
      </w:r>
    </w:p>
    <w:p>
      <w:pPr>
        <w:spacing w:before="0" w:after="80" w:line="283" w:lineRule="auto"/>
        <w:ind w:left="518" w:hanging="432"/>
        <w:keepLines/>
      </w:pPr>
      <w:r>
        <w:rPr>
          <w:b w:val="0"/>
          <w:i w:val="0"/>
          <w:color w:val="17202A"/>
        </w:rPr>
        <w:t xml:space="preserve">10.  </w:t>
      </w:r>
      <w:r>
        <w:rPr>
          <w:b w:val="0"/>
          <w:i w:val="0"/>
        </w:rPr>
        <w:t>Which office should review the product next after preliminary feedback?</w:t>
      </w:r>
    </w:p>
    <w:p>
      <w:pPr>
        <w:pStyle w:val="Heading2"/>
        <w:keepNext/>
      </w:pPr>
      <w:r>
        <w:t>Submission contact</w:t>
      </w:r>
    </w:p>
    <w:p>
      <w:pPr>
        <w:spacing w:before="0" w:after="0" w:line="283" w:lineRule="auto"/>
      </w:pPr>
      <w:r>
        <w:rPr>
          <w:b/>
          <w:i w:val="0"/>
        </w:rPr>
        <w:t xml:space="preserve">Program: </w:t>
      </w:r>
      <w:hyperlink r:id="rId12">
        <w:r>
          <w:rPr>
            <w:color w:val="2E74B5"/>
            <w:u w:val="single"/>
          </w:rPr>
          <w:t>Keystone Smart Launch</w:t>
        </w:r>
      </w:hyperlink>
      <w:r>
        <w:t xml:space="preserve">  |  </w:t>
      </w:r>
      <w:r>
        <w:rPr>
          <w:b/>
          <w:i w:val="0"/>
        </w:rPr>
        <w:t xml:space="preserve">Email: </w:t>
      </w:r>
      <w:hyperlink r:id="rId13">
        <w:r>
          <w:rPr>
            <w:color w:val="2E74B5"/>
            <w:u w:val="single"/>
          </w:rPr>
          <w:t>RA-IN-INNOVATEINTAKE@pa.gov</w:t>
        </w:r>
      </w:hyperlink>
      <w:r>
        <w:t xml:space="preserve">  |  </w:t>
      </w:r>
      <w:hyperlink r:id="rId14">
        <w:r>
          <w:rPr>
            <w:color w:val="2E74B5"/>
            <w:u w:val="single"/>
          </w:rPr>
          <w:t>Submission portal</w:t>
        </w:r>
      </w:hyperlink>
    </w:p>
    <w:p>
      <w:pPr>
        <w:spacing w:before="40" w:after="40" w:line="283" w:lineRule="auto"/>
        <w:keepNext/>
      </w:pPr>
      <w:r>
        <w:rPr>
          <w:b/>
          <w:i w:val="0"/>
          <w:color w:val="247A53"/>
          <w:sz w:val="17"/>
        </w:rPr>
        <w:t>PROTECT THE COMPANY AND THE PUBLIC</w:t>
      </w:r>
    </w:p>
    <w:p>
      <w:pPr>
        <w:pStyle w:val="Heading1"/>
        <w:keepNext/>
      </w:pPr>
      <w:r>
        <w:t>8. Launch controls and red flags</w:t>
      </w:r>
    </w:p>
    <w:p>
      <w:pPr>
        <w:pStyle w:val="Heading2"/>
        <w:keepNext/>
      </w:pPr>
      <w:r>
        <w:t>Public-site boundary</w:t>
      </w:r>
    </w:p>
    <w:p>
      <w:pPr>
        <w:pStyle w:val="ListBullet"/>
        <w:spacing w:before="0" w:after="80" w:line="283" w:lineRule="auto"/>
        <w:keepLines/>
      </w:pPr>
      <w:r>
        <w:rPr>
          <w:b w:val="0"/>
          <w:i w:val="0"/>
        </w:rPr>
        <w:t>Clearly state that CryptoSure is a concept and DemoLand experience until licensed capacity exists.</w:t>
      </w:r>
    </w:p>
    <w:p>
      <w:pPr>
        <w:pStyle w:val="ListBullet"/>
        <w:spacing w:before="0" w:after="80" w:line="283" w:lineRule="auto"/>
        <w:keepLines/>
      </w:pPr>
      <w:r>
        <w:rPr>
          <w:b w:val="0"/>
          <w:i w:val="0"/>
        </w:rPr>
        <w:t>Do not display a live premium, quote, policy, binding confirmation, insured badge, or claim promise unless the regulated chain is complete.</w:t>
      </w:r>
    </w:p>
    <w:p>
      <w:pPr>
        <w:pStyle w:val="ListBullet"/>
        <w:spacing w:before="0" w:after="80" w:line="283" w:lineRule="auto"/>
        <w:keepLines/>
      </w:pPr>
      <w:r>
        <w:rPr>
          <w:b w:val="0"/>
          <w:i w:val="0"/>
        </w:rPr>
        <w:t>Do not imply any named carrier, Lloyd's syndicate, broker, reinsurer, or recovery vendor is a partner until a written agreement permits the claim.</w:t>
      </w:r>
    </w:p>
    <w:p>
      <w:pPr>
        <w:pStyle w:val="ListBullet"/>
        <w:spacing w:before="0" w:after="80" w:line="283" w:lineRule="auto"/>
        <w:keepLines/>
      </w:pPr>
      <w:r>
        <w:rPr>
          <w:b w:val="0"/>
          <w:i w:val="0"/>
        </w:rPr>
        <w:t>Do not describe an investment as safe, certain, guaranteed, insured, or a 'sure thing.'</w:t>
      </w:r>
    </w:p>
    <w:p>
      <w:pPr>
        <w:pStyle w:val="ListBullet"/>
        <w:spacing w:before="0" w:after="80" w:line="283" w:lineRule="auto"/>
        <w:keepLines/>
      </w:pPr>
      <w:r>
        <w:rPr>
          <w:b w:val="0"/>
          <w:i w:val="0"/>
        </w:rPr>
        <w:t>Keep the consumer path and capital-partner path visibly separate.</w:t>
      </w:r>
    </w:p>
    <w:p>
      <w:pPr>
        <w:pStyle w:val="Heading2"/>
        <w:keepNext/>
      </w:pPr>
      <w:r>
        <w:t>Before accepting an application or premium</w:t>
      </w:r>
    </w:p>
    <w:p>
      <w:pPr>
        <w:pStyle w:val="ListBullet"/>
        <w:spacing w:before="0" w:after="80" w:line="283" w:lineRule="auto"/>
        <w:keepLines/>
      </w:pPr>
      <w:r>
        <w:rPr>
          <w:b w:val="0"/>
          <w:i w:val="0"/>
        </w:rPr>
        <w:t>Licensed individual and business entity, with all required appointments</w:t>
      </w:r>
    </w:p>
    <w:p>
      <w:pPr>
        <w:pStyle w:val="ListBullet"/>
        <w:spacing w:before="0" w:after="80" w:line="283" w:lineRule="auto"/>
        <w:keepLines/>
      </w:pPr>
      <w:r>
        <w:rPr>
          <w:b w:val="0"/>
          <w:i w:val="0"/>
        </w:rPr>
        <w:t>Carrier or syndicate capacity agreement and exact risk-bearing entity</w:t>
      </w:r>
    </w:p>
    <w:p>
      <w:pPr>
        <w:pStyle w:val="ListBullet"/>
        <w:spacing w:before="0" w:after="80" w:line="283" w:lineRule="auto"/>
        <w:keepLines/>
      </w:pPr>
      <w:r>
        <w:rPr>
          <w:b w:val="0"/>
          <w:i w:val="0"/>
        </w:rPr>
        <w:t>Approved or legally usable policy forms, rates, rules, notices, and disclosures</w:t>
      </w:r>
    </w:p>
    <w:p>
      <w:pPr>
        <w:pStyle w:val="ListBullet"/>
        <w:spacing w:before="0" w:after="80" w:line="283" w:lineRule="auto"/>
        <w:keepLines/>
      </w:pPr>
      <w:r>
        <w:rPr>
          <w:b w:val="0"/>
          <w:i w:val="0"/>
        </w:rPr>
        <w:t>Surplus-lines broker, diligent search, tax, and policyholder notice process if applicable</w:t>
      </w:r>
    </w:p>
    <w:p>
      <w:pPr>
        <w:pStyle w:val="ListBullet"/>
        <w:spacing w:before="0" w:after="80" w:line="283" w:lineRule="auto"/>
        <w:keepLines/>
      </w:pPr>
      <w:r>
        <w:rPr>
          <w:b w:val="0"/>
          <w:i w:val="0"/>
        </w:rPr>
        <w:t>Binding, premium, refund, cancellation, complaint, renewal, and recordkeeping procedures</w:t>
      </w:r>
    </w:p>
    <w:p>
      <w:pPr>
        <w:pStyle w:val="ListBullet"/>
        <w:spacing w:before="0" w:after="80" w:line="283" w:lineRule="auto"/>
        <w:keepLines/>
      </w:pPr>
      <w:r>
        <w:rPr>
          <w:b w:val="0"/>
          <w:i w:val="0"/>
        </w:rPr>
        <w:t>Claims authority, evidence, timelines, recovery, appeals, and vendor contracts</w:t>
      </w:r>
    </w:p>
    <w:p>
      <w:pPr>
        <w:pStyle w:val="ListBullet"/>
        <w:spacing w:before="0" w:after="80" w:line="283" w:lineRule="auto"/>
        <w:keepLines/>
      </w:pPr>
      <w:r>
        <w:rPr>
          <w:b w:val="0"/>
          <w:i w:val="0"/>
        </w:rPr>
        <w:t>Insurance Data Security Act risk assessment, security program, incident response, vendor controls, and required notifications</w:t>
      </w:r>
    </w:p>
    <w:p>
      <w:pPr>
        <w:pStyle w:val="ListBullet"/>
        <w:spacing w:before="0" w:after="80" w:line="283" w:lineRule="auto"/>
        <w:keepLines/>
      </w:pPr>
      <w:r>
        <w:rPr>
          <w:b w:val="0"/>
          <w:i w:val="0"/>
        </w:rPr>
        <w:t>Anti-Money Laundering, sanctions, identity, fraud, and transaction-monitoring responsibilities</w:t>
      </w:r>
    </w:p>
    <w:p>
      <w:pPr>
        <w:pStyle w:val="ListBullet"/>
        <w:spacing w:before="0" w:after="80" w:line="283" w:lineRule="auto"/>
        <w:keepLines/>
      </w:pPr>
      <w:r>
        <w:rPr>
          <w:b w:val="0"/>
          <w:i w:val="0"/>
        </w:rPr>
        <w:t>Accessibility, plain-language exclusions, customer support, and regulator-ready audit logs</w:t>
      </w:r>
    </w:p>
    <w:p>
      <w:pPr>
        <w:pStyle w:val="ListBullet"/>
        <w:spacing w:before="0" w:after="80" w:line="283" w:lineRule="auto"/>
        <w:keepLines/>
      </w:pPr>
      <w:r>
        <w:rPr>
          <w:b w:val="0"/>
          <w:i w:val="0"/>
        </w:rPr>
        <w:t>Pilot aggregate cap, performance dashboard, incident escalation, and stop conditions</w:t>
      </w:r>
    </w:p>
    <w:p>
      <w:pPr>
        <w:spacing w:before="0" w:after="140" w:line="283" w:lineRule="auto"/>
      </w:pPr>
      <w:r>
        <w:rPr>
          <w:b w:val="0"/>
          <w:i/>
          <w:color w:val="53606D"/>
          <w:sz w:val="17"/>
        </w:rPr>
        <w:t>Sources: [S3]-[S10]</w:t>
      </w:r>
    </w:p>
    <w:p>
      <w:pPr>
        <w:pStyle w:val="Heading2"/>
        <w:keepNext/>
      </w:pPr>
      <w:r>
        <w:t>Stop conditions</w:t>
      </w:r>
    </w:p>
    <w:tbl>
      <w:tblPr>
        <w:tblW w:type="auto" w:w="0"/>
        <w:jc w:val="center"/>
        <w:tblLayout w:type="fixed"/>
        <w:tblLook w:firstColumn="1" w:firstRow="1" w:lastColumn="0" w:lastRow="0" w:noHBand="0" w:noVBand="1" w:val="04A0"/>
        <w:tblInd w:w="120" w:type="dxa"/>
      </w:tblPr>
      <w:tblGrid>
        <w:gridCol w:w="4896"/>
        <w:gridCol w:w="4896"/>
      </w:tblGrid>
      <w:tr>
        <w:trPr>
          <w:tblHeader w:val="true"/>
          <w:cantSplit/>
        </w:trPr>
        <w:tc>
          <w:tcPr>
            <w:tcW w:type="dxa" w:w="288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Trigger</w:t>
            </w:r>
          </w:p>
        </w:tc>
        <w:tc>
          <w:tcPr>
            <w:tcW w:type="dxa" w:w="619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7"/>
              </w:rPr>
              <w:t>Required response</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Regulatory ambiguity</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Pause consumer conversion; return to PID and counsel</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No credible capacity</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Keep DemoLand and sell non-insurance technology only</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Economics fail downside case</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Narrow peril/segment, raise deductible, change distribution, or stop</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Correlated loss exceeds aggregate</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Do not launch without reinsurance, sublimit, exclusion, or redesigned cohort</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7"/>
              </w:rPr>
              <w:t>Evidence cannot be independently verified</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7"/>
              </w:rPr>
              <w:t>Do not automate acceptance or claim payment</w:t>
            </w:r>
          </w:p>
        </w:tc>
      </w:tr>
      <w:tr>
        <w:trPr>
          <w:cantSplit/>
        </w:trPr>
        <w:tc>
          <w:tcPr>
            <w:tcW w:type="dxa" w:w="288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7"/>
              </w:rPr>
              <w:t>Public copy outruns contracts</w:t>
            </w:r>
          </w:p>
        </w:tc>
        <w:tc>
          <w:tcPr>
            <w:tcW w:type="dxa" w:w="619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7"/>
              </w:rPr>
              <w:t>Correct the claim before outreach or traffic expansion</w:t>
            </w:r>
          </w:p>
        </w:tc>
      </w:tr>
    </w:tbl>
    <w:p>
      <w:pPr>
        <w:spacing w:after="0"/>
      </w:pPr>
    </w:p>
    <w:p>
      <w:pPr>
        <w:pStyle w:val="Heading2"/>
        <w:keepNext/>
      </w:pPr>
      <w:r>
        <w:t>Regulator and licensing contacts</w:t>
      </w:r>
    </w:p>
    <w:tbl>
      <w:tblPr>
        <w:tblW w:type="auto" w:w="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16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Office</w:t>
            </w:r>
          </w:p>
        </w:tc>
        <w:tc>
          <w:tcPr>
            <w:tcW w:type="dxa" w:w="3672"/>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Contact</w:t>
            </w:r>
          </w:p>
        </w:tc>
        <w:tc>
          <w:tcPr>
            <w:tcW w:type="dxa" w:w="324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6"/>
              </w:rPr>
              <w:t>Use</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Innovation intake</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RA-IN-INNOVATEINTAKE@pa.gov</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Keystone Smart Launch</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Producer licensing</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ra-in-producer@pa.gov  |  717-787-3840</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Individual and agency licensing</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Company / MGA licensing</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ra-in-companylicense@pa.gov  |  717-787-2735</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Company and MGA questions</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Product and rate</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ra-rateform@pa.gov  |  717-787-4192</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Forms, rates, and product classification</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6"/>
              </w:rPr>
              <w:t>Company capital</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ra-in-company@pa.gov  |  717-783-2142</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6"/>
              </w:rPr>
              <w:t>Insurer capital questions</w:t>
            </w:r>
          </w:p>
        </w:tc>
      </w:tr>
      <w:tr>
        <w:trPr>
          <w:cantSplit/>
        </w:trPr>
        <w:tc>
          <w:tcPr>
            <w:tcW w:type="dxa" w:w="216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6"/>
              </w:rPr>
              <w:t>PA securities</w:t>
            </w:r>
          </w:p>
        </w:tc>
        <w:tc>
          <w:tcPr>
            <w:tcW w:type="dxa" w:w="3672"/>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717-787-8059</w:t>
            </w:r>
          </w:p>
        </w:tc>
        <w:tc>
          <w:tcPr>
            <w:tcW w:type="dxa" w:w="324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6"/>
              </w:rPr>
              <w:t>Offering registration and exemptions</w:t>
            </w:r>
          </w:p>
        </w:tc>
      </w:tr>
    </w:tbl>
    <w:p>
      <w:pPr>
        <w:spacing w:after="0"/>
      </w:pPr>
    </w:p>
    <w:p>
      <w:pPr>
        <w:spacing w:before="40" w:after="40" w:line="283" w:lineRule="auto"/>
        <w:keepNext/>
      </w:pPr>
      <w:r>
        <w:rPr>
          <w:b/>
          <w:i w:val="0"/>
          <w:color w:val="247A53"/>
          <w:sz w:val="17"/>
        </w:rPr>
        <w:t>ONE-PAGE OPERATING VIEW</w:t>
      </w:r>
    </w:p>
    <w:p>
      <w:pPr>
        <w:pStyle w:val="Heading1"/>
        <w:keepNext/>
      </w:pPr>
      <w:r>
        <w:t>9. Founder dashboard</w:t>
      </w:r>
    </w:p>
    <w:tbl>
      <w:tblPr>
        <w:tblW w:type="auto" w:w="0"/>
        <w:jc w:val="center"/>
        <w:tblLayout w:type="fixed"/>
        <w:tblLook w:firstColumn="1" w:firstRow="1" w:lastColumn="0" w:lastRow="0" w:noHBand="0" w:noVBand="1" w:val="04A0"/>
        <w:tblInd w:w="120" w:type="dxa"/>
      </w:tblPr>
      <w:tblGrid>
        <w:gridCol w:w="2448"/>
        <w:gridCol w:w="2448"/>
        <w:gridCol w:w="2448"/>
        <w:gridCol w:w="2448"/>
      </w:tblGrid>
      <w:tr>
        <w:trPr>
          <w:tblHeader w:val="true"/>
          <w:cantSplit/>
        </w:trPr>
        <w:tc>
          <w:tcPr>
            <w:tcW w:type="dxa" w:w="129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Track</w:t>
            </w:r>
          </w:p>
        </w:tc>
        <w:tc>
          <w:tcPr>
            <w:tcW w:type="dxa" w:w="432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Next evidence</w:t>
            </w:r>
          </w:p>
        </w:tc>
        <w:tc>
          <w:tcPr>
            <w:tcW w:type="dxa" w:w="1800"/>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Current posture</w:t>
            </w:r>
          </w:p>
        </w:tc>
        <w:tc>
          <w:tcPr>
            <w:tcW w:type="dxa" w:w="1656"/>
            <w:shd w:fill="E8EEF5"/>
            <w:tcBorders>
              <w:top w:val="single" w:sz="6" w:space="0" w:color="D6DEE5"/>
              <w:left w:val="single" w:sz="6" w:space="0" w:color="D6DEE5"/>
              <w:bottom w:val="single" w:sz="6" w:space="0" w:color="D6DEE5"/>
              <w:right w:val="single" w:sz="6" w:space="0" w:color="D6DEE5"/>
            </w:tcBorders>
            <w:tcMar>
              <w:top w:w="90" w:type="dxa"/>
              <w:start w:w="105" w:type="dxa"/>
              <w:bottom w:w="90" w:type="dxa"/>
              <w:end w:w="105" w:type="dxa"/>
            </w:tcMar>
          </w:tcPr>
          <w:p>
            <w:pPr>
              <w:spacing w:before="0" w:after="0" w:line="252" w:lineRule="auto"/>
              <w:jc w:val="left"/>
            </w:pPr>
            <w:r>
              <w:rPr>
                <w:b/>
                <w:i w:val="0"/>
                <w:color w:val="07131F"/>
                <w:sz w:val="15"/>
              </w:rPr>
              <w:t>Owner</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Product</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One segment, one custody model, one named peril</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Not yet finalized</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John + broker + actuary</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Regulatory</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Smart Launch submitted; product classification logged</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Ready after concept review</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John + PA counsel</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Licensing</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Individual and agency P&amp;C path active</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Start now</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Designated producer</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Demand</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15-25 user interviews; 5-10 distribution interviews</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To collect</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Founder</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Capacity</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Broker appetite map and at least one serious second meeting</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To collect</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Broker lead</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Economics</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Base/downside/severe scenario model and expense stack</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To build</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Actuary + founder</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Claims</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Trigger, proof, fraud, recovery, appeals, authority</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Draft only</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Claims partner</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Privacy</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Minimum facts, verifier, recipient, retention, audit</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Prototype</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CryptoSure + counsel</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i w:val="0"/>
                <w:color w:val="17202A"/>
                <w:sz w:val="15"/>
              </w:rPr>
              <w:t>Capital</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Equity and risk-capital structures separated</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Required before outreach</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tcPr>
          <w:p>
            <w:pPr>
              <w:spacing w:before="0" w:after="0" w:line="259" w:lineRule="auto"/>
            </w:pPr>
            <w:r>
              <w:rPr>
                <w:b w:val="0"/>
                <w:i w:val="0"/>
                <w:color w:val="17202A"/>
                <w:sz w:val="15"/>
              </w:rPr>
              <w:t>Securities + insurance counsel</w:t>
            </w:r>
          </w:p>
        </w:tc>
      </w:tr>
      <w:tr>
        <w:trPr>
          <w:cantSplit/>
        </w:trPr>
        <w:tc>
          <w:tcPr>
            <w:tcW w:type="dxa" w:w="129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i w:val="0"/>
                <w:color w:val="17202A"/>
                <w:sz w:val="15"/>
              </w:rPr>
              <w:t>Launch</w:t>
            </w:r>
          </w:p>
        </w:tc>
        <w:tc>
          <w:tcPr>
            <w:tcW w:type="dxa" w:w="432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All Gate 0-4 evidence green</w:t>
            </w:r>
          </w:p>
        </w:tc>
        <w:tc>
          <w:tcPr>
            <w:tcW w:type="dxa" w:w="1800"/>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Not live</w:t>
            </w:r>
          </w:p>
        </w:tc>
        <w:tc>
          <w:tcPr>
            <w:tcW w:type="dxa" w:w="1656"/>
            <w:tcBorders>
              <w:top w:val="single" w:sz="6" w:space="0" w:color="D6DEE5"/>
              <w:left w:val="single" w:sz="6" w:space="0" w:color="D6DEE5"/>
              <w:bottom w:val="single" w:sz="6" w:space="0" w:color="D6DEE5"/>
              <w:right w:val="single" w:sz="6" w:space="0" w:color="D6DEE5"/>
            </w:tcBorders>
            <w:tcMar>
              <w:top w:w="85" w:type="dxa"/>
              <w:start w:w="105" w:type="dxa"/>
              <w:bottom w:w="85" w:type="dxa"/>
              <w:end w:w="105" w:type="dxa"/>
            </w:tcMar>
            <w:shd w:fill="F8FAFB"/>
          </w:tcPr>
          <w:p>
            <w:pPr>
              <w:spacing w:before="0" w:after="0" w:line="259" w:lineRule="auto"/>
            </w:pPr>
            <w:r>
              <w:rPr>
                <w:b w:val="0"/>
                <w:i w:val="0"/>
                <w:color w:val="17202A"/>
                <w:sz w:val="15"/>
              </w:rPr>
              <w:t>All parties</w:t>
            </w:r>
          </w:p>
        </w:tc>
      </w:tr>
    </w:tbl>
    <w:p>
      <w:pPr>
        <w:spacing w:after="0"/>
      </w:pPr>
    </w:p>
    <w:p>
      <w:pPr>
        <w:pStyle w:val="Heading2"/>
        <w:keepNext/>
      </w:pPr>
      <w:r>
        <w:t>The next five decisions</w:t>
      </w:r>
    </w:p>
    <w:p>
      <w:pPr>
        <w:spacing w:before="0" w:after="80" w:line="283" w:lineRule="auto"/>
        <w:ind w:left="518" w:hanging="432"/>
        <w:keepLines/>
      </w:pPr>
      <w:r>
        <w:rPr>
          <w:b w:val="0"/>
          <w:i w:val="0"/>
          <w:color w:val="17202A"/>
        </w:rPr>
        <w:t xml:space="preserve">1.  </w:t>
      </w:r>
      <w:r>
        <w:rPr>
          <w:b w:val="0"/>
          <w:i w:val="0"/>
        </w:rPr>
        <w:t>Choose the first customer: platform user, custodian client, business treasury, or self-custody consumer.</w:t>
      </w:r>
    </w:p>
    <w:p>
      <w:pPr>
        <w:spacing w:before="0" w:after="80" w:line="283" w:lineRule="auto"/>
        <w:ind w:left="518" w:hanging="432"/>
        <w:keepLines/>
      </w:pPr>
      <w:r>
        <w:rPr>
          <w:b w:val="0"/>
          <w:i w:val="0"/>
          <w:color w:val="17202A"/>
        </w:rPr>
        <w:t xml:space="preserve">2.  </w:t>
      </w:r>
      <w:r>
        <w:rPr>
          <w:b w:val="0"/>
          <w:i w:val="0"/>
        </w:rPr>
        <w:t>Choose the first peril and explicitly reject the others from the pilot.</w:t>
      </w:r>
    </w:p>
    <w:p>
      <w:pPr>
        <w:spacing w:before="0" w:after="80" w:line="283" w:lineRule="auto"/>
        <w:ind w:left="518" w:hanging="432"/>
        <w:keepLines/>
      </w:pPr>
      <w:r>
        <w:rPr>
          <w:b w:val="0"/>
          <w:i w:val="0"/>
          <w:color w:val="17202A"/>
        </w:rPr>
        <w:t xml:space="preserve">3.  </w:t>
      </w:r>
      <w:r>
        <w:rPr>
          <w:b w:val="0"/>
          <w:i w:val="0"/>
        </w:rPr>
        <w:t>Choose whether the first commercial revenue comes from non-insurance software work or licensed commercial brokerage, while the flagship product develops.</w:t>
      </w:r>
    </w:p>
    <w:p>
      <w:pPr>
        <w:spacing w:before="0" w:after="80" w:line="283" w:lineRule="auto"/>
        <w:ind w:left="518" w:hanging="432"/>
        <w:keepLines/>
      </w:pPr>
      <w:r>
        <w:rPr>
          <w:b w:val="0"/>
          <w:i w:val="0"/>
          <w:color w:val="17202A"/>
        </w:rPr>
        <w:t xml:space="preserve">4.  </w:t>
      </w:r>
      <w:r>
        <w:rPr>
          <w:b w:val="0"/>
          <w:i w:val="0"/>
        </w:rPr>
        <w:t>Choose the responsible licensed producer and counsel team.</w:t>
      </w:r>
    </w:p>
    <w:p>
      <w:pPr>
        <w:spacing w:before="0" w:after="80" w:line="283" w:lineRule="auto"/>
        <w:ind w:left="518" w:hanging="432"/>
        <w:keepLines/>
      </w:pPr>
      <w:r>
        <w:rPr>
          <w:b w:val="0"/>
          <w:i w:val="0"/>
          <w:color w:val="17202A"/>
        </w:rPr>
        <w:t xml:space="preserve">5.  </w:t>
      </w:r>
      <w:r>
        <w:rPr>
          <w:b w:val="0"/>
          <w:i w:val="0"/>
        </w:rPr>
        <w:t>Choose two broker targets and send the discovery request.</w:t>
      </w:r>
    </w:p>
    <w:tbl>
      <w:tblPr>
        <w:tblW w:type="auto" w:w="0"/>
        <w:jc w:val="center"/>
        <w:tblLayout w:type="fixed"/>
        <w:tblLook w:firstColumn="1" w:firstRow="1" w:lastColumn="0" w:lastRow="0" w:noHBand="0" w:noVBand="1" w:val="04A0"/>
        <w:tblInd w:w="120" w:type="dxa"/>
      </w:tblPr>
      <w:tblGrid>
        <w:gridCol w:w="4896"/>
        <w:gridCol w:w="4896"/>
      </w:tblGrid>
      <w:tr>
        <w:trPr>
          <w:cantSplit/>
        </w:trPr>
        <w:tc>
          <w:tcPr>
            <w:tcW w:type="dxa" w:w="187"/>
            <w:shd w:fill="FFD84D"/>
            <w:tcBorders>
              <w:top w:val="nil"/>
              <w:left w:val="nil"/>
              <w:bottom w:val="nil"/>
              <w:right w:val="nil"/>
              <w:insideH w:val="nil"/>
              <w:insideV w:val="nil"/>
            </w:tcBorders>
            <w:tcMar>
              <w:top w:w="0" w:type="dxa"/>
              <w:start w:w="0" w:type="dxa"/>
              <w:bottom w:w="0" w:type="dxa"/>
              <w:end w:w="0" w:type="dxa"/>
            </w:tcMar>
          </w:tcPr>
          <w:p/>
        </w:tc>
        <w:tc>
          <w:tcPr>
            <w:tcW w:type="dxa" w:w="9000"/>
            <w:shd w:fill="FFF7CC"/>
            <w:tcBorders>
              <w:top w:val="nil"/>
              <w:left w:val="nil"/>
              <w:bottom w:val="nil"/>
              <w:right w:val="nil"/>
              <w:insideH w:val="nil"/>
              <w:insideV w:val="nil"/>
            </w:tcBorders>
            <w:tcMar>
              <w:top w:w="150" w:type="dxa"/>
              <w:start w:w="180" w:type="dxa"/>
              <w:bottom w:w="150" w:type="dxa"/>
              <w:end w:w="180" w:type="dxa"/>
            </w:tcMar>
          </w:tcPr>
          <w:p>
            <w:pPr>
              <w:spacing w:before="0" w:after="60" w:line="283" w:lineRule="auto"/>
              <w:keepNext/>
            </w:pPr>
            <w:r>
              <w:rPr>
                <w:b/>
                <w:i w:val="0"/>
                <w:color w:val="07131F"/>
                <w:sz w:val="18"/>
              </w:rPr>
              <w:t>SUCCESS AT DAY 90</w:t>
            </w:r>
          </w:p>
          <w:p>
            <w:pPr>
              <w:spacing w:before="0" w:after="0" w:line="278" w:lineRule="auto"/>
            </w:pPr>
            <w:r>
              <w:rPr>
                <w:b w:val="0"/>
                <w:i w:val="0"/>
                <w:color w:val="17202A"/>
                <w:sz w:val="21"/>
              </w:rPr>
              <w:t>CryptoSure has a regulator-informed product classification, active licensing path, documented customer need, broker-vetted market appetite, synthetic downside economics, a carrier-grade submission, and either a credible capacity pathway or a precise explanation of what must change. That is a fundable and partnerable milestone, even before a policy is live.</w:t>
            </w:r>
          </w:p>
        </w:tc>
      </w:tr>
    </w:tbl>
    <w:p>
      <w:pPr>
        <w:spacing w:after="0"/>
      </w:pPr>
    </w:p>
    <w:p>
      <w:pPr>
        <w:spacing w:before="40" w:after="40" w:line="283" w:lineRule="auto"/>
        <w:keepNext/>
      </w:pPr>
      <w:r>
        <w:rPr>
          <w:b/>
          <w:i w:val="0"/>
          <w:color w:val="247A53"/>
          <w:sz w:val="17"/>
        </w:rPr>
        <w:t>OFFICIAL AND PRIMARY MATERIALS</w:t>
      </w:r>
    </w:p>
    <w:p>
      <w:pPr>
        <w:pStyle w:val="Heading1"/>
        <w:keepNext/>
      </w:pPr>
      <w:r>
        <w:t>10. Sources and research notes</w:t>
      </w:r>
    </w:p>
    <w:p>
      <w:pPr>
        <w:spacing w:before="0" w:after="120" w:line="283" w:lineRule="auto"/>
        <w:keepLines/>
      </w:pPr>
      <w:r>
        <w:rPr>
          <w:b w:val="0"/>
          <w:i/>
          <w:color w:val="53606D"/>
        </w:rPr>
        <w:t>Research current to August 6, 2026. Links can change, and program appetite can change faster than statutes. Confirm the operative law, forms, fees, contacts, and partner appetite immediately before acting. Named commercial organizations are research targets, not endorsements or confirmed CryptoSure partners.</w:t>
      </w:r>
    </w:p>
    <w:p>
      <w:pPr>
        <w:pStyle w:val="SourceEntry"/>
      </w:pPr>
      <w:r>
        <w:rPr>
          <w:b/>
          <w:i w:val="0"/>
          <w:color w:val="07131F"/>
          <w:sz w:val="17"/>
        </w:rPr>
        <w:t xml:space="preserve">[S1] </w:t>
      </w:r>
      <w:hyperlink r:id="rId12">
        <w:r>
          <w:rPr>
            <w:color w:val="2E74B5"/>
            <w:u w:val="single"/>
          </w:rPr>
          <w:t>Pennsylvania Insurance Department, Keystone Smart Launch</w:t>
        </w:r>
      </w:hyperlink>
      <w:r>
        <w:br/>
      </w:r>
      <w:r>
        <w:rPr>
          <w:b w:val="0"/>
          <w:i w:val="0"/>
          <w:color w:val="53606D"/>
          <w:sz w:val="15"/>
        </w:rPr>
        <w:t>https://www.pa.gov/services/insurance/request-a-preliminary-review-of-a-new-insurance-product-keystone-smart-launch-program</w:t>
      </w:r>
    </w:p>
    <w:p>
      <w:pPr>
        <w:pStyle w:val="SourceEntry"/>
      </w:pPr>
      <w:r>
        <w:rPr>
          <w:b/>
          <w:i w:val="0"/>
          <w:color w:val="07131F"/>
          <w:sz w:val="17"/>
        </w:rPr>
        <w:t xml:space="preserve">[S2] </w:t>
      </w:r>
      <w:hyperlink r:id="rId15">
        <w:r>
          <w:rPr>
            <w:color w:val="2E74B5"/>
            <w:u w:val="single"/>
          </w:rPr>
          <w:t>Pennsylvania Insurance Department, Initial Insurance Producer Licensing Process</w:t>
        </w:r>
      </w:hyperlink>
      <w:r>
        <w:br/>
      </w:r>
      <w:r>
        <w:rPr>
          <w:b w:val="0"/>
          <w:i w:val="0"/>
          <w:color w:val="53606D"/>
          <w:sz w:val="15"/>
        </w:rPr>
        <w:t>https://www.pa.gov/agencies/insurance/licensing/licensees/initial-insurance-producer-licensing-process</w:t>
      </w:r>
    </w:p>
    <w:p>
      <w:pPr>
        <w:pStyle w:val="SourceEntry"/>
      </w:pPr>
      <w:r>
        <w:rPr>
          <w:b/>
          <w:i w:val="0"/>
          <w:color w:val="07131F"/>
          <w:sz w:val="17"/>
        </w:rPr>
        <w:t xml:space="preserve">[S3] </w:t>
      </w:r>
      <w:hyperlink r:id="rId16">
        <w:r>
          <w:rPr>
            <w:color w:val="2E74B5"/>
            <w:u w:val="single"/>
          </w:rPr>
          <w:t>Pennsylvania Insurance Department, Producer and Agency Licensing</w:t>
        </w:r>
      </w:hyperlink>
      <w:r>
        <w:br/>
      </w:r>
      <w:r>
        <w:rPr>
          <w:b w:val="0"/>
          <w:i w:val="0"/>
          <w:color w:val="53606D"/>
          <w:sz w:val="15"/>
        </w:rPr>
        <w:t>https://www.pa.gov/agencies/insurance/licensing/licensees/apply-for-or-renew-your-producer-agent-license</w:t>
      </w:r>
    </w:p>
    <w:p>
      <w:pPr>
        <w:pStyle w:val="SourceEntry"/>
      </w:pPr>
      <w:r>
        <w:rPr>
          <w:b/>
          <w:i w:val="0"/>
          <w:color w:val="07131F"/>
          <w:sz w:val="17"/>
        </w:rPr>
        <w:t xml:space="preserve">[S4] </w:t>
      </w:r>
      <w:hyperlink r:id="rId17">
        <w:r>
          <w:rPr>
            <w:color w:val="2E74B5"/>
            <w:u w:val="single"/>
          </w:rPr>
          <w:t>Pennsylvania Insurance Producer Act</w:t>
        </w:r>
      </w:hyperlink>
      <w:r>
        <w:br/>
      </w:r>
      <w:r>
        <w:rPr>
          <w:b w:val="0"/>
          <w:i w:val="0"/>
          <w:color w:val="53606D"/>
          <w:sz w:val="15"/>
        </w:rPr>
        <w:t>https://www.legis.state.pa.us/WU01/LI/LI/US/HTM/1921/0/0285.006A000..HTM</w:t>
      </w:r>
    </w:p>
    <w:p>
      <w:pPr>
        <w:pStyle w:val="SourceEntry"/>
      </w:pPr>
      <w:r>
        <w:rPr>
          <w:b/>
          <w:i w:val="0"/>
          <w:color w:val="07131F"/>
          <w:sz w:val="17"/>
        </w:rPr>
        <w:t xml:space="preserve">[S5] </w:t>
      </w:r>
      <w:hyperlink r:id="rId18">
        <w:r>
          <w:rPr>
            <w:color w:val="2E74B5"/>
            <w:u w:val="single"/>
          </w:rPr>
          <w:t>Pennsylvania Insurance Department, Managing General Agent Application Instructions</w:t>
        </w:r>
      </w:hyperlink>
      <w:r>
        <w:br/>
      </w:r>
      <w:r>
        <w:rPr>
          <w:b w:val="0"/>
          <w:i w:val="0"/>
          <w:color w:val="53606D"/>
          <w:sz w:val="15"/>
        </w:rPr>
        <w:t>https://www.pa.gov/content/dam/copapwp-pagov/en/insurance/documents/licensees/maintainyourlicense/documents/mga_app_instructions.pdf</w:t>
      </w:r>
    </w:p>
    <w:p>
      <w:pPr>
        <w:pStyle w:val="SourceEntry"/>
      </w:pPr>
      <w:r>
        <w:rPr>
          <w:b/>
          <w:i w:val="0"/>
          <w:color w:val="07131F"/>
          <w:sz w:val="17"/>
        </w:rPr>
        <w:t xml:space="preserve">[S6] </w:t>
      </w:r>
      <w:hyperlink r:id="rId19">
        <w:r>
          <w:rPr>
            <w:color w:val="2E74B5"/>
            <w:u w:val="single"/>
          </w:rPr>
          <w:t>Pennsylvania Insurance Department, Capital and Surplus Requirements</w:t>
        </w:r>
      </w:hyperlink>
      <w:r>
        <w:br/>
      </w:r>
      <w:r>
        <w:rPr>
          <w:b w:val="0"/>
          <w:i w:val="0"/>
          <w:color w:val="53606D"/>
          <w:sz w:val="15"/>
        </w:rPr>
        <w:t>https://www.pa.gov/agencies/insurance/resources/company-resources/capital-surplus-requirements</w:t>
      </w:r>
    </w:p>
    <w:p>
      <w:pPr>
        <w:pStyle w:val="SourceEntry"/>
      </w:pPr>
      <w:r>
        <w:rPr>
          <w:b/>
          <w:i w:val="0"/>
          <w:color w:val="07131F"/>
          <w:sz w:val="17"/>
        </w:rPr>
        <w:t xml:space="preserve">[S7] </w:t>
      </w:r>
      <w:hyperlink r:id="rId20">
        <w:r>
          <w:rPr>
            <w:color w:val="2E74B5"/>
            <w:u w:val="single"/>
          </w:rPr>
          <w:t>National Association of Insurance Commissioners, UCAA Primary Application</w:t>
        </w:r>
      </w:hyperlink>
      <w:r>
        <w:br/>
      </w:r>
      <w:r>
        <w:rPr>
          <w:b w:val="0"/>
          <w:i w:val="0"/>
          <w:color w:val="53606D"/>
          <w:sz w:val="15"/>
        </w:rPr>
        <w:t>https://content.naic.org/industry/ucaa/primary-application</w:t>
      </w:r>
    </w:p>
    <w:p>
      <w:pPr>
        <w:pStyle w:val="SourceEntry"/>
      </w:pPr>
      <w:r>
        <w:rPr>
          <w:b/>
          <w:i w:val="0"/>
          <w:color w:val="07131F"/>
          <w:sz w:val="17"/>
        </w:rPr>
        <w:t xml:space="preserve">[S8] </w:t>
      </w:r>
      <w:hyperlink r:id="rId21">
        <w:r>
          <w:rPr>
            <w:color w:val="2E74B5"/>
            <w:u w:val="single"/>
          </w:rPr>
          <w:t>Pennsylvania Insurance Department, Property and Casualty Product Submission Guidance</w:t>
        </w:r>
      </w:hyperlink>
      <w:r>
        <w:br/>
      </w:r>
      <w:r>
        <w:rPr>
          <w:b w:val="0"/>
          <w:i w:val="0"/>
          <w:color w:val="53606D"/>
          <w:sz w:val="15"/>
        </w:rPr>
        <w:t>https://www.pa.gov/agencies/insurance/filing-reporting-requirements/product-and-rate-filing-requirements/property-and-casualty-product-submission-checklists-product-requirements</w:t>
      </w:r>
    </w:p>
    <w:p>
      <w:pPr>
        <w:pStyle w:val="SourceEntry"/>
      </w:pPr>
      <w:r>
        <w:rPr>
          <w:b/>
          <w:i w:val="0"/>
          <w:color w:val="07131F"/>
          <w:sz w:val="17"/>
        </w:rPr>
        <w:t xml:space="preserve">[S9] </w:t>
      </w:r>
      <w:hyperlink r:id="rId22">
        <w:r>
          <w:rPr>
            <w:color w:val="2E74B5"/>
            <w:u w:val="single"/>
          </w:rPr>
          <w:t>Pennsylvania Insurance Department, Surplus Lines Companies Filing and Consumer Information</w:t>
        </w:r>
      </w:hyperlink>
      <w:r>
        <w:br/>
      </w:r>
      <w:r>
        <w:rPr>
          <w:b w:val="0"/>
          <w:i w:val="0"/>
          <w:color w:val="53606D"/>
          <w:sz w:val="15"/>
        </w:rPr>
        <w:t>https://www.pa.gov/agencies/insurance/filing-reporting-requirements/financial-filing-requirements/surplus-lines-companies-filing</w:t>
      </w:r>
    </w:p>
    <w:p>
      <w:pPr>
        <w:pStyle w:val="SourceEntry"/>
      </w:pPr>
      <w:r>
        <w:rPr>
          <w:b/>
          <w:i w:val="0"/>
          <w:color w:val="07131F"/>
          <w:sz w:val="17"/>
        </w:rPr>
        <w:t xml:space="preserve">[S10] </w:t>
      </w:r>
      <w:hyperlink r:id="rId23">
        <w:r>
          <w:rPr>
            <w:color w:val="2E74B5"/>
            <w:u w:val="single"/>
          </w:rPr>
          <w:t>Pennsylvania Insurance Data Security Act guidance</w:t>
        </w:r>
      </w:hyperlink>
      <w:r>
        <w:br/>
      </w:r>
      <w:r>
        <w:rPr>
          <w:b w:val="0"/>
          <w:i w:val="0"/>
          <w:color w:val="53606D"/>
          <w:sz w:val="15"/>
        </w:rPr>
        <w:t>https://www.pa.gov/agencies/insurance/laws-regulations-notices/act-2-2023-insurance-data-security</w:t>
      </w:r>
    </w:p>
    <w:p>
      <w:pPr>
        <w:pStyle w:val="SourceEntry"/>
      </w:pPr>
      <w:r>
        <w:rPr>
          <w:b/>
          <w:i w:val="0"/>
          <w:color w:val="07131F"/>
          <w:sz w:val="17"/>
        </w:rPr>
        <w:t xml:space="preserve">[S11] </w:t>
      </w:r>
      <w:hyperlink r:id="rId24">
        <w:r>
          <w:rPr>
            <w:color w:val="2E74B5"/>
            <w:u w:val="single"/>
          </w:rPr>
          <w:t>U.S. Securities and Exchange Commission, Offering Pathways</w:t>
        </w:r>
      </w:hyperlink>
      <w:r>
        <w:br/>
      </w:r>
      <w:r>
        <w:rPr>
          <w:b w:val="0"/>
          <w:i w:val="0"/>
          <w:color w:val="53606D"/>
          <w:sz w:val="15"/>
        </w:rPr>
        <w:t>https://www.sec.gov/resources-small-businesses/capital-raising-building-blocks/offering-pathways</w:t>
      </w:r>
    </w:p>
    <w:p>
      <w:pPr>
        <w:pStyle w:val="SourceEntry"/>
      </w:pPr>
      <w:r>
        <w:rPr>
          <w:b/>
          <w:i w:val="0"/>
          <w:color w:val="07131F"/>
          <w:sz w:val="17"/>
        </w:rPr>
        <w:t xml:space="preserve">[S12] </w:t>
      </w:r>
      <w:hyperlink r:id="rId25">
        <w:r>
          <w:rPr>
            <w:color w:val="2E74B5"/>
            <w:u w:val="single"/>
          </w:rPr>
          <w:t>U.S. Securities and Exchange Commission, General Solicitation</w:t>
        </w:r>
      </w:hyperlink>
      <w:r>
        <w:br/>
      </w:r>
      <w:r>
        <w:rPr>
          <w:b w:val="0"/>
          <w:i w:val="0"/>
          <w:color w:val="53606D"/>
          <w:sz w:val="15"/>
        </w:rPr>
        <w:t>https://www.sec.gov/resources-small-businesses/capital-raising-building-blocks/general-solicitation</w:t>
      </w:r>
    </w:p>
    <w:p>
      <w:pPr>
        <w:pStyle w:val="SourceEntry"/>
      </w:pPr>
      <w:r>
        <w:rPr>
          <w:b/>
          <w:i w:val="0"/>
          <w:color w:val="07131F"/>
          <w:sz w:val="17"/>
        </w:rPr>
        <w:t xml:space="preserve">[S13] </w:t>
      </w:r>
      <w:hyperlink r:id="rId26">
        <w:r>
          <w:rPr>
            <w:color w:val="2E74B5"/>
            <w:u w:val="single"/>
          </w:rPr>
          <w:t>U.S. Securities and Exchange Commission, Statement on Tokenized Securities</w:t>
        </w:r>
      </w:hyperlink>
      <w:r>
        <w:br/>
      </w:r>
      <w:r>
        <w:rPr>
          <w:b w:val="0"/>
          <w:i w:val="0"/>
          <w:color w:val="53606D"/>
          <w:sz w:val="15"/>
        </w:rPr>
        <w:t>https://www.sec.gov/newsroom/speeches-statements/corp-fin-statement-tokenized-securities-012826-statement-tokenized-securities</w:t>
      </w:r>
    </w:p>
    <w:p>
      <w:pPr>
        <w:pStyle w:val="SourceEntry"/>
      </w:pPr>
      <w:r>
        <w:rPr>
          <w:b/>
          <w:i w:val="0"/>
          <w:color w:val="07131F"/>
          <w:sz w:val="17"/>
        </w:rPr>
        <w:t xml:space="preserve">[S14] </w:t>
      </w:r>
      <w:hyperlink r:id="rId27">
        <w:r>
          <w:rPr>
            <w:color w:val="2E74B5"/>
            <w:u w:val="single"/>
          </w:rPr>
          <w:t>Pennsylvania Department of Banking and Securities, Office of Corporation Finance</w:t>
        </w:r>
      </w:hyperlink>
      <w:r>
        <w:br/>
      </w:r>
      <w:r>
        <w:rPr>
          <w:b w:val="0"/>
          <w:i w:val="0"/>
          <w:color w:val="53606D"/>
          <w:sz w:val="15"/>
        </w:rPr>
        <w:t>https://www.pa.gov/agencies/dobs/securities/office-of-corporation-finance</w:t>
      </w:r>
    </w:p>
    <w:p>
      <w:pPr>
        <w:pStyle w:val="SourceEntry"/>
      </w:pPr>
      <w:r>
        <w:rPr>
          <w:b/>
          <w:i w:val="0"/>
          <w:color w:val="07131F"/>
          <w:sz w:val="17"/>
        </w:rPr>
        <w:t xml:space="preserve">[S15] </w:t>
      </w:r>
      <w:hyperlink r:id="rId28">
        <w:r>
          <w:rPr>
            <w:color w:val="2E74B5"/>
            <w:u w:val="single"/>
          </w:rPr>
          <w:t>National Association of Insurance Commissioners, Insurance-Linked Securities</w:t>
        </w:r>
      </w:hyperlink>
      <w:r>
        <w:br/>
      </w:r>
      <w:r>
        <w:rPr>
          <w:b w:val="0"/>
          <w:i w:val="0"/>
          <w:color w:val="53606D"/>
          <w:sz w:val="15"/>
        </w:rPr>
        <w:t>https://content.naic.org/insurance-topics/insurance-linked-securities</w:t>
      </w:r>
    </w:p>
    <w:p>
      <w:pPr>
        <w:pStyle w:val="SourceEntry"/>
      </w:pPr>
      <w:r>
        <w:rPr>
          <w:b/>
          <w:i w:val="0"/>
          <w:color w:val="07131F"/>
          <w:sz w:val="17"/>
        </w:rPr>
        <w:t xml:space="preserve">[S16] </w:t>
      </w:r>
      <w:hyperlink r:id="rId29">
        <w:r>
          <w:rPr>
            <w:color w:val="2E74B5"/>
            <w:u w:val="single"/>
          </w:rPr>
          <w:t>Lloyd's, New Insurance Enquiries</w:t>
        </w:r>
      </w:hyperlink>
      <w:r>
        <w:br/>
      </w:r>
      <w:r>
        <w:rPr>
          <w:b w:val="0"/>
          <w:i w:val="0"/>
          <w:color w:val="53606D"/>
          <w:sz w:val="15"/>
        </w:rPr>
        <w:t>https://www.lloyds.com/contact-us/new-insurance-enquiries</w:t>
      </w:r>
    </w:p>
    <w:p>
      <w:pPr>
        <w:pStyle w:val="SourceEntry"/>
      </w:pPr>
      <w:r>
        <w:rPr>
          <w:b/>
          <w:i w:val="0"/>
          <w:color w:val="07131F"/>
          <w:sz w:val="17"/>
        </w:rPr>
        <w:t xml:space="preserve">[S17] </w:t>
      </w:r>
      <w:hyperlink r:id="rId30">
        <w:r>
          <w:rPr>
            <w:color w:val="2E74B5"/>
            <w:u w:val="single"/>
          </w:rPr>
          <w:t>Lloyd's, Coverholders</w:t>
        </w:r>
      </w:hyperlink>
      <w:r>
        <w:br/>
      </w:r>
      <w:r>
        <w:rPr>
          <w:b w:val="0"/>
          <w:i w:val="0"/>
          <w:color w:val="53606D"/>
          <w:sz w:val="15"/>
        </w:rPr>
        <w:t>https://www.lloyds.com/market-resources/delegated-authorities/coverholders</w:t>
      </w:r>
    </w:p>
    <w:p>
      <w:pPr>
        <w:pStyle w:val="SourceEntry"/>
      </w:pPr>
      <w:r>
        <w:rPr>
          <w:b/>
          <w:i w:val="0"/>
          <w:color w:val="07131F"/>
          <w:sz w:val="17"/>
        </w:rPr>
        <w:t xml:space="preserve">[S18] </w:t>
      </w:r>
      <w:hyperlink r:id="rId31">
        <w:r>
          <w:rPr>
            <w:color w:val="2E74B5"/>
            <w:u w:val="single"/>
          </w:rPr>
          <w:t>Lloyd's, Digital Platform Providers</w:t>
        </w:r>
      </w:hyperlink>
      <w:r>
        <w:br/>
      </w:r>
      <w:r>
        <w:rPr>
          <w:b w:val="0"/>
          <w:i w:val="0"/>
          <w:color w:val="53606D"/>
          <w:sz w:val="15"/>
        </w:rPr>
        <w:t>https://www.lloyds.com/market-resources/delegated-authorities/digital-platform-providers</w:t>
      </w:r>
    </w:p>
    <w:p>
      <w:pPr>
        <w:pStyle w:val="SourceEntry"/>
      </w:pPr>
      <w:r>
        <w:rPr>
          <w:b/>
          <w:i w:val="0"/>
          <w:color w:val="07131F"/>
          <w:sz w:val="17"/>
        </w:rPr>
        <w:t xml:space="preserve">[S19] </w:t>
      </w:r>
      <w:hyperlink r:id="rId32">
        <w:r>
          <w:rPr>
            <w:color w:val="2E74B5"/>
            <w:u w:val="single"/>
          </w:rPr>
          <w:t>Lloyd's Lab, Guide for InsurTech Startups</w:t>
        </w:r>
      </w:hyperlink>
      <w:r>
        <w:br/>
      </w:r>
      <w:r>
        <w:rPr>
          <w:b w:val="0"/>
          <w:i w:val="0"/>
          <w:color w:val="53606D"/>
          <w:sz w:val="15"/>
        </w:rPr>
        <w:t>https://assets.lloyds.com/media/c237a0e3-45b1-49ce-b563-2a183cf52106/Lloyds-Lab_guide-for-insurtech-startups_digital.pdf</w:t>
      </w:r>
    </w:p>
    <w:p>
      <w:pPr>
        <w:pStyle w:val="SourceEntry"/>
      </w:pPr>
      <w:r>
        <w:rPr>
          <w:b/>
          <w:i w:val="0"/>
          <w:color w:val="07131F"/>
          <w:sz w:val="17"/>
        </w:rPr>
        <w:t xml:space="preserve">[S20] </w:t>
      </w:r>
      <w:hyperlink r:id="rId33">
        <w:r>
          <w:rPr>
            <w:color w:val="2E74B5"/>
            <w:u w:val="single"/>
          </w:rPr>
          <w:t>Lloyd's, Underwriting Profitability Principles</w:t>
        </w:r>
      </w:hyperlink>
      <w:r>
        <w:br/>
      </w:r>
      <w:r>
        <w:rPr>
          <w:b w:val="0"/>
          <w:i w:val="0"/>
          <w:color w:val="53606D"/>
          <w:sz w:val="15"/>
        </w:rPr>
        <w:t>https://www.lloyds.com/market-resources/market-oversight/principles-for-doing-business-at-lloyds/underwriting-profitability</w:t>
      </w:r>
    </w:p>
    <w:p>
      <w:pPr>
        <w:pStyle w:val="SourceEntry"/>
      </w:pPr>
      <w:r>
        <w:rPr>
          <w:b/>
          <w:i w:val="0"/>
          <w:color w:val="07131F"/>
          <w:sz w:val="17"/>
        </w:rPr>
        <w:t xml:space="preserve">[S21] </w:t>
      </w:r>
      <w:hyperlink r:id="rId34">
        <w:r>
          <w:rPr>
            <w:color w:val="2E74B5"/>
            <w:u w:val="single"/>
          </w:rPr>
          <w:t>Evertas, official site and licensed-broker notice</w:t>
        </w:r>
      </w:hyperlink>
      <w:r>
        <w:br/>
      </w:r>
      <w:r>
        <w:rPr>
          <w:b w:val="0"/>
          <w:i w:val="0"/>
          <w:color w:val="53606D"/>
          <w:sz w:val="15"/>
        </w:rPr>
        <w:t>https://evertas.com/news/a-note-on-fraud-evertas-policies-are-only-issued-through-licensed-brokers/</w:t>
      </w:r>
    </w:p>
    <w:p>
      <w:pPr>
        <w:pStyle w:val="SourceEntry"/>
      </w:pPr>
      <w:r>
        <w:rPr>
          <w:b/>
          <w:i w:val="0"/>
          <w:color w:val="07131F"/>
          <w:sz w:val="17"/>
        </w:rPr>
        <w:t xml:space="preserve">[S22] </w:t>
      </w:r>
      <w:hyperlink r:id="rId35">
        <w:r>
          <w:rPr>
            <w:color w:val="2E74B5"/>
            <w:u w:val="single"/>
          </w:rPr>
          <w:t>Aon, Digital Assets</w:t>
        </w:r>
      </w:hyperlink>
      <w:r>
        <w:br/>
      </w:r>
      <w:r>
        <w:rPr>
          <w:b w:val="0"/>
          <w:i w:val="0"/>
          <w:color w:val="53606D"/>
          <w:sz w:val="15"/>
        </w:rPr>
        <w:t>https://www.aon.com/en/capabilities/digital-assets</w:t>
      </w:r>
    </w:p>
    <w:p>
      <w:pPr>
        <w:pStyle w:val="SourceEntry"/>
      </w:pPr>
      <w:r>
        <w:rPr>
          <w:b/>
          <w:i w:val="0"/>
          <w:color w:val="07131F"/>
          <w:sz w:val="17"/>
        </w:rPr>
        <w:t xml:space="preserve">[S23] </w:t>
      </w:r>
      <w:hyperlink r:id="rId36">
        <w:r>
          <w:rPr>
            <w:color w:val="2E74B5"/>
            <w:u w:val="single"/>
          </w:rPr>
          <w:t>Marsh, Digital Asset Risk Transfer</w:t>
        </w:r>
      </w:hyperlink>
      <w:r>
        <w:br/>
      </w:r>
      <w:r>
        <w:rPr>
          <w:b w:val="0"/>
          <w:i w:val="0"/>
          <w:color w:val="53606D"/>
          <w:sz w:val="15"/>
        </w:rPr>
        <w:t>https://www.marsh.com/en-gb/services/financial-professional-liability/expertise/digital-risk-management.html</w:t>
      </w:r>
    </w:p>
    <w:p>
      <w:pPr>
        <w:pStyle w:val="SourceEntry"/>
      </w:pPr>
      <w:r>
        <w:rPr>
          <w:b/>
          <w:i w:val="0"/>
          <w:color w:val="07131F"/>
          <w:sz w:val="17"/>
        </w:rPr>
        <w:t xml:space="preserve">[S24] </w:t>
      </w:r>
      <w:hyperlink r:id="rId37">
        <w:r>
          <w:rPr>
            <w:color w:val="2E74B5"/>
            <w:u w:val="single"/>
          </w:rPr>
          <w:t>Munich Re, Digital Asset Protection</w:t>
        </w:r>
      </w:hyperlink>
      <w:r>
        <w:br/>
      </w:r>
      <w:r>
        <w:rPr>
          <w:b w:val="0"/>
          <w:i w:val="0"/>
          <w:color w:val="53606D"/>
          <w:sz w:val="15"/>
        </w:rPr>
        <w:t>https://www.munichre.com/en/solutions/for-industry-clients/crypto-cover.hsb.hsb.html</w:t>
      </w:r>
    </w:p>
    <w:p>
      <w:pPr>
        <w:pStyle w:val="SourceEntry"/>
      </w:pPr>
      <w:r>
        <w:rPr>
          <w:b/>
          <w:i w:val="0"/>
          <w:color w:val="07131F"/>
          <w:sz w:val="17"/>
        </w:rPr>
        <w:t xml:space="preserve">[S25] </w:t>
      </w:r>
      <w:hyperlink r:id="rId38">
        <w:r>
          <w:rPr>
            <w:color w:val="2E74B5"/>
            <w:u w:val="single"/>
          </w:rPr>
          <w:t>National Association of Insurance Commissioners, 2025 U.S. P&amp;C Industry Results</w:t>
        </w:r>
      </w:hyperlink>
      <w:r>
        <w:br/>
      </w:r>
      <w:r>
        <w:rPr>
          <w:b w:val="0"/>
          <w:i w:val="0"/>
          <w:color w:val="53606D"/>
          <w:sz w:val="15"/>
        </w:rPr>
        <w:t>https://content.naic.org/sites/default/files/2025-annual-property-and-casualty-and-title-insurance-industries-analysis-report.pdf</w:t>
      </w:r>
    </w:p>
    <w:p>
      <w:pPr>
        <w:pStyle w:val="SourceEntry"/>
      </w:pPr>
      <w:r>
        <w:rPr>
          <w:b/>
          <w:i w:val="0"/>
          <w:color w:val="07131F"/>
          <w:sz w:val="17"/>
        </w:rPr>
        <w:t xml:space="preserve">[S26] </w:t>
      </w:r>
      <w:hyperlink r:id="rId39">
        <w:r>
          <w:rPr>
            <w:color w:val="2E74B5"/>
            <w:u w:val="single"/>
          </w:rPr>
          <w:t>Lloyd's API Developer Portal</w:t>
        </w:r>
      </w:hyperlink>
      <w:r>
        <w:br/>
      </w:r>
      <w:r>
        <w:rPr>
          <w:b w:val="0"/>
          <w:i w:val="0"/>
          <w:color w:val="53606D"/>
          <w:sz w:val="15"/>
        </w:rPr>
        <w:t>https://api-devportal.lloyds.com/</w:t>
      </w:r>
    </w:p>
    <w:p>
      <w:pPr>
        <w:pStyle w:val="SourceEntry"/>
      </w:pPr>
      <w:r>
        <w:rPr>
          <w:b/>
          <w:i w:val="0"/>
          <w:color w:val="07131F"/>
          <w:sz w:val="17"/>
        </w:rPr>
        <w:t xml:space="preserve">[S27] </w:t>
      </w:r>
      <w:hyperlink r:id="rId40">
        <w:r>
          <w:rPr>
            <w:color w:val="2E74B5"/>
            <w:u w:val="single"/>
          </w:rPr>
          <w:t>Lloyd's Crystal+ API Frequently Asked Questions</w:t>
        </w:r>
      </w:hyperlink>
      <w:r>
        <w:br/>
      </w:r>
      <w:r>
        <w:rPr>
          <w:b w:val="0"/>
          <w:i w:val="0"/>
          <w:color w:val="53606D"/>
          <w:sz w:val="15"/>
        </w:rPr>
        <w:t>https://www.lloyds.com/conducting-business/crystal-plus/faqs/</w:t>
      </w:r>
    </w:p>
    <w:p>
      <w:pPr>
        <w:pStyle w:val="SourceEntry"/>
      </w:pPr>
      <w:r>
        <w:rPr>
          <w:b/>
          <w:i w:val="0"/>
          <w:color w:val="07131F"/>
          <w:sz w:val="17"/>
        </w:rPr>
        <w:t xml:space="preserve">[S28] </w:t>
      </w:r>
      <w:hyperlink r:id="rId41">
        <w:r>
          <w:rPr>
            <w:color w:val="2E74B5"/>
            <w:u w:val="single"/>
          </w:rPr>
          <w:t>Pennsylvania General Assembly, Senate Bill 245 status</w:t>
        </w:r>
      </w:hyperlink>
      <w:r>
        <w:br/>
      </w:r>
      <w:r>
        <w:rPr>
          <w:b w:val="0"/>
          <w:i w:val="0"/>
          <w:color w:val="53606D"/>
          <w:sz w:val="15"/>
        </w:rPr>
        <w:t>https://www.palegis.us/legislation/bills/2025/sb245</w:t>
      </w:r>
    </w:p>
    <w:p>
      <w:pPr>
        <w:pStyle w:val="Heading2"/>
        <w:keepNext/>
      </w:pPr>
      <w:r>
        <w:t>Fact versus recommendation</w:t>
      </w:r>
    </w:p>
    <w:p>
      <w:pPr>
        <w:spacing w:before="0" w:after="120" w:line="283" w:lineRule="auto"/>
        <w:keepLines/>
      </w:pPr>
      <w:r>
        <w:rPr>
          <w:b w:val="0"/>
          <w:i w:val="0"/>
        </w:rPr>
        <w:t>Regulatory requirements, agency descriptions, official contacts, and published industry figures are sourced facts. The recommended operating model, outreach order, first product wedge, 90-day sequence, and planning windows are strategic inferences based on those facts and CryptoSure's current DemoLand posture. Counsel, an actuary, brokers, and capacity providers must validate them.</w:t>
      </w:r>
    </w:p>
    <w:p>
      <w:pPr>
        <w:pStyle w:val="Heading2"/>
        <w:keepNext/>
      </w:pPr>
      <w:r>
        <w:t>Working definition</w:t>
      </w:r>
    </w:p>
    <w:p>
      <w:pPr>
        <w:spacing w:before="0" w:after="120" w:line="283" w:lineRule="auto"/>
        <w:keepLines/>
      </w:pPr>
      <w:r>
        <w:rPr>
          <w:b w:val="0"/>
          <w:i w:val="0"/>
        </w:rPr>
        <w:t>Carrier-backed pilot means the policy is issued by a licensed insurer or Lloyd's syndicate, with regulated reserves and contractual claim responsibility. CryptoSure may provide the interface, distribution, evidence, security rules, and program operations, but it does not call itself the insurer or use unstructured public liquidity to pay claims.</w:t>
      </w:r>
    </w:p>
    <w:p>
      <w:pPr>
        <w:spacing w:before="360" w:after="0" w:line="283" w:lineRule="auto"/>
        <w:jc w:val="center"/>
      </w:pPr>
      <w:r>
        <w:rPr>
          <w:b/>
          <w:i w:val="0"/>
          <w:color w:val="07131F"/>
          <w:sz w:val="22"/>
        </w:rPr>
        <w:t>Where crypto asset protection becomes a Sure thing through structure, evidence, and trust.</w:t>
      </w:r>
    </w:p>
    <w:sectPr w:rsidR="00FC693F" w:rsidRPr="0006063C" w:rsidSect="00034616">
      <w:footerReference w:type="default" r:id="rId9"/>
      <w:footerReference w:type="even" r:id="rId10"/>
      <w:pgSz w:w="12240" w:h="15840"/>
      <w:pgMar w:top="1123" w:right="1224" w:bottom="1037"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9792"/>
    </w:tblGrid>
    <w:tr>
      <w:tc>
        <w:tcPr>
          <w:tcW w:type="dxa" w:w="9792"/>
          <w:tcBorders>
            <w:top w:val="nil"/>
            <w:left w:val="nil"/>
            <w:bottom w:val="nil"/>
            <w:right w:val="nil"/>
            <w:insideH w:val="nil"/>
            <w:insideV w:val="nil"/>
          </w:tcBorders>
        </w:tcPr>
        <w:p>
          <w:pPr>
            <w:jc w:val="right"/>
          </w:pPr>
          <w:r>
            <w:rPr>
              <w:color w:val="53606D"/>
              <w:sz w:val="16"/>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9792"/>
    </w:tblGrid>
    <w:tr>
      <w:tc>
        <w:tcPr>
          <w:tcW w:type="dxa" w:w="9792"/>
          <w:tcBorders>
            <w:top w:val="nil"/>
            <w:left w:val="nil"/>
            <w:bottom w:val="nil"/>
            <w:right w:val="nil"/>
            <w:insideH w:val="nil"/>
            <w:insideV w:val="nil"/>
          </w:tcBorders>
        </w:tcPr>
        <w:p>
          <w:pPr>
            <w:jc w:val="right"/>
          </w:pPr>
          <w:r>
            <w:rPr>
              <w:color w:val="53606D"/>
              <w:sz w:val="16"/>
            </w:rPr>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7131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74"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contextualSpacing/>
    </w:pPr>
    <w:rPr>
      <w:rFonts w:ascii="Calibri" w:hAnsi="Calibri"/>
      <w:sz w:val="20"/>
    </w:rPr>
  </w:style>
  <w:style w:type="paragraph" w:styleId="ListNumber2">
    <w:name w:val="List Number 2"/>
    <w:basedOn w:val="Normal"/>
    <w:uiPriority w:val="99"/>
    <w:unhideWhenUsed/>
    <w:rsid w:val="0029639D"/>
    <w:pPr>
      <w:numPr>
        <w:numId w:val="6"/>
      </w:numPr>
      <w:spacing w:after="80" w:line="274" w:lineRule="auto"/>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pPr>
      <w:spacing w:after="100" w:line="259" w:lineRule="auto"/>
    </w:pPr>
    <w:rPr>
      <w:rFonts w:ascii="Calibri" w:hAnsi="Calibri"/>
      <w:color w:val="1720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hyperlink" Target="https://www.pa.gov/services/insurance/request-a-preliminary-review-of-a-new-insurance-product-keystone-smart-launch-program" TargetMode="External"/><Relationship Id="rId13" Type="http://schemas.openxmlformats.org/officeDocument/2006/relationships/hyperlink" Target="mailto:RA-IN-INNOVATEINTAKE@pa.gov" TargetMode="External"/><Relationship Id="rId14" Type="http://schemas.openxmlformats.org/officeDocument/2006/relationships/hyperlink" Target="https://paebrprod.powerappsportals.us/EBR/PID/Keystone-Smart-Launch-Idea-Portal/" TargetMode="External"/><Relationship Id="rId15" Type="http://schemas.openxmlformats.org/officeDocument/2006/relationships/hyperlink" Target="https://www.pa.gov/agencies/insurance/licensing/licensees/initial-insurance-producer-licensing-process" TargetMode="External"/><Relationship Id="rId16" Type="http://schemas.openxmlformats.org/officeDocument/2006/relationships/hyperlink" Target="https://www.pa.gov/agencies/insurance/licensing/licensees/apply-for-or-renew-your-producer-agent-license" TargetMode="External"/><Relationship Id="rId17" Type="http://schemas.openxmlformats.org/officeDocument/2006/relationships/hyperlink" Target="https://www.legis.state.pa.us/WU01/LI/LI/US/HTM/1921/0/0285.006A000..HTM" TargetMode="External"/><Relationship Id="rId18" Type="http://schemas.openxmlformats.org/officeDocument/2006/relationships/hyperlink" Target="https://www.pa.gov/content/dam/copapwp-pagov/en/insurance/documents/licensees/maintainyourlicense/documents/mga_app_instructions.pdf" TargetMode="External"/><Relationship Id="rId19" Type="http://schemas.openxmlformats.org/officeDocument/2006/relationships/hyperlink" Target="https://www.pa.gov/agencies/insurance/resources/company-resources/capital-surplus-requirements" TargetMode="External"/><Relationship Id="rId20" Type="http://schemas.openxmlformats.org/officeDocument/2006/relationships/hyperlink" Target="https://content.naic.org/industry/ucaa/primary-application" TargetMode="External"/><Relationship Id="rId21" Type="http://schemas.openxmlformats.org/officeDocument/2006/relationships/hyperlink" Target="https://www.pa.gov/agencies/insurance/filing-reporting-requirements/product-and-rate-filing-requirements/property-and-casualty-product-submission-checklists-product-requirements" TargetMode="External"/><Relationship Id="rId22" Type="http://schemas.openxmlformats.org/officeDocument/2006/relationships/hyperlink" Target="https://www.pa.gov/agencies/insurance/filing-reporting-requirements/financial-filing-requirements/surplus-lines-companies-filing" TargetMode="External"/><Relationship Id="rId23" Type="http://schemas.openxmlformats.org/officeDocument/2006/relationships/hyperlink" Target="https://www.pa.gov/agencies/insurance/laws-regulations-notices/act-2-2023-insurance-data-security" TargetMode="External"/><Relationship Id="rId24" Type="http://schemas.openxmlformats.org/officeDocument/2006/relationships/hyperlink" Target="https://www.sec.gov/resources-small-businesses/capital-raising-building-blocks/offering-pathways" TargetMode="External"/><Relationship Id="rId25" Type="http://schemas.openxmlformats.org/officeDocument/2006/relationships/hyperlink" Target="https://www.sec.gov/resources-small-businesses/capital-raising-building-blocks/general-solicitation" TargetMode="External"/><Relationship Id="rId26" Type="http://schemas.openxmlformats.org/officeDocument/2006/relationships/hyperlink" Target="https://www.sec.gov/newsroom/speeches-statements/corp-fin-statement-tokenized-securities-012826-statement-tokenized-securities" TargetMode="External"/><Relationship Id="rId27" Type="http://schemas.openxmlformats.org/officeDocument/2006/relationships/hyperlink" Target="https://www.pa.gov/agencies/dobs/securities/office-of-corporation-finance" TargetMode="External"/><Relationship Id="rId28" Type="http://schemas.openxmlformats.org/officeDocument/2006/relationships/hyperlink" Target="https://content.naic.org/insurance-topics/insurance-linked-securities" TargetMode="External"/><Relationship Id="rId29" Type="http://schemas.openxmlformats.org/officeDocument/2006/relationships/hyperlink" Target="https://www.lloyds.com/contact-us/new-insurance-enquiries" TargetMode="External"/><Relationship Id="rId30" Type="http://schemas.openxmlformats.org/officeDocument/2006/relationships/hyperlink" Target="https://www.lloyds.com/market-resources/delegated-authorities/coverholders" TargetMode="External"/><Relationship Id="rId31" Type="http://schemas.openxmlformats.org/officeDocument/2006/relationships/hyperlink" Target="https://www.lloyds.com/market-resources/delegated-authorities/digital-platform-providers" TargetMode="External"/><Relationship Id="rId32" Type="http://schemas.openxmlformats.org/officeDocument/2006/relationships/hyperlink" Target="https://assets.lloyds.com/media/c237a0e3-45b1-49ce-b563-2a183cf52106/Lloyds-Lab_guide-for-insurtech-startups_digital.pdf" TargetMode="External"/><Relationship Id="rId33" Type="http://schemas.openxmlformats.org/officeDocument/2006/relationships/hyperlink" Target="https://www.lloyds.com/market-resources/market-oversight/principles-for-doing-business-at-lloyds/underwriting-profitability" TargetMode="External"/><Relationship Id="rId34" Type="http://schemas.openxmlformats.org/officeDocument/2006/relationships/hyperlink" Target="https://evertas.com/news/a-note-on-fraud-evertas-policies-are-only-issued-through-licensed-brokers/" TargetMode="External"/><Relationship Id="rId35" Type="http://schemas.openxmlformats.org/officeDocument/2006/relationships/hyperlink" Target="https://www.aon.com/en/capabilities/digital-assets" TargetMode="External"/><Relationship Id="rId36" Type="http://schemas.openxmlformats.org/officeDocument/2006/relationships/hyperlink" Target="https://www.marsh.com/en-gb/services/financial-professional-liability/expertise/digital-risk-management.html" TargetMode="External"/><Relationship Id="rId37" Type="http://schemas.openxmlformats.org/officeDocument/2006/relationships/hyperlink" Target="https://www.munichre.com/en/solutions/for-industry-clients/crypto-cover.hsb.hsb.html" TargetMode="External"/><Relationship Id="rId38" Type="http://schemas.openxmlformats.org/officeDocument/2006/relationships/hyperlink" Target="https://content.naic.org/sites/default/files/2025-annual-property-and-casualty-and-title-insurance-industries-analysis-report.pdf" TargetMode="External"/><Relationship Id="rId39" Type="http://schemas.openxmlformats.org/officeDocument/2006/relationships/hyperlink" Target="https://api-devportal.lloyds.com/" TargetMode="External"/><Relationship Id="rId40" Type="http://schemas.openxmlformats.org/officeDocument/2006/relationships/hyperlink" Target="https://www.lloyds.com/conducting-business/crystal-plus/faqs/" TargetMode="External"/><Relationship Id="rId41" Type="http://schemas.openxmlformats.org/officeDocument/2006/relationships/hyperlink" Target="https://www.palegis.us/legislation/bills/2025/sb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CryptoSure Getting Started Guide</dc:title>
  <dc:subject>Pennsylvania regulatory, partner, capital, and 90-day launch strategy</dc:subject>
  <dc:creator>CryptoSure</dc:creator>
  <cp:keywords>CryptoSure, insurance, crypto, Pennsylvania, Keystone Smart Launch, producer, MGA, carrier, reinsurance</cp:keywords>
  <dc:description>Founder working guide. Research current to August 6, 2026.</dc:description>
  <cp:lastModifiedBy/>
  <cp:revision>1</cp:revision>
  <dcterms:created xsi:type="dcterms:W3CDTF">2013-12-23T23:15:00Z</dcterms:created>
  <dcterms:modified xsi:type="dcterms:W3CDTF">2013-12-23T23:15:00Z</dcterms:modified>
  <cp:category/>
</cp:coreProperties>
</file>