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9ED" w:rsidRDefault="002579ED" w:rsidP="002579ED">
      <w:pPr>
        <w:widowControl/>
        <w:shd w:val="clear" w:color="auto" w:fill="FFFFFF"/>
        <w:spacing w:line="300" w:lineRule="atLeast"/>
        <w:ind w:firstLine="320"/>
        <w:jc w:val="center"/>
        <w:rPr>
          <w:rFonts w:ascii="仿宋_GB2312" w:eastAsia="仿宋_GB2312" w:hAnsi="微软雅黑" w:cs="宋体" w:hint="eastAsia"/>
          <w:color w:val="000000"/>
          <w:kern w:val="0"/>
          <w:sz w:val="28"/>
          <w:szCs w:val="28"/>
        </w:rPr>
      </w:pPr>
      <w:r>
        <w:rPr>
          <w:rFonts w:ascii="微软雅黑" w:eastAsia="微软雅黑" w:hAnsi="微软雅黑" w:hint="eastAsia"/>
          <w:b/>
          <w:bCs/>
          <w:color w:val="333333"/>
          <w:sz w:val="26"/>
          <w:szCs w:val="26"/>
        </w:rPr>
        <w:t>关于发布财务报表数据转换接口规范的通知</w:t>
      </w:r>
    </w:p>
    <w:p w:rsid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为贯彻落实国务院关于深化“放管服”改革和优化营商环境的要求，根据《</w:t>
      </w:r>
      <w:hyperlink r:id="rId4" w:tgtFrame="_blank" w:tooltip="关于发布财务报表数据转换参考标准及完善网上办税系统的通知" w:history="1">
        <w:r w:rsidRPr="002579ED">
          <w:rPr>
            <w:rFonts w:ascii="仿宋_GB2312" w:eastAsia="仿宋_GB2312" w:hAnsi="微软雅黑" w:cs="宋体" w:hint="eastAsia"/>
            <w:kern w:val="0"/>
            <w:sz w:val="28"/>
            <w:szCs w:val="28"/>
          </w:rPr>
          <w:t>国家税务总局关于发布财务报表数据转换参考标准及完善网上办税系统的通知</w:t>
        </w:r>
      </w:hyperlink>
      <w:r w:rsidRPr="002579ED">
        <w:rPr>
          <w:rFonts w:ascii="仿宋_GB2312" w:eastAsia="仿宋_GB2312" w:hAnsi="微软雅黑" w:cs="宋体" w:hint="eastAsia"/>
          <w:color w:val="000000"/>
          <w:kern w:val="0"/>
          <w:sz w:val="28"/>
          <w:szCs w:val="28"/>
        </w:rPr>
        <w:t>》（税总发〔2018〕32号）的有关要求，我局优化完善网上办税系统，于4月30日正式启用财务报表数据转换功能，实现网上办税系统与企业财务软件的自动对接，提升办税效率，降低办税成本。现将有关事项通告如下：</w:t>
      </w: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一、财务报表种类</w:t>
      </w: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该功能适用的财务报表种类如下：</w:t>
      </w:r>
    </w:p>
    <w:tbl>
      <w:tblPr>
        <w:tblW w:w="6588" w:type="dxa"/>
        <w:tblCellSpacing w:w="0" w:type="dxa"/>
        <w:tblCellMar>
          <w:left w:w="0" w:type="dxa"/>
          <w:right w:w="0" w:type="dxa"/>
        </w:tblCellMar>
        <w:tblLook w:val="04A0"/>
      </w:tblPr>
      <w:tblGrid>
        <w:gridCol w:w="2504"/>
        <w:gridCol w:w="1928"/>
        <w:gridCol w:w="2156"/>
      </w:tblGrid>
      <w:tr w:rsidR="002579ED" w:rsidRPr="002579ED" w:rsidTr="002579ED">
        <w:trPr>
          <w:trHeight w:val="372"/>
          <w:tblCellSpacing w:w="0" w:type="dxa"/>
        </w:trPr>
        <w:tc>
          <w:tcPr>
            <w:tcW w:w="250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b/>
                <w:bCs/>
                <w:color w:val="000000"/>
                <w:kern w:val="0"/>
                <w:sz w:val="28"/>
                <w:szCs w:val="28"/>
              </w:rPr>
              <w:t>财务报表报送种类</w:t>
            </w:r>
          </w:p>
        </w:tc>
        <w:tc>
          <w:tcPr>
            <w:tcW w:w="1932" w:type="dxa"/>
            <w:tcBorders>
              <w:top w:val="single" w:sz="4" w:space="0" w:color="auto"/>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b/>
                <w:bCs/>
                <w:color w:val="000000"/>
                <w:kern w:val="0"/>
                <w:sz w:val="28"/>
                <w:szCs w:val="28"/>
              </w:rPr>
              <w:t>季度报表报送要求</w:t>
            </w:r>
          </w:p>
        </w:tc>
        <w:tc>
          <w:tcPr>
            <w:tcW w:w="2160" w:type="dxa"/>
            <w:tcBorders>
              <w:top w:val="single" w:sz="4" w:space="0" w:color="auto"/>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b/>
                <w:bCs/>
                <w:color w:val="000000"/>
                <w:kern w:val="0"/>
                <w:sz w:val="28"/>
                <w:szCs w:val="28"/>
              </w:rPr>
              <w:t>年度报表报送要求</w:t>
            </w:r>
          </w:p>
        </w:tc>
      </w:tr>
      <w:tr w:rsidR="002579ED" w:rsidRPr="002579ED" w:rsidTr="002579ED">
        <w:trPr>
          <w:trHeight w:val="708"/>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企业会计准则（一般企业）财务报表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r w:rsidRPr="002579ED">
              <w:rPr>
                <w:rFonts w:ascii="仿宋_GB2312" w:eastAsia="仿宋_GB2312" w:hAnsi="微软雅黑" w:cs="宋体" w:hint="eastAsia"/>
                <w:color w:val="000000"/>
                <w:kern w:val="0"/>
                <w:sz w:val="28"/>
                <w:szCs w:val="28"/>
              </w:rPr>
              <w:br/>
              <w:t>现金流量表</w:t>
            </w:r>
            <w:r w:rsidRPr="002579ED">
              <w:rPr>
                <w:rFonts w:ascii="仿宋_GB2312" w:eastAsia="仿宋_GB2312" w:hAnsi="微软雅黑" w:cs="宋体" w:hint="eastAsia"/>
                <w:color w:val="000000"/>
                <w:kern w:val="0"/>
                <w:sz w:val="28"/>
                <w:szCs w:val="28"/>
              </w:rPr>
              <w:br/>
              <w:t>所有者权益变动表</w:t>
            </w:r>
          </w:p>
        </w:tc>
      </w:tr>
      <w:tr w:rsidR="002579ED" w:rsidRPr="002579ED" w:rsidTr="002579ED">
        <w:trPr>
          <w:trHeight w:val="660"/>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企业会计准则（商业银行）财务报表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r w:rsidRPr="002579ED">
              <w:rPr>
                <w:rFonts w:ascii="仿宋_GB2312" w:eastAsia="仿宋_GB2312" w:hAnsi="微软雅黑" w:cs="宋体" w:hint="eastAsia"/>
                <w:color w:val="000000"/>
                <w:kern w:val="0"/>
                <w:sz w:val="28"/>
                <w:szCs w:val="28"/>
              </w:rPr>
              <w:br/>
              <w:t>现金流量表</w:t>
            </w:r>
            <w:r w:rsidRPr="002579ED">
              <w:rPr>
                <w:rFonts w:ascii="仿宋_GB2312" w:eastAsia="仿宋_GB2312" w:hAnsi="微软雅黑" w:cs="宋体" w:hint="eastAsia"/>
                <w:color w:val="000000"/>
                <w:kern w:val="0"/>
                <w:sz w:val="28"/>
                <w:szCs w:val="28"/>
              </w:rPr>
              <w:br/>
              <w:t>所有者权益变动表</w:t>
            </w:r>
          </w:p>
        </w:tc>
      </w:tr>
      <w:tr w:rsidR="002579ED" w:rsidRPr="002579ED" w:rsidTr="002579ED">
        <w:trPr>
          <w:trHeight w:val="672"/>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lastRenderedPageBreak/>
              <w:t>企业会计准则（证券公司）财务报表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r w:rsidRPr="002579ED">
              <w:rPr>
                <w:rFonts w:ascii="仿宋_GB2312" w:eastAsia="仿宋_GB2312" w:hAnsi="微软雅黑" w:cs="宋体" w:hint="eastAsia"/>
                <w:color w:val="000000"/>
                <w:kern w:val="0"/>
                <w:sz w:val="28"/>
                <w:szCs w:val="28"/>
              </w:rPr>
              <w:br/>
              <w:t>现金流量表</w:t>
            </w:r>
            <w:r w:rsidRPr="002579ED">
              <w:rPr>
                <w:rFonts w:ascii="仿宋_GB2312" w:eastAsia="仿宋_GB2312" w:hAnsi="微软雅黑" w:cs="宋体" w:hint="eastAsia"/>
                <w:color w:val="000000"/>
                <w:kern w:val="0"/>
                <w:sz w:val="28"/>
                <w:szCs w:val="28"/>
              </w:rPr>
              <w:br/>
              <w:t>所有者权益变动表</w:t>
            </w:r>
          </w:p>
        </w:tc>
      </w:tr>
      <w:tr w:rsidR="002579ED" w:rsidRPr="002579ED" w:rsidTr="002579ED">
        <w:trPr>
          <w:trHeight w:val="840"/>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企业会计准则（保险公司）财务报表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r w:rsidRPr="002579ED">
              <w:rPr>
                <w:rFonts w:ascii="仿宋_GB2312" w:eastAsia="仿宋_GB2312" w:hAnsi="微软雅黑" w:cs="宋体" w:hint="eastAsia"/>
                <w:color w:val="000000"/>
                <w:kern w:val="0"/>
                <w:sz w:val="28"/>
                <w:szCs w:val="28"/>
              </w:rPr>
              <w:br/>
              <w:t>现金流量表</w:t>
            </w:r>
            <w:r w:rsidRPr="002579ED">
              <w:rPr>
                <w:rFonts w:ascii="仿宋_GB2312" w:eastAsia="仿宋_GB2312" w:hAnsi="微软雅黑" w:cs="宋体" w:hint="eastAsia"/>
                <w:color w:val="000000"/>
                <w:kern w:val="0"/>
                <w:sz w:val="28"/>
                <w:szCs w:val="28"/>
              </w:rPr>
              <w:br/>
              <w:t>所有者权益变动表</w:t>
            </w:r>
          </w:p>
        </w:tc>
      </w:tr>
      <w:tr w:rsidR="002579ED" w:rsidRPr="002579ED" w:rsidTr="002579ED">
        <w:trPr>
          <w:trHeight w:val="840"/>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小企业会计准则财务报表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利润表月报</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利润表年报</w:t>
            </w:r>
            <w:r w:rsidRPr="002579ED">
              <w:rPr>
                <w:rFonts w:ascii="仿宋_GB2312" w:eastAsia="仿宋_GB2312" w:hAnsi="微软雅黑" w:cs="宋体" w:hint="eastAsia"/>
                <w:color w:val="000000"/>
                <w:kern w:val="0"/>
                <w:sz w:val="28"/>
                <w:szCs w:val="28"/>
              </w:rPr>
              <w:br/>
              <w:t>现金流量表年报</w:t>
            </w:r>
          </w:p>
        </w:tc>
      </w:tr>
      <w:tr w:rsidR="002579ED" w:rsidRPr="002579ED" w:rsidTr="002579ED">
        <w:trPr>
          <w:trHeight w:val="720"/>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事业单位会计制度财务报表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收入支出表_月报</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收入支出表年报</w:t>
            </w:r>
            <w:r w:rsidRPr="002579ED">
              <w:rPr>
                <w:rFonts w:ascii="仿宋_GB2312" w:eastAsia="仿宋_GB2312" w:hAnsi="微软雅黑" w:cs="宋体" w:hint="eastAsia"/>
                <w:color w:val="000000"/>
                <w:kern w:val="0"/>
                <w:sz w:val="28"/>
                <w:szCs w:val="28"/>
              </w:rPr>
              <w:br/>
              <w:t>财政补助收入支出表</w:t>
            </w:r>
          </w:p>
        </w:tc>
      </w:tr>
      <w:tr w:rsidR="002579ED" w:rsidRPr="002579ED" w:rsidTr="002579ED">
        <w:trPr>
          <w:trHeight w:val="648"/>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企业会计制度财务报表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利润表月报</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利润表</w:t>
            </w:r>
            <w:r w:rsidRPr="002579ED">
              <w:rPr>
                <w:rFonts w:ascii="仿宋_GB2312" w:eastAsia="仿宋_GB2312" w:hAnsi="微软雅黑" w:cs="宋体" w:hint="eastAsia"/>
                <w:color w:val="000000"/>
                <w:kern w:val="0"/>
                <w:sz w:val="28"/>
                <w:szCs w:val="28"/>
              </w:rPr>
              <w:br/>
              <w:t>现金流量表</w:t>
            </w:r>
            <w:r w:rsidRPr="002579ED">
              <w:rPr>
                <w:rFonts w:ascii="仿宋_GB2312" w:eastAsia="仿宋_GB2312" w:hAnsi="微软雅黑" w:cs="宋体" w:hint="eastAsia"/>
                <w:color w:val="000000"/>
                <w:kern w:val="0"/>
                <w:sz w:val="28"/>
                <w:szCs w:val="28"/>
              </w:rPr>
              <w:br/>
              <w:t>所有者权益变动表</w:t>
            </w:r>
          </w:p>
        </w:tc>
      </w:tr>
      <w:tr w:rsidR="002579ED" w:rsidRPr="002579ED" w:rsidTr="002579ED">
        <w:trPr>
          <w:trHeight w:val="720"/>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lastRenderedPageBreak/>
              <w:t>农民专业合作社财务会计制度财务报表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盈余及盈余分配表</w:t>
            </w:r>
            <w:r w:rsidRPr="002579ED">
              <w:rPr>
                <w:rFonts w:ascii="仿宋_GB2312" w:eastAsia="仿宋_GB2312" w:hAnsi="微软雅黑" w:cs="宋体" w:hint="eastAsia"/>
                <w:color w:val="000000"/>
                <w:kern w:val="0"/>
                <w:sz w:val="28"/>
                <w:szCs w:val="28"/>
              </w:rPr>
              <w:br/>
              <w:t>成员权益变动表</w:t>
            </w:r>
          </w:p>
        </w:tc>
      </w:tr>
      <w:tr w:rsidR="002579ED" w:rsidRPr="002579ED" w:rsidTr="002579ED">
        <w:trPr>
          <w:trHeight w:val="504"/>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村集体经济组织财务报表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p>
        </w:tc>
      </w:tr>
      <w:tr w:rsidR="002579ED" w:rsidRPr="002579ED" w:rsidTr="002579ED">
        <w:trPr>
          <w:trHeight w:val="648"/>
          <w:tblCellSpacing w:w="0" w:type="dxa"/>
        </w:trPr>
        <w:tc>
          <w:tcPr>
            <w:tcW w:w="2508" w:type="dxa"/>
            <w:tcBorders>
              <w:top w:val="nil"/>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民间非营利组织会计制度财务报表</w:t>
            </w:r>
          </w:p>
        </w:tc>
        <w:tc>
          <w:tcPr>
            <w:tcW w:w="1932"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p>
        </w:tc>
        <w:tc>
          <w:tcPr>
            <w:tcW w:w="2160"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hideMark/>
          </w:tcPr>
          <w:p w:rsidR="002579ED" w:rsidRPr="002579ED" w:rsidRDefault="002579ED" w:rsidP="002579ED">
            <w:pPr>
              <w:widowControl/>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资产负债表</w:t>
            </w:r>
            <w:r w:rsidRPr="002579ED">
              <w:rPr>
                <w:rFonts w:ascii="仿宋_GB2312" w:eastAsia="仿宋_GB2312" w:hAnsi="微软雅黑" w:cs="宋体" w:hint="eastAsia"/>
                <w:color w:val="000000"/>
                <w:kern w:val="0"/>
                <w:sz w:val="28"/>
                <w:szCs w:val="28"/>
              </w:rPr>
              <w:br/>
              <w:t>业务活动表</w:t>
            </w:r>
            <w:r w:rsidRPr="002579ED">
              <w:rPr>
                <w:rFonts w:ascii="仿宋_GB2312" w:eastAsia="仿宋_GB2312" w:hAnsi="微软雅黑" w:cs="宋体" w:hint="eastAsia"/>
                <w:color w:val="000000"/>
                <w:kern w:val="0"/>
                <w:sz w:val="28"/>
                <w:szCs w:val="28"/>
              </w:rPr>
              <w:br/>
              <w:t>现金流量表年报</w:t>
            </w:r>
          </w:p>
        </w:tc>
      </w:tr>
    </w:tbl>
    <w:p w:rsidR="002579ED" w:rsidRPr="002579ED" w:rsidRDefault="002579ED" w:rsidP="002579ED">
      <w:pPr>
        <w:widowControl/>
        <w:shd w:val="clear" w:color="auto" w:fill="FFFFFF"/>
        <w:spacing w:line="300" w:lineRule="atLeast"/>
        <w:ind w:firstLine="28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2E2E2E"/>
          <w:kern w:val="0"/>
          <w:sz w:val="28"/>
          <w:szCs w:val="28"/>
        </w:rPr>
        <w:t>二、</w:t>
      </w:r>
      <w:r w:rsidRPr="002579ED">
        <w:rPr>
          <w:rFonts w:ascii="仿宋_GB2312" w:eastAsia="仿宋_GB2312" w:hAnsi="微软雅黑" w:cs="宋体" w:hint="eastAsia"/>
          <w:color w:val="000000"/>
          <w:kern w:val="0"/>
          <w:sz w:val="28"/>
          <w:szCs w:val="28"/>
        </w:rPr>
        <w:t>财务软件对接条件</w:t>
      </w: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纳税人可根据我局公开的财务报表数据转换接口规范改造升级企业的ERP软件，生成符合标准的申报数据。</w:t>
      </w: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三、财务软件对接方式</w:t>
      </w: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1.在我市网上税务局——我要办税——表报报送——财务报表接口授权申请模块申请授权码，该授权码用于纳税人身份识别，在调用财务报表数据转换接口时写入。</w:t>
      </w: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2.接口应用详见附件“财务报表数据转换功能的接口文档”（包括接口规范、报文示例和操作说明）及“参考数据标准”。接口规范按财务会计报表种类分列，包括本市在用的10类财务会计报表样式；参考数据标准为财务报表电子表样，与接口规范相对应。</w:t>
      </w: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四、该功能启用后，纳税人仍可使用原有方式报送财务报表。</w:t>
      </w:r>
    </w:p>
    <w:p w:rsidR="002579ED" w:rsidRPr="002579ED" w:rsidRDefault="002579ED" w:rsidP="002579ED">
      <w:pPr>
        <w:widowControl/>
        <w:shd w:val="clear" w:color="auto" w:fill="FFFFFF"/>
        <w:spacing w:line="300" w:lineRule="atLeast"/>
        <w:ind w:firstLine="320"/>
        <w:jc w:val="left"/>
        <w:rPr>
          <w:rFonts w:ascii="仿宋_GB2312" w:eastAsia="仿宋_GB2312" w:hAnsi="微软雅黑" w:cs="宋体" w:hint="eastAsia"/>
          <w:color w:val="000000"/>
          <w:kern w:val="0"/>
          <w:sz w:val="28"/>
          <w:szCs w:val="28"/>
        </w:rPr>
      </w:pPr>
      <w:r w:rsidRPr="002579ED">
        <w:rPr>
          <w:rFonts w:ascii="仿宋_GB2312" w:eastAsia="仿宋_GB2312" w:hAnsi="微软雅黑" w:cs="宋体" w:hint="eastAsia"/>
          <w:color w:val="000000"/>
          <w:kern w:val="0"/>
          <w:sz w:val="28"/>
          <w:szCs w:val="28"/>
        </w:rPr>
        <w:t>特此通告。</w:t>
      </w:r>
    </w:p>
    <w:p w:rsidR="00783390" w:rsidRPr="002579ED" w:rsidRDefault="00783390">
      <w:pPr>
        <w:rPr>
          <w:rFonts w:ascii="仿宋_GB2312" w:eastAsia="仿宋_GB2312" w:hint="eastAsia"/>
          <w:sz w:val="28"/>
          <w:szCs w:val="28"/>
        </w:rPr>
      </w:pPr>
    </w:p>
    <w:sectPr w:rsidR="00783390" w:rsidRPr="002579ED" w:rsidSect="007833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79ED"/>
    <w:rsid w:val="002579ED"/>
    <w:rsid w:val="007833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3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579ED"/>
    <w:rPr>
      <w:strike w:val="0"/>
      <w:dstrike w:val="0"/>
      <w:color w:val="000000"/>
      <w:sz w:val="14"/>
      <w:szCs w:val="14"/>
      <w:u w:val="none"/>
      <w:effect w:val="none"/>
    </w:rPr>
  </w:style>
  <w:style w:type="paragraph" w:styleId="a4">
    <w:name w:val="Normal (Web)"/>
    <w:basedOn w:val="a"/>
    <w:uiPriority w:val="99"/>
    <w:unhideWhenUsed/>
    <w:rsid w:val="002579ED"/>
    <w:pPr>
      <w:widowControl/>
      <w:jc w:val="left"/>
    </w:pPr>
    <w:rPr>
      <w:rFonts w:ascii="微软雅黑" w:eastAsia="微软雅黑" w:hAnsi="微软雅黑" w:cs="宋体"/>
      <w:color w:val="000000"/>
      <w:kern w:val="0"/>
      <w:sz w:val="14"/>
      <w:szCs w:val="14"/>
    </w:rPr>
  </w:style>
  <w:style w:type="character" w:styleId="a5">
    <w:name w:val="Strong"/>
    <w:basedOn w:val="a0"/>
    <w:uiPriority w:val="22"/>
    <w:qFormat/>
    <w:rsid w:val="002579ED"/>
    <w:rPr>
      <w:b/>
      <w:bCs/>
    </w:rPr>
  </w:style>
</w:styles>
</file>

<file path=word/webSettings.xml><?xml version="1.0" encoding="utf-8"?>
<w:webSettings xmlns:r="http://schemas.openxmlformats.org/officeDocument/2006/relationships" xmlns:w="http://schemas.openxmlformats.org/wordprocessingml/2006/main">
  <w:divs>
    <w:div w:id="127210949">
      <w:bodyDiv w:val="1"/>
      <w:marLeft w:val="0"/>
      <w:marRight w:val="0"/>
      <w:marTop w:val="0"/>
      <w:marBottom w:val="0"/>
      <w:divBdr>
        <w:top w:val="none" w:sz="0" w:space="0" w:color="auto"/>
        <w:left w:val="none" w:sz="0" w:space="0" w:color="auto"/>
        <w:bottom w:val="none" w:sz="0" w:space="0" w:color="auto"/>
        <w:right w:val="none" w:sz="0" w:space="0" w:color="auto"/>
      </w:divBdr>
      <w:divsChild>
        <w:div w:id="1866749034">
          <w:marLeft w:val="0"/>
          <w:marRight w:val="0"/>
          <w:marTop w:val="0"/>
          <w:marBottom w:val="0"/>
          <w:divBdr>
            <w:top w:val="none" w:sz="0" w:space="0" w:color="auto"/>
            <w:left w:val="none" w:sz="0" w:space="0" w:color="auto"/>
            <w:bottom w:val="none" w:sz="0" w:space="0" w:color="auto"/>
            <w:right w:val="none" w:sz="0" w:space="0" w:color="auto"/>
          </w:divBdr>
          <w:divsChild>
            <w:div w:id="1961183750">
              <w:marLeft w:val="0"/>
              <w:marRight w:val="0"/>
              <w:marTop w:val="0"/>
              <w:marBottom w:val="0"/>
              <w:divBdr>
                <w:top w:val="none" w:sz="0" w:space="0" w:color="auto"/>
                <w:left w:val="none" w:sz="0" w:space="0" w:color="auto"/>
                <w:bottom w:val="none" w:sz="0" w:space="0" w:color="auto"/>
                <w:right w:val="none" w:sz="0" w:space="0" w:color="auto"/>
              </w:divBdr>
              <w:divsChild>
                <w:div w:id="1188369836">
                  <w:marLeft w:val="0"/>
                  <w:marRight w:val="0"/>
                  <w:marTop w:val="0"/>
                  <w:marBottom w:val="0"/>
                  <w:divBdr>
                    <w:top w:val="none" w:sz="0" w:space="0" w:color="auto"/>
                    <w:left w:val="none" w:sz="0" w:space="0" w:color="auto"/>
                    <w:bottom w:val="none" w:sz="0" w:space="0" w:color="auto"/>
                    <w:right w:val="none" w:sz="0" w:space="0" w:color="auto"/>
                  </w:divBdr>
                  <w:divsChild>
                    <w:div w:id="1315793639">
                      <w:marLeft w:val="0"/>
                      <w:marRight w:val="0"/>
                      <w:marTop w:val="100"/>
                      <w:marBottom w:val="100"/>
                      <w:divBdr>
                        <w:top w:val="none" w:sz="0" w:space="0" w:color="auto"/>
                        <w:left w:val="none" w:sz="0" w:space="0" w:color="auto"/>
                        <w:bottom w:val="none" w:sz="0" w:space="0" w:color="auto"/>
                        <w:right w:val="none" w:sz="0" w:space="0" w:color="auto"/>
                      </w:divBdr>
                      <w:divsChild>
                        <w:div w:id="766804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ax.sh.gov.cn/pub/xxgk/zcfg/nsfw/201803/t20180330_43767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Orange</dc:creator>
  <cp:lastModifiedBy> </cp:lastModifiedBy>
  <cp:revision>1</cp:revision>
  <dcterms:created xsi:type="dcterms:W3CDTF">2018-07-12T03:44:00Z</dcterms:created>
  <dcterms:modified xsi:type="dcterms:W3CDTF">2018-07-12T03:45:00Z</dcterms:modified>
</cp:coreProperties>
</file>