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41101" w14:textId="77777777" w:rsidR="00F41CD3" w:rsidRPr="007915F2" w:rsidRDefault="00F41CD3" w:rsidP="00D61CD6">
      <w:pPr>
        <w:spacing w:after="0" w:line="240" w:lineRule="auto"/>
        <w:rPr>
          <w:rFonts w:ascii="Garamond" w:hAnsi="Garamond"/>
          <w:b/>
          <w:sz w:val="24"/>
          <w:szCs w:val="24"/>
        </w:rPr>
      </w:pPr>
      <w:r w:rsidRPr="007915F2">
        <w:rPr>
          <w:rFonts w:ascii="Garamond" w:hAnsi="Garamond"/>
          <w:b/>
          <w:sz w:val="24"/>
          <w:szCs w:val="24"/>
        </w:rPr>
        <w:t xml:space="preserve">Does Supply Chain </w:t>
      </w:r>
      <w:r w:rsidR="00A92E8E" w:rsidRPr="007915F2">
        <w:rPr>
          <w:rFonts w:ascii="Garamond" w:hAnsi="Garamond"/>
          <w:b/>
          <w:sz w:val="24"/>
          <w:szCs w:val="24"/>
        </w:rPr>
        <w:t xml:space="preserve">Network </w:t>
      </w:r>
      <w:r w:rsidRPr="007915F2">
        <w:rPr>
          <w:rFonts w:ascii="Garamond" w:hAnsi="Garamond"/>
          <w:b/>
          <w:sz w:val="24"/>
          <w:szCs w:val="24"/>
        </w:rPr>
        <w:t>Affect Firms Performance?</w:t>
      </w:r>
    </w:p>
    <w:p w14:paraId="20BCFD66" w14:textId="1A9CB9B0" w:rsidR="00846774" w:rsidRDefault="00846774" w:rsidP="00D61CD6">
      <w:pPr>
        <w:spacing w:after="0" w:line="240" w:lineRule="auto"/>
        <w:jc w:val="both"/>
        <w:rPr>
          <w:rFonts w:ascii="Garamond" w:hAnsi="Garamond"/>
          <w:sz w:val="24"/>
          <w:szCs w:val="24"/>
        </w:rPr>
      </w:pPr>
    </w:p>
    <w:p w14:paraId="65DF9AE2" w14:textId="77777777" w:rsidR="00297C27" w:rsidRPr="006D0A54" w:rsidRDefault="00297C27" w:rsidP="00297C27">
      <w:pPr>
        <w:spacing w:after="0" w:line="240" w:lineRule="auto"/>
        <w:jc w:val="center"/>
        <w:rPr>
          <w:rFonts w:ascii="Garamond" w:hAnsi="Garamond"/>
          <w:i/>
          <w:sz w:val="24"/>
          <w:szCs w:val="24"/>
        </w:rPr>
      </w:pPr>
      <w:r w:rsidRPr="006D0A54">
        <w:rPr>
          <w:rFonts w:ascii="Garamond" w:hAnsi="Garamond"/>
          <w:i/>
          <w:sz w:val="24"/>
          <w:szCs w:val="24"/>
        </w:rPr>
        <w:t>‘for consideration for JPSM learning from the pandemic special issue’</w:t>
      </w:r>
    </w:p>
    <w:p w14:paraId="456FAADD" w14:textId="77777777" w:rsidR="00D73027" w:rsidRDefault="00D73027" w:rsidP="00D61CD6">
      <w:pPr>
        <w:spacing w:after="0" w:line="240" w:lineRule="auto"/>
        <w:jc w:val="both"/>
        <w:rPr>
          <w:rFonts w:ascii="Garamond" w:hAnsi="Garamond"/>
          <w:b/>
          <w:sz w:val="24"/>
          <w:szCs w:val="24"/>
        </w:rPr>
      </w:pPr>
      <w:bookmarkStart w:id="0" w:name="_GoBack"/>
      <w:bookmarkEnd w:id="0"/>
    </w:p>
    <w:p w14:paraId="1F0C8876" w14:textId="734F54A8" w:rsidR="004C0B4E" w:rsidRPr="007915F2" w:rsidRDefault="00E51F3B" w:rsidP="00D61CD6">
      <w:pPr>
        <w:spacing w:after="0" w:line="240" w:lineRule="auto"/>
        <w:jc w:val="both"/>
        <w:rPr>
          <w:rFonts w:ascii="Garamond" w:hAnsi="Garamond"/>
          <w:sz w:val="24"/>
          <w:szCs w:val="24"/>
        </w:rPr>
      </w:pPr>
      <w:r w:rsidRPr="007915F2">
        <w:rPr>
          <w:rFonts w:ascii="Garamond" w:hAnsi="Garamond"/>
          <w:b/>
          <w:sz w:val="24"/>
          <w:szCs w:val="24"/>
        </w:rPr>
        <w:t>Abstract</w:t>
      </w:r>
      <w:r w:rsidRPr="007915F2">
        <w:rPr>
          <w:rFonts w:ascii="Garamond" w:hAnsi="Garamond"/>
          <w:sz w:val="24"/>
          <w:szCs w:val="24"/>
        </w:rPr>
        <w:t>:</w:t>
      </w:r>
    </w:p>
    <w:p w14:paraId="5605B69D" w14:textId="51B2B139" w:rsidR="00EE7B59" w:rsidRDefault="00EE7B59" w:rsidP="00D61CD6">
      <w:pPr>
        <w:spacing w:after="0" w:line="240" w:lineRule="auto"/>
        <w:jc w:val="both"/>
        <w:rPr>
          <w:rFonts w:ascii="Garamond" w:hAnsi="Garamond"/>
          <w:sz w:val="24"/>
          <w:szCs w:val="24"/>
        </w:rPr>
      </w:pPr>
    </w:p>
    <w:p w14:paraId="63D46F57" w14:textId="309B9EAD" w:rsidR="00FE15FC" w:rsidRDefault="00EE7B59" w:rsidP="00D61CD6">
      <w:pPr>
        <w:spacing w:after="0" w:line="240" w:lineRule="auto"/>
        <w:jc w:val="both"/>
        <w:rPr>
          <w:rFonts w:ascii="Garamond" w:hAnsi="Garamond"/>
          <w:sz w:val="24"/>
          <w:szCs w:val="24"/>
        </w:rPr>
      </w:pPr>
      <w:r>
        <w:rPr>
          <w:rFonts w:ascii="Garamond" w:hAnsi="Garamond"/>
          <w:sz w:val="24"/>
          <w:szCs w:val="24"/>
        </w:rPr>
        <w:t xml:space="preserve">The COVID-19 pandemic highlighted the fragility of the </w:t>
      </w:r>
      <w:r w:rsidR="00E259E5">
        <w:rPr>
          <w:rFonts w:ascii="Garamond" w:hAnsi="Garamond"/>
          <w:sz w:val="24"/>
          <w:szCs w:val="24"/>
        </w:rPr>
        <w:t>modern</w:t>
      </w:r>
      <w:r>
        <w:rPr>
          <w:rFonts w:ascii="Garamond" w:hAnsi="Garamond"/>
          <w:sz w:val="24"/>
          <w:szCs w:val="24"/>
        </w:rPr>
        <w:t xml:space="preserve"> efficient and optimized intertwined network of </w:t>
      </w:r>
      <w:r w:rsidR="00763FFE">
        <w:rPr>
          <w:rFonts w:ascii="Garamond" w:hAnsi="Garamond"/>
          <w:sz w:val="24"/>
          <w:szCs w:val="24"/>
        </w:rPr>
        <w:t xml:space="preserve">the </w:t>
      </w:r>
      <w:r>
        <w:rPr>
          <w:rFonts w:ascii="Garamond" w:hAnsi="Garamond"/>
          <w:sz w:val="24"/>
          <w:szCs w:val="24"/>
        </w:rPr>
        <w:t xml:space="preserve">global supply chain. This pandemic was the black swan that professionals in </w:t>
      </w:r>
      <w:r w:rsidR="00763FFE">
        <w:rPr>
          <w:rFonts w:ascii="Garamond" w:hAnsi="Garamond"/>
          <w:sz w:val="24"/>
          <w:szCs w:val="24"/>
        </w:rPr>
        <w:t xml:space="preserve">the </w:t>
      </w:r>
      <w:r>
        <w:rPr>
          <w:rFonts w:ascii="Garamond" w:hAnsi="Garamond"/>
          <w:sz w:val="24"/>
          <w:szCs w:val="24"/>
        </w:rPr>
        <w:t xml:space="preserve">medical supply chain field had noted its </w:t>
      </w:r>
      <w:r w:rsidR="00E259E5">
        <w:rPr>
          <w:rFonts w:ascii="Garamond" w:hAnsi="Garamond"/>
          <w:sz w:val="24"/>
          <w:szCs w:val="24"/>
        </w:rPr>
        <w:t>threat in recent years</w:t>
      </w:r>
      <w:r>
        <w:rPr>
          <w:rFonts w:ascii="Garamond" w:hAnsi="Garamond"/>
          <w:sz w:val="24"/>
          <w:szCs w:val="24"/>
        </w:rPr>
        <w:t xml:space="preserve">. </w:t>
      </w:r>
      <w:r w:rsidR="00763FFE">
        <w:rPr>
          <w:rFonts w:ascii="Garamond" w:hAnsi="Garamond"/>
          <w:sz w:val="24"/>
          <w:szCs w:val="24"/>
        </w:rPr>
        <w:t>Considering the short-term and long-term effects of changes in the global supply chain t</w:t>
      </w:r>
      <w:r w:rsidR="00E259E5">
        <w:rPr>
          <w:rFonts w:ascii="Garamond" w:hAnsi="Garamond"/>
          <w:sz w:val="24"/>
          <w:szCs w:val="24"/>
        </w:rPr>
        <w:t>his</w:t>
      </w:r>
      <w:r>
        <w:rPr>
          <w:rFonts w:ascii="Garamond" w:hAnsi="Garamond"/>
          <w:sz w:val="24"/>
          <w:szCs w:val="24"/>
        </w:rPr>
        <w:t xml:space="preserve"> research explores how the location characteristics of </w:t>
      </w:r>
      <w:r w:rsidR="00E259E5">
        <w:rPr>
          <w:rFonts w:ascii="Garamond" w:hAnsi="Garamond"/>
          <w:sz w:val="24"/>
          <w:szCs w:val="24"/>
        </w:rPr>
        <w:t xml:space="preserve">the firms across </w:t>
      </w:r>
      <w:r w:rsidR="00763FFE">
        <w:rPr>
          <w:rFonts w:ascii="Garamond" w:hAnsi="Garamond"/>
          <w:sz w:val="24"/>
          <w:szCs w:val="24"/>
        </w:rPr>
        <w:t xml:space="preserve">the </w:t>
      </w:r>
      <w:r w:rsidR="00E259E5">
        <w:rPr>
          <w:rFonts w:ascii="Garamond" w:hAnsi="Garamond"/>
          <w:sz w:val="24"/>
          <w:szCs w:val="24"/>
        </w:rPr>
        <w:t xml:space="preserve">supply chain affect their performance. Using the mined data from five tiers of </w:t>
      </w:r>
      <w:r w:rsidR="00763FFE">
        <w:rPr>
          <w:rFonts w:ascii="Garamond" w:hAnsi="Garamond"/>
          <w:sz w:val="24"/>
          <w:szCs w:val="24"/>
        </w:rPr>
        <w:t xml:space="preserve">the </w:t>
      </w:r>
      <w:r w:rsidR="00E259E5">
        <w:rPr>
          <w:rFonts w:ascii="Garamond" w:hAnsi="Garamond"/>
          <w:sz w:val="24"/>
          <w:szCs w:val="24"/>
        </w:rPr>
        <w:t>backward supply chain of medical equipment we constructed a large supply chain network consisting of close to 160,000 dyadic connections. Furt</w:t>
      </w:r>
      <w:r w:rsidR="00FE15FC">
        <w:rPr>
          <w:rFonts w:ascii="Garamond" w:hAnsi="Garamond"/>
          <w:sz w:val="24"/>
          <w:szCs w:val="24"/>
        </w:rPr>
        <w:t xml:space="preserve">hermore, we ran a scenario to simulate the </w:t>
      </w:r>
      <w:r w:rsidR="0055678C">
        <w:rPr>
          <w:rFonts w:ascii="Garamond" w:hAnsi="Garamond"/>
          <w:sz w:val="24"/>
          <w:szCs w:val="24"/>
        </w:rPr>
        <w:t xml:space="preserve">elimination of Chinese firms from </w:t>
      </w:r>
      <w:r w:rsidR="00763FFE">
        <w:rPr>
          <w:rFonts w:ascii="Garamond" w:hAnsi="Garamond"/>
          <w:sz w:val="24"/>
          <w:szCs w:val="24"/>
        </w:rPr>
        <w:t xml:space="preserve">the </w:t>
      </w:r>
      <w:r w:rsidR="0055678C">
        <w:rPr>
          <w:rFonts w:ascii="Garamond" w:hAnsi="Garamond"/>
          <w:sz w:val="24"/>
          <w:szCs w:val="24"/>
        </w:rPr>
        <w:t xml:space="preserve">global supply chain to study the effect of such </w:t>
      </w:r>
      <w:r w:rsidR="00763FFE">
        <w:rPr>
          <w:rFonts w:ascii="Garamond" w:hAnsi="Garamond"/>
          <w:sz w:val="24"/>
          <w:szCs w:val="24"/>
        </w:rPr>
        <w:t xml:space="preserve">a </w:t>
      </w:r>
      <w:r w:rsidR="0055678C">
        <w:rPr>
          <w:rFonts w:ascii="Garamond" w:hAnsi="Garamond"/>
          <w:sz w:val="24"/>
          <w:szCs w:val="24"/>
        </w:rPr>
        <w:t xml:space="preserve">change on firms’ performance. The result of this study provides notable insight into how various measures of network centrality affect firms’ performance. </w:t>
      </w:r>
    </w:p>
    <w:p w14:paraId="5B744641" w14:textId="16B82407" w:rsidR="00FE15FC" w:rsidRDefault="00FE15FC" w:rsidP="00D61CD6">
      <w:pPr>
        <w:spacing w:after="0" w:line="240" w:lineRule="auto"/>
        <w:jc w:val="both"/>
        <w:rPr>
          <w:rFonts w:ascii="Garamond" w:hAnsi="Garamond"/>
          <w:sz w:val="24"/>
          <w:szCs w:val="24"/>
        </w:rPr>
      </w:pPr>
    </w:p>
    <w:p w14:paraId="17F9CCF9" w14:textId="77777777" w:rsidR="00EE7B59" w:rsidRDefault="00EE7B59" w:rsidP="00D61CD6">
      <w:pPr>
        <w:spacing w:after="0" w:line="240" w:lineRule="auto"/>
        <w:jc w:val="both"/>
        <w:rPr>
          <w:rFonts w:ascii="Garamond" w:hAnsi="Garamond"/>
          <w:sz w:val="24"/>
          <w:szCs w:val="24"/>
        </w:rPr>
      </w:pPr>
    </w:p>
    <w:p w14:paraId="3A24DF8B" w14:textId="77777777" w:rsidR="00EE7B59" w:rsidRPr="007915F2" w:rsidRDefault="00EE7B59" w:rsidP="00D61CD6">
      <w:pPr>
        <w:spacing w:after="0" w:line="240" w:lineRule="auto"/>
        <w:jc w:val="both"/>
        <w:rPr>
          <w:rFonts w:ascii="Garamond" w:hAnsi="Garamond"/>
          <w:sz w:val="24"/>
          <w:szCs w:val="24"/>
        </w:rPr>
      </w:pPr>
    </w:p>
    <w:p w14:paraId="139D64BC" w14:textId="77777777" w:rsidR="004C0B4E" w:rsidRPr="007915F2" w:rsidRDefault="004C0B4E" w:rsidP="00D61CD6">
      <w:pPr>
        <w:spacing w:after="0" w:line="240" w:lineRule="auto"/>
        <w:jc w:val="both"/>
        <w:rPr>
          <w:rFonts w:ascii="Garamond" w:hAnsi="Garamond"/>
          <w:sz w:val="24"/>
          <w:szCs w:val="24"/>
        </w:rPr>
      </w:pPr>
      <w:r w:rsidRPr="007915F2">
        <w:rPr>
          <w:rFonts w:ascii="Garamond" w:hAnsi="Garamond"/>
          <w:b/>
          <w:sz w:val="24"/>
          <w:szCs w:val="24"/>
        </w:rPr>
        <w:t>Keywords</w:t>
      </w:r>
      <w:r w:rsidRPr="007915F2">
        <w:rPr>
          <w:rFonts w:ascii="Garamond" w:hAnsi="Garamond"/>
          <w:sz w:val="24"/>
          <w:szCs w:val="24"/>
        </w:rPr>
        <w:t xml:space="preserve">: Medical Equipment, Supply Chain, </w:t>
      </w:r>
      <w:r w:rsidR="00796A0D" w:rsidRPr="007915F2">
        <w:rPr>
          <w:rFonts w:ascii="Garamond" w:hAnsi="Garamond"/>
          <w:sz w:val="24"/>
          <w:szCs w:val="24"/>
        </w:rPr>
        <w:t xml:space="preserve">COVID-19, </w:t>
      </w:r>
      <w:r w:rsidRPr="007915F2">
        <w:rPr>
          <w:rFonts w:ascii="Garamond" w:hAnsi="Garamond"/>
          <w:sz w:val="24"/>
          <w:szCs w:val="24"/>
        </w:rPr>
        <w:t>China, Network Centrality, Network Analysis, Financial Performance</w:t>
      </w:r>
    </w:p>
    <w:p w14:paraId="182E3FD7" w14:textId="77777777" w:rsidR="00450924" w:rsidRPr="007915F2" w:rsidRDefault="00450924" w:rsidP="00D61CD6">
      <w:pPr>
        <w:spacing w:after="0" w:line="240" w:lineRule="auto"/>
        <w:jc w:val="both"/>
        <w:rPr>
          <w:rFonts w:ascii="Garamond" w:hAnsi="Garamond"/>
          <w:sz w:val="24"/>
          <w:szCs w:val="24"/>
        </w:rPr>
      </w:pPr>
    </w:p>
    <w:p w14:paraId="4153CFC8" w14:textId="77777777" w:rsidR="00D135BA" w:rsidRPr="007915F2" w:rsidRDefault="00DF52F2" w:rsidP="00D61CD6">
      <w:pPr>
        <w:spacing w:after="0" w:line="240" w:lineRule="auto"/>
        <w:jc w:val="both"/>
        <w:rPr>
          <w:rFonts w:ascii="Garamond" w:hAnsi="Garamond"/>
          <w:b/>
          <w:sz w:val="24"/>
          <w:szCs w:val="24"/>
        </w:rPr>
      </w:pPr>
      <w:r w:rsidRPr="007915F2">
        <w:rPr>
          <w:rFonts w:ascii="Garamond" w:hAnsi="Garamond"/>
          <w:b/>
          <w:sz w:val="24"/>
          <w:szCs w:val="24"/>
        </w:rPr>
        <w:t xml:space="preserve">1. </w:t>
      </w:r>
      <w:r w:rsidR="00D135BA" w:rsidRPr="007915F2">
        <w:rPr>
          <w:rFonts w:ascii="Garamond" w:hAnsi="Garamond"/>
          <w:b/>
          <w:sz w:val="24"/>
          <w:szCs w:val="24"/>
        </w:rPr>
        <w:t>Introduction</w:t>
      </w:r>
    </w:p>
    <w:p w14:paraId="4756F9BB" w14:textId="77777777" w:rsidR="00D61CD6" w:rsidRPr="007915F2" w:rsidRDefault="00D61CD6" w:rsidP="00D61CD6">
      <w:pPr>
        <w:spacing w:after="0" w:line="240" w:lineRule="auto"/>
        <w:jc w:val="both"/>
        <w:rPr>
          <w:rFonts w:ascii="Garamond" w:hAnsi="Garamond"/>
          <w:sz w:val="24"/>
          <w:szCs w:val="24"/>
        </w:rPr>
      </w:pPr>
    </w:p>
    <w:p w14:paraId="6EB75F1C" w14:textId="18C473CF" w:rsidR="001E0B11" w:rsidRPr="007915F2" w:rsidRDefault="00D61CD6" w:rsidP="00D61CD6">
      <w:pPr>
        <w:spacing w:after="0" w:line="240" w:lineRule="auto"/>
        <w:jc w:val="both"/>
        <w:rPr>
          <w:rFonts w:ascii="Garamond" w:hAnsi="Garamond"/>
          <w:sz w:val="24"/>
          <w:szCs w:val="24"/>
        </w:rPr>
      </w:pPr>
      <w:r w:rsidRPr="007915F2">
        <w:rPr>
          <w:rFonts w:ascii="Garamond" w:hAnsi="Garamond"/>
          <w:sz w:val="24"/>
          <w:szCs w:val="24"/>
        </w:rPr>
        <w:t xml:space="preserve">Does supply chain </w:t>
      </w:r>
      <w:r w:rsidR="00FE3D21" w:rsidRPr="007915F2">
        <w:rPr>
          <w:rFonts w:ascii="Garamond" w:hAnsi="Garamond"/>
          <w:sz w:val="24"/>
          <w:szCs w:val="24"/>
        </w:rPr>
        <w:t xml:space="preserve">management </w:t>
      </w:r>
      <w:r w:rsidRPr="007915F2">
        <w:rPr>
          <w:rFonts w:ascii="Garamond" w:hAnsi="Garamond"/>
          <w:sz w:val="24"/>
          <w:szCs w:val="24"/>
        </w:rPr>
        <w:t xml:space="preserve">matter?  </w:t>
      </w:r>
      <w:r w:rsidR="00842BD3" w:rsidRPr="007915F2">
        <w:rPr>
          <w:rFonts w:ascii="Garamond" w:hAnsi="Garamond"/>
          <w:sz w:val="24"/>
          <w:szCs w:val="24"/>
        </w:rPr>
        <w:t>The very real impact of COVID</w:t>
      </w:r>
      <w:r w:rsidR="00F41CD3" w:rsidRPr="007915F2">
        <w:rPr>
          <w:rFonts w:ascii="Garamond" w:hAnsi="Garamond"/>
          <w:sz w:val="24"/>
          <w:szCs w:val="24"/>
        </w:rPr>
        <w:t>-19</w:t>
      </w:r>
      <w:r w:rsidR="00842BD3" w:rsidRPr="007915F2">
        <w:rPr>
          <w:rFonts w:ascii="Garamond" w:hAnsi="Garamond"/>
          <w:sz w:val="24"/>
          <w:szCs w:val="24"/>
        </w:rPr>
        <w:t xml:space="preserve"> on </w:t>
      </w:r>
      <w:r w:rsidR="001E0B11" w:rsidRPr="007915F2">
        <w:rPr>
          <w:rFonts w:ascii="Garamond" w:hAnsi="Garamond"/>
          <w:sz w:val="24"/>
          <w:szCs w:val="24"/>
        </w:rPr>
        <w:t xml:space="preserve">firm performance has put the cost and reliability of </w:t>
      </w:r>
      <w:r w:rsidR="00763FFE">
        <w:rPr>
          <w:rFonts w:ascii="Garamond" w:hAnsi="Garamond"/>
          <w:sz w:val="24"/>
          <w:szCs w:val="24"/>
        </w:rPr>
        <w:t xml:space="preserve">the </w:t>
      </w:r>
      <w:r w:rsidR="00842BD3" w:rsidRPr="007915F2">
        <w:rPr>
          <w:rFonts w:ascii="Garamond" w:hAnsi="Garamond"/>
          <w:sz w:val="24"/>
          <w:szCs w:val="24"/>
        </w:rPr>
        <w:t>supply chain</w:t>
      </w:r>
      <w:r w:rsidR="001E0B11" w:rsidRPr="007915F2">
        <w:rPr>
          <w:rFonts w:ascii="Garamond" w:hAnsi="Garamond"/>
          <w:sz w:val="24"/>
          <w:szCs w:val="24"/>
        </w:rPr>
        <w:t xml:space="preserve"> in the crosshairs of U.S. government policy. On the one hand, there are practical reasons why a firm chooses to have fewer</w:t>
      </w:r>
      <w:r w:rsidR="00F90CFB" w:rsidRPr="007915F2">
        <w:rPr>
          <w:rFonts w:ascii="Garamond" w:hAnsi="Garamond"/>
          <w:sz w:val="24"/>
          <w:szCs w:val="24"/>
        </w:rPr>
        <w:t>, reliable,</w:t>
      </w:r>
      <w:r w:rsidR="001E0B11" w:rsidRPr="007915F2">
        <w:rPr>
          <w:rFonts w:ascii="Garamond" w:hAnsi="Garamond"/>
          <w:sz w:val="24"/>
          <w:szCs w:val="24"/>
        </w:rPr>
        <w:t xml:space="preserve"> suppliers to reduce </w:t>
      </w:r>
      <w:r w:rsidR="00F90CFB" w:rsidRPr="007915F2">
        <w:rPr>
          <w:rFonts w:ascii="Garamond" w:hAnsi="Garamond"/>
          <w:sz w:val="24"/>
          <w:szCs w:val="24"/>
        </w:rPr>
        <w:t xml:space="preserve">inventory </w:t>
      </w:r>
      <w:r w:rsidR="001E0B11" w:rsidRPr="007915F2">
        <w:rPr>
          <w:rFonts w:ascii="Garamond" w:hAnsi="Garamond"/>
          <w:sz w:val="24"/>
          <w:szCs w:val="24"/>
        </w:rPr>
        <w:t>costs and maximize shareholder profits.   On the other, the very same reasons a firm chooses to have a lean supply chain can result in over</w:t>
      </w:r>
      <w:r w:rsidR="00763FFE">
        <w:rPr>
          <w:rFonts w:ascii="Garamond" w:hAnsi="Garamond"/>
          <w:sz w:val="24"/>
          <w:szCs w:val="24"/>
        </w:rPr>
        <w:t>-</w:t>
      </w:r>
      <w:r w:rsidR="001E0B11" w:rsidRPr="007915F2">
        <w:rPr>
          <w:rFonts w:ascii="Garamond" w:hAnsi="Garamond"/>
          <w:sz w:val="24"/>
          <w:szCs w:val="24"/>
        </w:rPr>
        <w:t xml:space="preserve">dependence on a handful of foreign suppliers who may be beholden to none other than their </w:t>
      </w:r>
      <w:r w:rsidR="00F90CFB" w:rsidRPr="007915F2">
        <w:rPr>
          <w:rFonts w:ascii="Garamond" w:hAnsi="Garamond"/>
          <w:sz w:val="24"/>
          <w:szCs w:val="24"/>
        </w:rPr>
        <w:t xml:space="preserve">own </w:t>
      </w:r>
      <w:r w:rsidR="001E0B11" w:rsidRPr="007915F2">
        <w:rPr>
          <w:rFonts w:ascii="Garamond" w:hAnsi="Garamond"/>
          <w:sz w:val="24"/>
          <w:szCs w:val="24"/>
        </w:rPr>
        <w:t>foreign governments. The latter can seriously jeopardize the timely, cost</w:t>
      </w:r>
      <w:r w:rsidR="00763FFE">
        <w:rPr>
          <w:rFonts w:ascii="Garamond" w:hAnsi="Garamond"/>
          <w:sz w:val="24"/>
          <w:szCs w:val="24"/>
        </w:rPr>
        <w:t>-</w:t>
      </w:r>
      <w:r w:rsidR="001E0B11" w:rsidRPr="007915F2">
        <w:rPr>
          <w:rFonts w:ascii="Garamond" w:hAnsi="Garamond"/>
          <w:sz w:val="24"/>
          <w:szCs w:val="24"/>
        </w:rPr>
        <w:t xml:space="preserve">effective, delivery of critical products. </w:t>
      </w:r>
      <w:r w:rsidR="00F90CFB" w:rsidRPr="007915F2">
        <w:rPr>
          <w:rFonts w:ascii="Garamond" w:hAnsi="Garamond"/>
          <w:sz w:val="24"/>
          <w:szCs w:val="24"/>
        </w:rPr>
        <w:t xml:space="preserve"> The problems are magnified for the customer firm which uses the Just in Time (JIT) </w:t>
      </w:r>
      <w:r w:rsidR="003A2842" w:rsidRPr="007915F2">
        <w:rPr>
          <w:rFonts w:ascii="Garamond" w:hAnsi="Garamond"/>
          <w:sz w:val="24"/>
          <w:szCs w:val="24"/>
        </w:rPr>
        <w:t>and Zero Inventory Production Systems (ZIPS) manufacturing philosophies</w:t>
      </w:r>
      <w:r w:rsidR="00F90CFB" w:rsidRPr="007915F2">
        <w:rPr>
          <w:rFonts w:ascii="Garamond" w:hAnsi="Garamond"/>
          <w:sz w:val="24"/>
          <w:szCs w:val="24"/>
        </w:rPr>
        <w:t xml:space="preserve">. </w:t>
      </w:r>
      <w:r w:rsidR="001E0B11" w:rsidRPr="007915F2">
        <w:rPr>
          <w:rFonts w:ascii="Garamond" w:hAnsi="Garamond"/>
          <w:sz w:val="24"/>
          <w:szCs w:val="24"/>
        </w:rPr>
        <w:t xml:space="preserve"> In this pandemic era, t</w:t>
      </w:r>
      <w:r w:rsidRPr="007915F2">
        <w:rPr>
          <w:rFonts w:ascii="Garamond" w:hAnsi="Garamond"/>
          <w:sz w:val="24"/>
          <w:szCs w:val="24"/>
        </w:rPr>
        <w:t>h</w:t>
      </w:r>
      <w:r w:rsidR="001E0B11" w:rsidRPr="007915F2">
        <w:rPr>
          <w:rFonts w:ascii="Garamond" w:hAnsi="Garamond"/>
          <w:sz w:val="24"/>
          <w:szCs w:val="24"/>
        </w:rPr>
        <w:t>e</w:t>
      </w:r>
      <w:r w:rsidRPr="007915F2">
        <w:rPr>
          <w:rFonts w:ascii="Garamond" w:hAnsi="Garamond"/>
          <w:sz w:val="24"/>
          <w:szCs w:val="24"/>
        </w:rPr>
        <w:t xml:space="preserve"> issue</w:t>
      </w:r>
      <w:r w:rsidR="001E0B11" w:rsidRPr="007915F2">
        <w:rPr>
          <w:rFonts w:ascii="Garamond" w:hAnsi="Garamond"/>
          <w:sz w:val="24"/>
          <w:szCs w:val="24"/>
        </w:rPr>
        <w:t xml:space="preserve"> of foreign suppliers </w:t>
      </w:r>
      <w:r w:rsidRPr="007915F2">
        <w:rPr>
          <w:rFonts w:ascii="Garamond" w:hAnsi="Garamond"/>
          <w:sz w:val="24"/>
          <w:szCs w:val="24"/>
        </w:rPr>
        <w:t xml:space="preserve">has </w:t>
      </w:r>
      <w:r w:rsidR="00200D00" w:rsidRPr="007915F2">
        <w:rPr>
          <w:rFonts w:ascii="Garamond" w:hAnsi="Garamond"/>
          <w:sz w:val="24"/>
          <w:szCs w:val="24"/>
        </w:rPr>
        <w:t>not gone unnoticed by</w:t>
      </w:r>
      <w:r w:rsidR="00842BD3" w:rsidRPr="007915F2">
        <w:rPr>
          <w:rFonts w:ascii="Garamond" w:hAnsi="Garamond"/>
          <w:sz w:val="24"/>
          <w:szCs w:val="24"/>
        </w:rPr>
        <w:t xml:space="preserve"> U.S. firms and </w:t>
      </w:r>
      <w:r w:rsidR="00763FFE">
        <w:rPr>
          <w:rFonts w:ascii="Garamond" w:hAnsi="Garamond"/>
          <w:sz w:val="24"/>
          <w:szCs w:val="24"/>
        </w:rPr>
        <w:t xml:space="preserve">the </w:t>
      </w:r>
      <w:r w:rsidR="00842BD3" w:rsidRPr="007915F2">
        <w:rPr>
          <w:rFonts w:ascii="Garamond" w:hAnsi="Garamond"/>
          <w:sz w:val="24"/>
          <w:szCs w:val="24"/>
        </w:rPr>
        <w:t>U.S. Government</w:t>
      </w:r>
      <w:r w:rsidR="00200D00" w:rsidRPr="007915F2">
        <w:rPr>
          <w:rFonts w:ascii="Garamond" w:hAnsi="Garamond"/>
          <w:sz w:val="24"/>
          <w:szCs w:val="24"/>
        </w:rPr>
        <w:t>.</w:t>
      </w:r>
      <w:r w:rsidR="00842BD3" w:rsidRPr="007915F2">
        <w:rPr>
          <w:rFonts w:ascii="Garamond" w:hAnsi="Garamond"/>
          <w:sz w:val="24"/>
          <w:szCs w:val="24"/>
        </w:rPr>
        <w:t xml:space="preserve"> </w:t>
      </w:r>
      <w:r w:rsidR="00F90CFB" w:rsidRPr="007915F2">
        <w:rPr>
          <w:rFonts w:ascii="Garamond" w:hAnsi="Garamond"/>
          <w:sz w:val="24"/>
          <w:szCs w:val="24"/>
        </w:rPr>
        <w:t xml:space="preserve"> This is especially true for </w:t>
      </w:r>
      <w:r w:rsidR="00763FFE">
        <w:rPr>
          <w:rFonts w:ascii="Garamond" w:hAnsi="Garamond"/>
          <w:sz w:val="24"/>
          <w:szCs w:val="24"/>
        </w:rPr>
        <w:t xml:space="preserve">the </w:t>
      </w:r>
      <w:r w:rsidR="00F90CFB" w:rsidRPr="007915F2">
        <w:rPr>
          <w:rFonts w:ascii="Garamond" w:hAnsi="Garamond"/>
          <w:sz w:val="24"/>
          <w:szCs w:val="24"/>
        </w:rPr>
        <w:t xml:space="preserve">supply chain of emergency </w:t>
      </w:r>
      <w:r w:rsidR="00695BC8" w:rsidRPr="007915F2">
        <w:rPr>
          <w:rFonts w:ascii="Garamond" w:hAnsi="Garamond"/>
          <w:sz w:val="24"/>
          <w:szCs w:val="24"/>
        </w:rPr>
        <w:t>medical supplies and equipment.</w:t>
      </w:r>
      <w:r w:rsidR="00F90CFB" w:rsidRPr="007915F2">
        <w:rPr>
          <w:rFonts w:ascii="Garamond" w:hAnsi="Garamond"/>
          <w:sz w:val="24"/>
          <w:szCs w:val="24"/>
        </w:rPr>
        <w:t xml:space="preserve"> When pandemic strikes all countries simultaneously nationalistic fervor takes precedence over rational decision making.  Sovereign countries start protecting the supplies originating within their borders.  Any </w:t>
      </w:r>
      <w:r w:rsidR="00A03A89" w:rsidRPr="007915F2">
        <w:rPr>
          <w:rFonts w:ascii="Garamond" w:hAnsi="Garamond"/>
          <w:sz w:val="24"/>
          <w:szCs w:val="24"/>
        </w:rPr>
        <w:t xml:space="preserve">external </w:t>
      </w:r>
      <w:r w:rsidR="00F90CFB" w:rsidRPr="007915F2">
        <w:rPr>
          <w:rFonts w:ascii="Garamond" w:hAnsi="Garamond"/>
          <w:sz w:val="24"/>
          <w:szCs w:val="24"/>
        </w:rPr>
        <w:t xml:space="preserve">shock to supplies has </w:t>
      </w:r>
      <w:r w:rsidR="00763FFE">
        <w:rPr>
          <w:rFonts w:ascii="Garamond" w:hAnsi="Garamond"/>
          <w:sz w:val="24"/>
          <w:szCs w:val="24"/>
        </w:rPr>
        <w:t xml:space="preserve">a </w:t>
      </w:r>
      <w:r w:rsidR="00F90CFB" w:rsidRPr="007915F2">
        <w:rPr>
          <w:rFonts w:ascii="Garamond" w:hAnsi="Garamond"/>
          <w:sz w:val="24"/>
          <w:szCs w:val="24"/>
        </w:rPr>
        <w:t xml:space="preserve">domino effect throughout the supply chain.  These reverberating </w:t>
      </w:r>
      <w:r w:rsidR="00421B4F" w:rsidRPr="007915F2">
        <w:rPr>
          <w:rFonts w:ascii="Garamond" w:hAnsi="Garamond"/>
          <w:sz w:val="24"/>
          <w:szCs w:val="24"/>
        </w:rPr>
        <w:t xml:space="preserve">effects impact operating </w:t>
      </w:r>
      <w:r w:rsidR="00F90CFB" w:rsidRPr="007915F2">
        <w:rPr>
          <w:rFonts w:ascii="Garamond" w:hAnsi="Garamond"/>
          <w:sz w:val="24"/>
          <w:szCs w:val="24"/>
        </w:rPr>
        <w:t xml:space="preserve">costs </w:t>
      </w:r>
      <w:r w:rsidR="00421B4F" w:rsidRPr="007915F2">
        <w:rPr>
          <w:rFonts w:ascii="Garamond" w:hAnsi="Garamond"/>
          <w:sz w:val="24"/>
          <w:szCs w:val="24"/>
        </w:rPr>
        <w:t xml:space="preserve">that </w:t>
      </w:r>
      <w:r w:rsidR="00F90CFB" w:rsidRPr="007915F2">
        <w:rPr>
          <w:rFonts w:ascii="Garamond" w:hAnsi="Garamond"/>
          <w:sz w:val="24"/>
          <w:szCs w:val="24"/>
        </w:rPr>
        <w:t xml:space="preserve">may have </w:t>
      </w:r>
      <w:r w:rsidR="00763FFE">
        <w:rPr>
          <w:rFonts w:ascii="Garamond" w:hAnsi="Garamond"/>
          <w:sz w:val="24"/>
          <w:szCs w:val="24"/>
        </w:rPr>
        <w:t xml:space="preserve">a </w:t>
      </w:r>
      <w:r w:rsidR="00F90CFB" w:rsidRPr="007915F2">
        <w:rPr>
          <w:rFonts w:ascii="Garamond" w:hAnsi="Garamond"/>
          <w:sz w:val="24"/>
          <w:szCs w:val="24"/>
        </w:rPr>
        <w:t>far</w:t>
      </w:r>
      <w:r w:rsidR="00763FFE">
        <w:rPr>
          <w:rFonts w:ascii="Garamond" w:hAnsi="Garamond"/>
          <w:sz w:val="24"/>
          <w:szCs w:val="24"/>
        </w:rPr>
        <w:t>-</w:t>
      </w:r>
      <w:r w:rsidR="00F90CFB" w:rsidRPr="007915F2">
        <w:rPr>
          <w:rFonts w:ascii="Garamond" w:hAnsi="Garamond"/>
          <w:sz w:val="24"/>
          <w:szCs w:val="24"/>
        </w:rPr>
        <w:t>reaching effect on a firms</w:t>
      </w:r>
      <w:r w:rsidR="00421B4F" w:rsidRPr="007915F2">
        <w:rPr>
          <w:rFonts w:ascii="Garamond" w:hAnsi="Garamond"/>
          <w:sz w:val="24"/>
          <w:szCs w:val="24"/>
        </w:rPr>
        <w:t>’</w:t>
      </w:r>
      <w:r w:rsidR="00F90CFB" w:rsidRPr="007915F2">
        <w:rPr>
          <w:rFonts w:ascii="Garamond" w:hAnsi="Garamond"/>
          <w:sz w:val="24"/>
          <w:szCs w:val="24"/>
        </w:rPr>
        <w:t xml:space="preserve"> performance beyond the proverbial annual </w:t>
      </w:r>
      <w:r w:rsidR="00421B4F" w:rsidRPr="007915F2">
        <w:rPr>
          <w:rFonts w:ascii="Garamond" w:hAnsi="Garamond"/>
          <w:sz w:val="24"/>
          <w:szCs w:val="24"/>
        </w:rPr>
        <w:t>financial statement</w:t>
      </w:r>
      <w:r w:rsidR="00F90CFB" w:rsidRPr="007915F2">
        <w:rPr>
          <w:rFonts w:ascii="Garamond" w:hAnsi="Garamond"/>
          <w:sz w:val="24"/>
          <w:szCs w:val="24"/>
        </w:rPr>
        <w:t xml:space="preserve">.  </w:t>
      </w:r>
      <w:r w:rsidR="00421B4F" w:rsidRPr="007915F2">
        <w:rPr>
          <w:rFonts w:ascii="Garamond" w:hAnsi="Garamond"/>
          <w:sz w:val="24"/>
          <w:szCs w:val="24"/>
        </w:rPr>
        <w:t xml:space="preserve">The primary focus of this study is to investigate what impact, if any, does </w:t>
      </w:r>
      <w:r w:rsidR="00763FFE">
        <w:rPr>
          <w:rFonts w:ascii="Garamond" w:hAnsi="Garamond"/>
          <w:sz w:val="24"/>
          <w:szCs w:val="24"/>
        </w:rPr>
        <w:t xml:space="preserve">the </w:t>
      </w:r>
      <w:r w:rsidR="00421B4F" w:rsidRPr="007915F2">
        <w:rPr>
          <w:rFonts w:ascii="Garamond" w:hAnsi="Garamond"/>
          <w:sz w:val="24"/>
          <w:szCs w:val="24"/>
        </w:rPr>
        <w:t xml:space="preserve">supply chain network has on </w:t>
      </w:r>
      <w:r w:rsidR="00763FFE">
        <w:rPr>
          <w:rFonts w:ascii="Garamond" w:hAnsi="Garamond"/>
          <w:sz w:val="24"/>
          <w:szCs w:val="24"/>
        </w:rPr>
        <w:t xml:space="preserve">a </w:t>
      </w:r>
      <w:r w:rsidR="00421B4F" w:rsidRPr="007915F2">
        <w:rPr>
          <w:rFonts w:ascii="Garamond" w:hAnsi="Garamond"/>
          <w:sz w:val="24"/>
          <w:szCs w:val="24"/>
        </w:rPr>
        <w:t>firm’s performance.</w:t>
      </w:r>
    </w:p>
    <w:p w14:paraId="0BC8AFC2" w14:textId="77777777" w:rsidR="00A146BC" w:rsidRPr="007915F2" w:rsidRDefault="00A146BC" w:rsidP="00D61CD6">
      <w:pPr>
        <w:spacing w:after="0" w:line="240" w:lineRule="auto"/>
        <w:jc w:val="both"/>
        <w:rPr>
          <w:rFonts w:ascii="Garamond" w:hAnsi="Garamond"/>
          <w:sz w:val="24"/>
          <w:szCs w:val="24"/>
        </w:rPr>
      </w:pPr>
    </w:p>
    <w:p w14:paraId="2D0B5F3F" w14:textId="56F1E1C1" w:rsidR="00FE3D21" w:rsidRPr="007915F2" w:rsidRDefault="00335463" w:rsidP="00273807">
      <w:pPr>
        <w:spacing w:after="0" w:line="240" w:lineRule="auto"/>
        <w:jc w:val="both"/>
        <w:rPr>
          <w:rFonts w:ascii="Garamond" w:hAnsi="Garamond"/>
          <w:sz w:val="24"/>
          <w:szCs w:val="24"/>
        </w:rPr>
      </w:pPr>
      <w:r w:rsidRPr="007915F2">
        <w:rPr>
          <w:rFonts w:ascii="Garamond" w:hAnsi="Garamond"/>
          <w:sz w:val="24"/>
          <w:szCs w:val="24"/>
        </w:rPr>
        <w:t>The importance of the supply chain network for the success of the firm has been addressed by many academicians</w:t>
      </w:r>
      <w:r w:rsidR="00FE3D21" w:rsidRPr="007915F2">
        <w:rPr>
          <w:rFonts w:ascii="Garamond" w:hAnsi="Garamond"/>
          <w:sz w:val="24"/>
          <w:szCs w:val="24"/>
        </w:rPr>
        <w:t xml:space="preserve"> (c.f.</w:t>
      </w:r>
      <w:r w:rsidR="001A4E93" w:rsidRPr="007915F2">
        <w:rPr>
          <w:rFonts w:ascii="Garamond" w:hAnsi="Garamond"/>
          <w:sz w:val="24"/>
          <w:szCs w:val="24"/>
        </w:rPr>
        <w:t xml:space="preserve"> </w:t>
      </w:r>
      <w:r w:rsidR="00C967B4" w:rsidRPr="007915F2">
        <w:rPr>
          <w:rFonts w:ascii="Garamond" w:hAnsi="Garamond"/>
          <w:sz w:val="24"/>
          <w:szCs w:val="24"/>
        </w:rPr>
        <w:t>Chen and Chiang, 2011; Todo, Matous</w:t>
      </w:r>
      <w:r w:rsidR="00763FFE">
        <w:rPr>
          <w:rFonts w:ascii="Garamond" w:hAnsi="Garamond"/>
          <w:sz w:val="24"/>
          <w:szCs w:val="24"/>
        </w:rPr>
        <w:t>,</w:t>
      </w:r>
      <w:r w:rsidR="00C967B4" w:rsidRPr="007915F2">
        <w:rPr>
          <w:rFonts w:ascii="Garamond" w:hAnsi="Garamond"/>
          <w:sz w:val="24"/>
          <w:szCs w:val="24"/>
        </w:rPr>
        <w:t xml:space="preserve"> and Inoue, 2016; Carnovale, Rogers and Yeniyurt, 2019; Wang and Hu, 2020</w:t>
      </w:r>
      <w:r w:rsidR="00FE3D21" w:rsidRPr="007915F2">
        <w:rPr>
          <w:rFonts w:ascii="Garamond" w:hAnsi="Garamond"/>
          <w:sz w:val="24"/>
          <w:szCs w:val="24"/>
        </w:rPr>
        <w:t>)</w:t>
      </w:r>
      <w:r w:rsidRPr="007915F2">
        <w:rPr>
          <w:rFonts w:ascii="Garamond" w:hAnsi="Garamond"/>
          <w:sz w:val="24"/>
          <w:szCs w:val="24"/>
        </w:rPr>
        <w:t>.  Willis (2006) contends that logistic issues, in normal times, of low-tech equipment such as Protective personal equipment (PPP)</w:t>
      </w:r>
      <w:r w:rsidR="00763FFE">
        <w:rPr>
          <w:rFonts w:ascii="Garamond" w:hAnsi="Garamond"/>
          <w:sz w:val="24"/>
          <w:szCs w:val="24"/>
        </w:rPr>
        <w:t>,</w:t>
      </w:r>
      <w:r w:rsidRPr="007915F2">
        <w:rPr>
          <w:rFonts w:ascii="Garamond" w:hAnsi="Garamond"/>
          <w:sz w:val="24"/>
          <w:szCs w:val="24"/>
        </w:rPr>
        <w:t xml:space="preserve"> can be handled through inexpensive purchasing. During abnormal times, plans need to be in place to deal with geographically expansive</w:t>
      </w:r>
      <w:r w:rsidR="00F740EA" w:rsidRPr="007915F2">
        <w:rPr>
          <w:rFonts w:ascii="Garamond" w:hAnsi="Garamond"/>
          <w:sz w:val="24"/>
          <w:szCs w:val="24"/>
        </w:rPr>
        <w:t xml:space="preserve"> supply chain disr</w:t>
      </w:r>
      <w:r w:rsidR="00FE3D21" w:rsidRPr="007915F2">
        <w:rPr>
          <w:rFonts w:ascii="Garamond" w:hAnsi="Garamond"/>
          <w:sz w:val="24"/>
          <w:szCs w:val="24"/>
        </w:rPr>
        <w:t xml:space="preserve">uptions </w:t>
      </w:r>
      <w:r w:rsidRPr="007915F2">
        <w:rPr>
          <w:rFonts w:ascii="Garamond" w:hAnsi="Garamond"/>
          <w:sz w:val="24"/>
          <w:szCs w:val="24"/>
        </w:rPr>
        <w:t>(Syahri</w:t>
      </w:r>
      <w:r w:rsidR="001A4E93" w:rsidRPr="007915F2">
        <w:rPr>
          <w:rFonts w:ascii="Garamond" w:hAnsi="Garamond"/>
          <w:sz w:val="24"/>
          <w:szCs w:val="24"/>
        </w:rPr>
        <w:t>r, Suparno, and Vananyl, 2015).</w:t>
      </w:r>
      <w:r w:rsidR="00F740EA" w:rsidRPr="007915F2">
        <w:rPr>
          <w:rFonts w:ascii="Garamond" w:hAnsi="Garamond"/>
          <w:sz w:val="24"/>
          <w:szCs w:val="24"/>
        </w:rPr>
        <w:t xml:space="preserve"> According to Syahrir et. al (2015) and Ivanov (2020), these special or extraordinary situations may further cause</w:t>
      </w:r>
      <w:r w:rsidR="00763FFE">
        <w:rPr>
          <w:rFonts w:ascii="Garamond" w:hAnsi="Garamond"/>
          <w:sz w:val="24"/>
          <w:szCs w:val="24"/>
        </w:rPr>
        <w:t xml:space="preserve"> disruptions in </w:t>
      </w:r>
      <w:r w:rsidR="00763FFE">
        <w:rPr>
          <w:rFonts w:ascii="Garamond" w:hAnsi="Garamond"/>
          <w:sz w:val="24"/>
          <w:szCs w:val="24"/>
        </w:rPr>
        <w:lastRenderedPageBreak/>
        <w:t>manufacturing. A system with</w:t>
      </w:r>
      <w:r w:rsidR="00F740EA" w:rsidRPr="007915F2">
        <w:rPr>
          <w:rFonts w:ascii="Garamond" w:hAnsi="Garamond"/>
          <w:sz w:val="24"/>
          <w:szCs w:val="24"/>
        </w:rPr>
        <w:t xml:space="preserve"> </w:t>
      </w:r>
      <w:r w:rsidR="00763FFE">
        <w:rPr>
          <w:rFonts w:ascii="Garamond" w:hAnsi="Garamond"/>
          <w:sz w:val="24"/>
          <w:szCs w:val="24"/>
        </w:rPr>
        <w:t xml:space="preserve">an </w:t>
      </w:r>
      <w:r w:rsidR="00F740EA" w:rsidRPr="007915F2">
        <w:rPr>
          <w:rFonts w:ascii="Garamond" w:hAnsi="Garamond"/>
          <w:sz w:val="24"/>
          <w:szCs w:val="24"/>
        </w:rPr>
        <w:t>overreliance on JIT</w:t>
      </w:r>
      <w:r w:rsidR="00306D66" w:rsidRPr="007915F2">
        <w:rPr>
          <w:rFonts w:ascii="Garamond" w:hAnsi="Garamond"/>
          <w:sz w:val="24"/>
          <w:szCs w:val="24"/>
        </w:rPr>
        <w:t>, ZIPS</w:t>
      </w:r>
      <w:r w:rsidR="00F740EA" w:rsidRPr="007915F2">
        <w:rPr>
          <w:rFonts w:ascii="Garamond" w:hAnsi="Garamond"/>
          <w:sz w:val="24"/>
          <w:szCs w:val="24"/>
        </w:rPr>
        <w:t>,</w:t>
      </w:r>
      <w:r w:rsidR="00306D66" w:rsidRPr="007915F2">
        <w:rPr>
          <w:rFonts w:ascii="Garamond" w:hAnsi="Garamond"/>
          <w:sz w:val="24"/>
          <w:szCs w:val="24"/>
        </w:rPr>
        <w:t xml:space="preserve"> </w:t>
      </w:r>
      <w:r w:rsidR="00763FFE">
        <w:rPr>
          <w:rFonts w:ascii="Garamond" w:hAnsi="Garamond"/>
          <w:sz w:val="24"/>
          <w:szCs w:val="24"/>
        </w:rPr>
        <w:t xml:space="preserve">and, </w:t>
      </w:r>
      <w:r w:rsidR="00306D66" w:rsidRPr="007915F2">
        <w:rPr>
          <w:rFonts w:ascii="Garamond" w:hAnsi="Garamond"/>
          <w:sz w:val="24"/>
          <w:szCs w:val="24"/>
        </w:rPr>
        <w:t>other</w:t>
      </w:r>
      <w:r w:rsidR="00F740EA" w:rsidRPr="007915F2">
        <w:rPr>
          <w:rFonts w:ascii="Garamond" w:hAnsi="Garamond"/>
          <w:sz w:val="24"/>
          <w:szCs w:val="24"/>
        </w:rPr>
        <w:t xml:space="preserve"> lean delivery sys</w:t>
      </w:r>
      <w:r w:rsidR="00306D66" w:rsidRPr="007915F2">
        <w:rPr>
          <w:rFonts w:ascii="Garamond" w:hAnsi="Garamond"/>
          <w:sz w:val="24"/>
          <w:szCs w:val="24"/>
        </w:rPr>
        <w:t>tems</w:t>
      </w:r>
      <w:r w:rsidR="00F740EA" w:rsidRPr="007915F2">
        <w:rPr>
          <w:rFonts w:ascii="Garamond" w:hAnsi="Garamond"/>
          <w:sz w:val="24"/>
          <w:szCs w:val="24"/>
        </w:rPr>
        <w:t xml:space="preserve"> and efficiency practices using “complex value chains and the international shipment of billions of components” is simply incapable of managing operations under abnormal condition</w:t>
      </w:r>
      <w:r w:rsidR="00763FFE">
        <w:rPr>
          <w:rFonts w:ascii="Garamond" w:hAnsi="Garamond"/>
          <w:sz w:val="24"/>
          <w:szCs w:val="24"/>
        </w:rPr>
        <w:t>s</w:t>
      </w:r>
      <w:r w:rsidR="00FE3D21" w:rsidRPr="007915F2">
        <w:rPr>
          <w:rFonts w:ascii="Garamond" w:hAnsi="Garamond"/>
          <w:sz w:val="24"/>
          <w:szCs w:val="24"/>
        </w:rPr>
        <w:t xml:space="preserve"> (Sarkis, Cohen, Dewick and Schrodel, 2020)</w:t>
      </w:r>
      <w:r w:rsidR="00F740EA" w:rsidRPr="007915F2">
        <w:rPr>
          <w:rFonts w:ascii="Garamond" w:hAnsi="Garamond"/>
          <w:sz w:val="24"/>
          <w:szCs w:val="24"/>
        </w:rPr>
        <w:t xml:space="preserve">. The complex multi-tier global supply chain of medical equipment and in particular the </w:t>
      </w:r>
      <w:r w:rsidR="00A966DC" w:rsidRPr="007915F2">
        <w:rPr>
          <w:rFonts w:ascii="Garamond" w:hAnsi="Garamond"/>
          <w:sz w:val="24"/>
          <w:szCs w:val="24"/>
        </w:rPr>
        <w:t>“impact of epidemic outbreaks on the commercial”</w:t>
      </w:r>
      <w:r w:rsidR="00F740EA" w:rsidRPr="007915F2">
        <w:rPr>
          <w:rFonts w:ascii="Garamond" w:hAnsi="Garamond"/>
          <w:sz w:val="24"/>
          <w:szCs w:val="24"/>
        </w:rPr>
        <w:t xml:space="preserve"> supply chain</w:t>
      </w:r>
      <w:r w:rsidR="00A966DC" w:rsidRPr="007915F2">
        <w:rPr>
          <w:rFonts w:ascii="Garamond" w:hAnsi="Garamond"/>
          <w:sz w:val="24"/>
          <w:szCs w:val="24"/>
        </w:rPr>
        <w:t>s</w:t>
      </w:r>
      <w:r w:rsidR="00F740EA" w:rsidRPr="007915F2">
        <w:rPr>
          <w:rFonts w:ascii="Garamond" w:hAnsi="Garamond"/>
          <w:sz w:val="24"/>
          <w:szCs w:val="24"/>
        </w:rPr>
        <w:t xml:space="preserve"> has been somewhat overlooked by researchers</w:t>
      </w:r>
      <w:r w:rsidR="008E04D0" w:rsidRPr="007915F2">
        <w:rPr>
          <w:rFonts w:ascii="Times New Roman" w:hAnsi="Times New Roman"/>
        </w:rPr>
        <w:t xml:space="preserve"> (Ivanov, 2020)</w:t>
      </w:r>
      <w:r w:rsidR="00F740EA" w:rsidRPr="007915F2">
        <w:rPr>
          <w:rFonts w:ascii="Garamond" w:hAnsi="Garamond"/>
          <w:sz w:val="24"/>
          <w:szCs w:val="24"/>
        </w:rPr>
        <w:t>. The advanced and celebrated, efficiencies</w:t>
      </w:r>
      <w:r w:rsidR="00763FFE">
        <w:rPr>
          <w:rFonts w:ascii="Garamond" w:hAnsi="Garamond"/>
          <w:sz w:val="24"/>
          <w:szCs w:val="24"/>
        </w:rPr>
        <w:t>,</w:t>
      </w:r>
      <w:r w:rsidR="00F740EA" w:rsidRPr="007915F2">
        <w:rPr>
          <w:rFonts w:ascii="Garamond" w:hAnsi="Garamond"/>
          <w:sz w:val="24"/>
          <w:szCs w:val="24"/>
        </w:rPr>
        <w:t xml:space="preserve"> and optimizations practices became the Achilles heel of global trade and operations during the COVID-19 pandemic.</w:t>
      </w:r>
    </w:p>
    <w:p w14:paraId="2851CF73" w14:textId="77777777" w:rsidR="00FE3D21" w:rsidRPr="007915F2" w:rsidRDefault="00FE3D21" w:rsidP="00273807">
      <w:pPr>
        <w:spacing w:after="0" w:line="240" w:lineRule="auto"/>
        <w:jc w:val="both"/>
        <w:rPr>
          <w:rFonts w:ascii="Garamond" w:hAnsi="Garamond"/>
          <w:sz w:val="24"/>
          <w:szCs w:val="24"/>
        </w:rPr>
      </w:pPr>
    </w:p>
    <w:p w14:paraId="65904744" w14:textId="2DE047C3" w:rsidR="004A2BB1" w:rsidRPr="007915F2" w:rsidRDefault="00273807" w:rsidP="00273807">
      <w:pPr>
        <w:spacing w:after="0" w:line="240" w:lineRule="auto"/>
        <w:jc w:val="both"/>
        <w:rPr>
          <w:rFonts w:ascii="Garamond" w:hAnsi="Garamond"/>
          <w:sz w:val="24"/>
          <w:szCs w:val="24"/>
        </w:rPr>
      </w:pPr>
      <w:r w:rsidRPr="007915F2">
        <w:rPr>
          <w:rFonts w:ascii="Garamond" w:hAnsi="Garamond"/>
          <w:sz w:val="24"/>
          <w:szCs w:val="24"/>
        </w:rPr>
        <w:t>In a much</w:t>
      </w:r>
      <w:r w:rsidR="00763FFE">
        <w:rPr>
          <w:rFonts w:ascii="Garamond" w:hAnsi="Garamond"/>
          <w:sz w:val="24"/>
          <w:szCs w:val="24"/>
        </w:rPr>
        <w:t>-</w:t>
      </w:r>
      <w:r w:rsidRPr="007915F2">
        <w:rPr>
          <w:rFonts w:ascii="Garamond" w:hAnsi="Garamond"/>
          <w:sz w:val="24"/>
          <w:szCs w:val="24"/>
        </w:rPr>
        <w:t>celebrated article in Harvard Business Review, Lyall</w:t>
      </w:r>
      <w:r w:rsidR="00A966DC" w:rsidRPr="007915F2">
        <w:rPr>
          <w:rFonts w:ascii="Garamond" w:hAnsi="Garamond"/>
          <w:sz w:val="24"/>
          <w:szCs w:val="24"/>
        </w:rPr>
        <w:t>,</w:t>
      </w:r>
      <w:r w:rsidRPr="007915F2">
        <w:rPr>
          <w:rFonts w:ascii="Garamond" w:hAnsi="Garamond"/>
          <w:sz w:val="24"/>
          <w:szCs w:val="24"/>
        </w:rPr>
        <w:t xml:space="preserve"> </w:t>
      </w:r>
      <w:r w:rsidR="008E04D0" w:rsidRPr="007915F2">
        <w:rPr>
          <w:rFonts w:ascii="Garamond" w:hAnsi="Garamond"/>
          <w:sz w:val="24"/>
          <w:szCs w:val="24"/>
        </w:rPr>
        <w:t>Merci</w:t>
      </w:r>
      <w:r w:rsidR="00A966DC" w:rsidRPr="007915F2">
        <w:rPr>
          <w:rFonts w:ascii="Garamond" w:hAnsi="Garamond"/>
          <w:sz w:val="24"/>
          <w:szCs w:val="24"/>
        </w:rPr>
        <w:t>e</w:t>
      </w:r>
      <w:r w:rsidR="008E04D0" w:rsidRPr="007915F2">
        <w:rPr>
          <w:rFonts w:ascii="Garamond" w:hAnsi="Garamond"/>
          <w:sz w:val="24"/>
          <w:szCs w:val="24"/>
        </w:rPr>
        <w:t>r</w:t>
      </w:r>
      <w:r w:rsidR="00763FFE">
        <w:rPr>
          <w:rFonts w:ascii="Garamond" w:hAnsi="Garamond"/>
          <w:sz w:val="24"/>
          <w:szCs w:val="24"/>
        </w:rPr>
        <w:t>,</w:t>
      </w:r>
      <w:r w:rsidR="008E04D0" w:rsidRPr="007915F2">
        <w:rPr>
          <w:rFonts w:ascii="Garamond" w:hAnsi="Garamond"/>
          <w:sz w:val="24"/>
          <w:szCs w:val="24"/>
        </w:rPr>
        <w:t xml:space="preserve"> and Gstettner</w:t>
      </w:r>
      <w:r w:rsidRPr="007915F2">
        <w:rPr>
          <w:rFonts w:ascii="Garamond" w:hAnsi="Garamond"/>
          <w:sz w:val="24"/>
          <w:szCs w:val="24"/>
        </w:rPr>
        <w:t xml:space="preserve"> (2018) predict that the supply chain function may become obsolete and </w:t>
      </w:r>
      <w:r w:rsidR="008B24D1" w:rsidRPr="007915F2">
        <w:rPr>
          <w:rFonts w:ascii="Garamond" w:hAnsi="Garamond"/>
          <w:sz w:val="24"/>
          <w:szCs w:val="24"/>
        </w:rPr>
        <w:t xml:space="preserve">be </w:t>
      </w:r>
      <w:r w:rsidRPr="007915F2">
        <w:rPr>
          <w:rFonts w:ascii="Garamond" w:hAnsi="Garamond"/>
          <w:sz w:val="24"/>
          <w:szCs w:val="24"/>
        </w:rPr>
        <w:t xml:space="preserve">replaced by a smooth, </w:t>
      </w:r>
      <w:r w:rsidR="008E04D0" w:rsidRPr="007915F2">
        <w:rPr>
          <w:rFonts w:ascii="Garamond" w:hAnsi="Garamond"/>
          <w:sz w:val="24"/>
          <w:szCs w:val="24"/>
        </w:rPr>
        <w:t>“</w:t>
      </w:r>
      <w:r w:rsidRPr="007915F2">
        <w:rPr>
          <w:rFonts w:ascii="Garamond" w:hAnsi="Garamond"/>
          <w:sz w:val="24"/>
          <w:szCs w:val="24"/>
        </w:rPr>
        <w:t>self-regulating utility</w:t>
      </w:r>
      <w:r w:rsidR="008E04D0" w:rsidRPr="007915F2">
        <w:rPr>
          <w:rFonts w:ascii="Garamond" w:hAnsi="Garamond"/>
          <w:sz w:val="24"/>
          <w:szCs w:val="24"/>
        </w:rPr>
        <w:t>”</w:t>
      </w:r>
      <w:r w:rsidRPr="007915F2">
        <w:rPr>
          <w:rFonts w:ascii="Garamond" w:hAnsi="Garamond"/>
          <w:sz w:val="24"/>
          <w:szCs w:val="24"/>
        </w:rPr>
        <w:t xml:space="preserve"> with little human </w:t>
      </w:r>
      <w:r w:rsidR="008B24D1" w:rsidRPr="007915F2">
        <w:rPr>
          <w:rFonts w:ascii="Garamond" w:hAnsi="Garamond"/>
          <w:sz w:val="24"/>
          <w:szCs w:val="24"/>
        </w:rPr>
        <w:t>interference</w:t>
      </w:r>
      <w:r w:rsidR="008E04D0" w:rsidRPr="007915F2">
        <w:rPr>
          <w:rFonts w:ascii="Garamond" w:hAnsi="Garamond"/>
          <w:sz w:val="24"/>
          <w:szCs w:val="24"/>
        </w:rPr>
        <w:t>. Others (c.f.</w:t>
      </w:r>
      <w:r w:rsidR="00C24ABC" w:rsidRPr="007915F2">
        <w:rPr>
          <w:rFonts w:ascii="Garamond" w:hAnsi="Garamond"/>
          <w:sz w:val="24"/>
          <w:szCs w:val="24"/>
        </w:rPr>
        <w:t xml:space="preserve"> Ambulkar, S., Blackhurst, J. and Grawe, 2015; Schniederjans, Curado, and Khalajhedayati, 2020</w:t>
      </w:r>
      <w:r w:rsidRPr="007915F2">
        <w:rPr>
          <w:rFonts w:ascii="Garamond" w:hAnsi="Garamond"/>
          <w:sz w:val="24"/>
          <w:szCs w:val="24"/>
        </w:rPr>
        <w:t xml:space="preserve">) casts doubt on this point of view.  Our study on a relatively exclusive industry (medical equipment) revealed that the 5-tiers backward supply chain in this industry includes close to 160,000 dyadic connections spreading around the world; Such structure is ripe for various interruptions </w:t>
      </w:r>
      <w:r w:rsidR="00F41CD3" w:rsidRPr="007915F2">
        <w:rPr>
          <w:rFonts w:ascii="Garamond" w:hAnsi="Garamond"/>
          <w:sz w:val="24"/>
          <w:szCs w:val="24"/>
        </w:rPr>
        <w:t xml:space="preserve">and black-swan events (Taleb, 2007) </w:t>
      </w:r>
      <w:r w:rsidRPr="007915F2">
        <w:rPr>
          <w:rFonts w:ascii="Garamond" w:hAnsi="Garamond"/>
          <w:sz w:val="24"/>
          <w:szCs w:val="24"/>
        </w:rPr>
        <w:t>caused by “destabilizing factors” such as “</w:t>
      </w:r>
      <w:r w:rsidRPr="007915F2">
        <w:rPr>
          <w:rFonts w:ascii="Garamond" w:hAnsi="Garamond"/>
          <w:color w:val="000000"/>
          <w:sz w:val="24"/>
          <w:szCs w:val="24"/>
          <w:shd w:val="clear" w:color="auto" w:fill="FFFFFF"/>
        </w:rPr>
        <w:t>powerful weather, pandemic, port closures, and political instability</w:t>
      </w:r>
      <w:r w:rsidRPr="007915F2">
        <w:rPr>
          <w:rFonts w:ascii="Garamond" w:hAnsi="Garamond"/>
          <w:sz w:val="24"/>
          <w:szCs w:val="24"/>
        </w:rPr>
        <w:t>” (NASEM, 2018, p. 10).</w:t>
      </w:r>
      <w:r w:rsidR="004A2BB1" w:rsidRPr="007915F2">
        <w:rPr>
          <w:rFonts w:ascii="Garamond" w:hAnsi="Garamond"/>
          <w:sz w:val="24"/>
          <w:szCs w:val="24"/>
        </w:rPr>
        <w:t xml:space="preserve"> </w:t>
      </w:r>
      <w:r w:rsidR="00D67FD0" w:rsidRPr="007915F2">
        <w:rPr>
          <w:rFonts w:ascii="Garamond" w:hAnsi="Garamond"/>
          <w:sz w:val="24"/>
          <w:szCs w:val="24"/>
        </w:rPr>
        <w:t>Considering the current state of the global supply chain, the claim of “the death of supply chain management” (Lyall et al. 2018) may be considered only as a “provocatively titled” work (Sank, Esper, Goldsby, Zinn, and Autry, 2019).</w:t>
      </w:r>
    </w:p>
    <w:p w14:paraId="6B0AE965" w14:textId="77777777" w:rsidR="00D67FD0" w:rsidRPr="007915F2" w:rsidRDefault="00D67FD0" w:rsidP="00273807">
      <w:pPr>
        <w:spacing w:after="0" w:line="240" w:lineRule="auto"/>
        <w:jc w:val="both"/>
        <w:rPr>
          <w:rFonts w:ascii="Garamond" w:hAnsi="Garamond"/>
          <w:sz w:val="24"/>
          <w:szCs w:val="24"/>
        </w:rPr>
      </w:pPr>
    </w:p>
    <w:p w14:paraId="1CA8C4E6" w14:textId="77777777" w:rsidR="00CE42E9" w:rsidRPr="007915F2" w:rsidRDefault="008B24D1" w:rsidP="00D61CD6">
      <w:pPr>
        <w:spacing w:after="0" w:line="240" w:lineRule="auto"/>
        <w:jc w:val="both"/>
        <w:rPr>
          <w:rFonts w:ascii="Garamond" w:hAnsi="Garamond"/>
          <w:sz w:val="24"/>
          <w:szCs w:val="24"/>
        </w:rPr>
      </w:pPr>
      <w:r w:rsidRPr="007915F2">
        <w:rPr>
          <w:rFonts w:ascii="Garamond" w:hAnsi="Garamond"/>
          <w:sz w:val="24"/>
          <w:szCs w:val="24"/>
        </w:rPr>
        <w:t>Post-COVID-19, t</w:t>
      </w:r>
      <w:r w:rsidR="00196E78" w:rsidRPr="007915F2">
        <w:rPr>
          <w:rFonts w:ascii="Garamond" w:hAnsi="Garamond"/>
          <w:sz w:val="24"/>
          <w:szCs w:val="24"/>
        </w:rPr>
        <w:t xml:space="preserve">here seems to be a </w:t>
      </w:r>
      <w:r w:rsidR="00273807" w:rsidRPr="007915F2">
        <w:rPr>
          <w:rFonts w:ascii="Garamond" w:hAnsi="Garamond"/>
          <w:sz w:val="24"/>
          <w:szCs w:val="24"/>
        </w:rPr>
        <w:t>cons</w:t>
      </w:r>
      <w:r w:rsidR="00196E78" w:rsidRPr="007915F2">
        <w:rPr>
          <w:rFonts w:ascii="Garamond" w:hAnsi="Garamond"/>
          <w:sz w:val="24"/>
          <w:szCs w:val="24"/>
        </w:rPr>
        <w:t xml:space="preserve">ensus in the literature that commercial supply chains, particularly those related to pharma, medical supply (Stellinger, Berglund, and Isakson, 2020) and medical consumables, medical equipment, and medicines (Evenett, 2020) should prepare for potential implementation of protectionism by nations around the world. </w:t>
      </w:r>
      <w:r w:rsidR="00627780" w:rsidRPr="007915F2">
        <w:rPr>
          <w:rFonts w:ascii="Garamond" w:hAnsi="Garamond"/>
          <w:sz w:val="24"/>
          <w:szCs w:val="24"/>
        </w:rPr>
        <w:t>The p</w:t>
      </w:r>
      <w:r w:rsidR="00196E78" w:rsidRPr="007915F2">
        <w:rPr>
          <w:rFonts w:ascii="Garamond" w:hAnsi="Garamond"/>
          <w:sz w:val="24"/>
          <w:szCs w:val="24"/>
        </w:rPr>
        <w:t xml:space="preserve">rotectionist policies may not necessarily “address the root causes of the challenge” (Evenett, 2020) however </w:t>
      </w:r>
      <w:r w:rsidR="00627780" w:rsidRPr="007915F2">
        <w:rPr>
          <w:rFonts w:ascii="Garamond" w:hAnsi="Garamond"/>
          <w:sz w:val="24"/>
          <w:szCs w:val="24"/>
        </w:rPr>
        <w:t xml:space="preserve">such policies </w:t>
      </w:r>
      <w:r w:rsidR="00196E78" w:rsidRPr="007915F2">
        <w:rPr>
          <w:rFonts w:ascii="Garamond" w:hAnsi="Garamond"/>
          <w:sz w:val="24"/>
          <w:szCs w:val="24"/>
        </w:rPr>
        <w:t>seems to be inevitable</w:t>
      </w:r>
      <w:r w:rsidR="008E10F3" w:rsidRPr="007915F2">
        <w:rPr>
          <w:rFonts w:ascii="Garamond" w:hAnsi="Garamond"/>
          <w:sz w:val="24"/>
          <w:szCs w:val="24"/>
        </w:rPr>
        <w:t xml:space="preserve"> even though </w:t>
      </w:r>
      <w:r w:rsidR="00627780" w:rsidRPr="007915F2">
        <w:rPr>
          <w:rFonts w:ascii="Garamond" w:hAnsi="Garamond"/>
          <w:sz w:val="24"/>
          <w:szCs w:val="24"/>
        </w:rPr>
        <w:t>they</w:t>
      </w:r>
      <w:r w:rsidR="0055198F" w:rsidRPr="007915F2">
        <w:rPr>
          <w:rFonts w:ascii="Garamond" w:hAnsi="Garamond"/>
          <w:sz w:val="24"/>
          <w:szCs w:val="24"/>
        </w:rPr>
        <w:t xml:space="preserve"> may be</w:t>
      </w:r>
      <w:r w:rsidR="008E10F3" w:rsidRPr="007915F2">
        <w:rPr>
          <w:rFonts w:ascii="Garamond" w:hAnsi="Garamond"/>
          <w:sz w:val="24"/>
          <w:szCs w:val="24"/>
        </w:rPr>
        <w:t xml:space="preserve"> “costly for the world economy” (Furceri, Hannan, Ostry and Roe, 2020)</w:t>
      </w:r>
      <w:r w:rsidR="00F56A74" w:rsidRPr="007915F2">
        <w:rPr>
          <w:rFonts w:ascii="Garamond" w:hAnsi="Garamond"/>
          <w:sz w:val="24"/>
          <w:szCs w:val="24"/>
        </w:rPr>
        <w:t xml:space="preserve">. The World Trade Organization </w:t>
      </w:r>
      <w:r w:rsidR="008E10F3" w:rsidRPr="007915F2">
        <w:rPr>
          <w:rFonts w:ascii="Garamond" w:hAnsi="Garamond"/>
          <w:sz w:val="24"/>
          <w:szCs w:val="24"/>
        </w:rPr>
        <w:t xml:space="preserve">(2020) </w:t>
      </w:r>
      <w:r w:rsidR="00F56A74" w:rsidRPr="007915F2">
        <w:rPr>
          <w:rFonts w:ascii="Garamond" w:hAnsi="Garamond"/>
          <w:sz w:val="24"/>
          <w:szCs w:val="24"/>
        </w:rPr>
        <w:t xml:space="preserve">expects </w:t>
      </w:r>
      <w:r w:rsidR="0055198F" w:rsidRPr="007915F2">
        <w:rPr>
          <w:rFonts w:ascii="Garamond" w:hAnsi="Garamond"/>
          <w:sz w:val="24"/>
          <w:szCs w:val="24"/>
        </w:rPr>
        <w:t xml:space="preserve">a </w:t>
      </w:r>
      <w:r w:rsidR="008E10F3" w:rsidRPr="007915F2">
        <w:rPr>
          <w:rFonts w:ascii="Garamond" w:hAnsi="Garamond"/>
          <w:sz w:val="24"/>
          <w:szCs w:val="24"/>
        </w:rPr>
        <w:t xml:space="preserve">short-term </w:t>
      </w:r>
      <w:r w:rsidR="00F56A74" w:rsidRPr="007915F2">
        <w:rPr>
          <w:rFonts w:ascii="Garamond" w:hAnsi="Garamond"/>
          <w:sz w:val="24"/>
          <w:szCs w:val="24"/>
        </w:rPr>
        <w:t xml:space="preserve">13% to 32% decrease </w:t>
      </w:r>
      <w:r w:rsidR="0055198F" w:rsidRPr="007915F2">
        <w:rPr>
          <w:rFonts w:ascii="Garamond" w:hAnsi="Garamond"/>
          <w:sz w:val="24"/>
          <w:szCs w:val="24"/>
        </w:rPr>
        <w:t>in</w:t>
      </w:r>
      <w:r w:rsidR="00F56A74" w:rsidRPr="007915F2">
        <w:rPr>
          <w:rFonts w:ascii="Garamond" w:hAnsi="Garamond"/>
          <w:sz w:val="24"/>
          <w:szCs w:val="24"/>
        </w:rPr>
        <w:t xml:space="preserve"> the global trade in 2020</w:t>
      </w:r>
      <w:r w:rsidR="00627780" w:rsidRPr="007915F2">
        <w:rPr>
          <w:rFonts w:ascii="Garamond" w:hAnsi="Garamond"/>
          <w:sz w:val="24"/>
          <w:szCs w:val="24"/>
        </w:rPr>
        <w:t xml:space="preserve">. </w:t>
      </w:r>
      <w:r w:rsidR="00CE42E9" w:rsidRPr="007915F2">
        <w:rPr>
          <w:rFonts w:ascii="Garamond" w:hAnsi="Garamond"/>
          <w:sz w:val="24"/>
          <w:szCs w:val="24"/>
        </w:rPr>
        <w:t>Businesses and policymakers could face with long-term changes stemming from “trade discriminations”, “dismantling the international supply chains [and] reliance on domestic production” (Yacoub, and El-Zomor, 2020, pp:11). It is expected that the tariffs and protectionist policies will affect the “location decision” of firms which in turn will result in changes to the structure of global supply chains (Culot, Orzes, Sartor</w:t>
      </w:r>
      <w:r w:rsidR="0055198F" w:rsidRPr="007915F2">
        <w:rPr>
          <w:rFonts w:ascii="Garamond" w:hAnsi="Garamond"/>
          <w:sz w:val="24"/>
          <w:szCs w:val="24"/>
        </w:rPr>
        <w:t>,</w:t>
      </w:r>
      <w:r w:rsidR="00CE42E9" w:rsidRPr="007915F2">
        <w:rPr>
          <w:rFonts w:ascii="Garamond" w:hAnsi="Garamond"/>
          <w:sz w:val="24"/>
          <w:szCs w:val="24"/>
        </w:rPr>
        <w:t xml:space="preserve"> and Nassimbeni, 2020).</w:t>
      </w:r>
    </w:p>
    <w:p w14:paraId="1196731D" w14:textId="77777777" w:rsidR="00EB4301" w:rsidRPr="007915F2" w:rsidRDefault="00EB4301" w:rsidP="00D61CD6">
      <w:pPr>
        <w:spacing w:after="0" w:line="240" w:lineRule="auto"/>
        <w:jc w:val="both"/>
        <w:rPr>
          <w:rFonts w:ascii="Garamond" w:hAnsi="Garamond"/>
          <w:sz w:val="24"/>
          <w:szCs w:val="24"/>
        </w:rPr>
      </w:pPr>
    </w:p>
    <w:p w14:paraId="2872EBB0" w14:textId="77777777" w:rsidR="005B7707" w:rsidRPr="007915F2" w:rsidRDefault="005B7707" w:rsidP="005B7707">
      <w:pPr>
        <w:spacing w:after="0" w:line="240" w:lineRule="auto"/>
        <w:jc w:val="both"/>
        <w:rPr>
          <w:rFonts w:ascii="Garamond" w:hAnsi="Garamond"/>
          <w:sz w:val="24"/>
          <w:szCs w:val="24"/>
        </w:rPr>
      </w:pPr>
      <w:r w:rsidRPr="007915F2">
        <w:rPr>
          <w:rFonts w:ascii="Garamond" w:hAnsi="Garamond"/>
          <w:sz w:val="24"/>
          <w:szCs w:val="24"/>
        </w:rPr>
        <w:t xml:space="preserve">The management of global supply chain of medical equipment can be studied from different perspectives such as pricing (Ma, Gong, Jin, 2019), surplus management (Atasu, Toktay, Yeo and Zhang, 2017), quality assessment (Kong, Xu, Yang and Ma, 2015), medical waste supply chain management (Alizadeh, Makui and Paydar, 2020) and corporate social responsibility (2018) to name a few. Some of the previous studies have explored healthcare in the context of disasters. The focus of this study is on the global aspect of the supply chain and how a rupture in the supply chain can affect the performance expectations of the firms. </w:t>
      </w:r>
      <w:r w:rsidRPr="007915F2">
        <w:rPr>
          <w:rFonts w:ascii="Garamond" w:hAnsi="Garamond"/>
          <w:color w:val="333333"/>
          <w:sz w:val="24"/>
          <w:szCs w:val="24"/>
          <w:shd w:val="clear" w:color="auto" w:fill="FFFFFF"/>
        </w:rPr>
        <w:t xml:space="preserve">In the present study, we also explore how the elimination of a notable country from the global supply chain affects the centrality of the remaining actors in the global supply chain. In the simulation, we remove all firms headquartered in China (including Taiwan, </w:t>
      </w:r>
      <w:r w:rsidRPr="007915F2">
        <w:rPr>
          <w:rFonts w:ascii="Garamond" w:hAnsi="Garamond"/>
          <w:sz w:val="24"/>
          <w:szCs w:val="24"/>
        </w:rPr>
        <w:t>Macao,</w:t>
      </w:r>
      <w:r w:rsidRPr="007915F2">
        <w:rPr>
          <w:rFonts w:ascii="Garamond" w:hAnsi="Garamond"/>
          <w:color w:val="333333"/>
          <w:sz w:val="24"/>
          <w:szCs w:val="24"/>
          <w:shd w:val="clear" w:color="auto" w:fill="FFFFFF"/>
        </w:rPr>
        <w:t xml:space="preserve"> and Hong Kong) and rebuild the global supply chain network to assess how the relationship between firms’ position in the network and firms’ performance changes. T</w:t>
      </w:r>
      <w:r w:rsidRPr="007915F2">
        <w:rPr>
          <w:rFonts w:ascii="Garamond" w:hAnsi="Garamond"/>
          <w:sz w:val="24"/>
          <w:szCs w:val="24"/>
        </w:rPr>
        <w:t>he COVID19 global pandemic experience highlighted the difference between a local or limited interruption and a global rupture in the supply chain. In this section regression analyses of the models including and excluding China are presented.</w:t>
      </w:r>
    </w:p>
    <w:p w14:paraId="53CAE4EB" w14:textId="77777777" w:rsidR="00EB4301" w:rsidRPr="007915F2" w:rsidRDefault="00EB4301" w:rsidP="00D61CD6">
      <w:pPr>
        <w:spacing w:after="0" w:line="240" w:lineRule="auto"/>
        <w:jc w:val="both"/>
        <w:rPr>
          <w:rFonts w:ascii="Garamond" w:hAnsi="Garamond"/>
          <w:sz w:val="24"/>
          <w:szCs w:val="24"/>
        </w:rPr>
      </w:pPr>
    </w:p>
    <w:p w14:paraId="29BCECDB" w14:textId="77777777" w:rsidR="00EB4301" w:rsidRPr="007915F2" w:rsidRDefault="00EB4301" w:rsidP="00D61CD6">
      <w:pPr>
        <w:spacing w:after="0" w:line="240" w:lineRule="auto"/>
        <w:jc w:val="both"/>
        <w:rPr>
          <w:rFonts w:ascii="Garamond" w:hAnsi="Garamond"/>
          <w:sz w:val="24"/>
          <w:szCs w:val="24"/>
        </w:rPr>
      </w:pPr>
    </w:p>
    <w:p w14:paraId="11B59320" w14:textId="29986321" w:rsidR="0093071C" w:rsidRPr="007915F2" w:rsidRDefault="0093071C" w:rsidP="0093071C">
      <w:pPr>
        <w:spacing w:after="0" w:line="240" w:lineRule="auto"/>
        <w:ind w:firstLine="720"/>
        <w:jc w:val="both"/>
        <w:rPr>
          <w:rFonts w:ascii="Garamond" w:hAnsi="Garamond"/>
          <w:sz w:val="24"/>
          <w:szCs w:val="24"/>
        </w:rPr>
      </w:pPr>
      <w:r w:rsidRPr="007915F2">
        <w:rPr>
          <w:rFonts w:ascii="Garamond" w:hAnsi="Garamond"/>
          <w:sz w:val="24"/>
          <w:szCs w:val="24"/>
        </w:rPr>
        <w:t>This paper is mo</w:t>
      </w:r>
      <w:r w:rsidR="00306D66" w:rsidRPr="007915F2">
        <w:rPr>
          <w:rFonts w:ascii="Garamond" w:hAnsi="Garamond"/>
          <w:sz w:val="24"/>
          <w:szCs w:val="24"/>
        </w:rPr>
        <w:t>tivated by a serious deficiency</w:t>
      </w:r>
      <w:r w:rsidRPr="007915F2">
        <w:rPr>
          <w:rFonts w:ascii="Garamond" w:hAnsi="Garamond"/>
          <w:sz w:val="24"/>
          <w:szCs w:val="24"/>
        </w:rPr>
        <w:t xml:space="preserve"> in analyzing the financial consequences of the change in the structure of the global supply chain network</w:t>
      </w:r>
      <w:r w:rsidR="00FF5CF2" w:rsidRPr="007915F2">
        <w:rPr>
          <w:rFonts w:ascii="Garamond" w:hAnsi="Garamond"/>
          <w:sz w:val="24"/>
          <w:szCs w:val="24"/>
        </w:rPr>
        <w:t xml:space="preserve"> of medical equipment</w:t>
      </w:r>
      <w:r w:rsidRPr="007915F2">
        <w:rPr>
          <w:rFonts w:ascii="Garamond" w:hAnsi="Garamond"/>
          <w:sz w:val="24"/>
          <w:szCs w:val="24"/>
        </w:rPr>
        <w:t xml:space="preserve"> where a cluster of firms get eliminated as a result of the nationalistic policies of protectionism and tariff barriers. </w:t>
      </w:r>
      <w:r w:rsidRPr="007915F2">
        <w:rPr>
          <w:rFonts w:ascii="Garamond" w:hAnsi="Garamond"/>
          <w:color w:val="000000"/>
          <w:sz w:val="24"/>
          <w:szCs w:val="24"/>
        </w:rPr>
        <w:t xml:space="preserve">In this paper, we estimate a model of firm performance, measured by </w:t>
      </w:r>
      <w:r w:rsidR="008B24D1" w:rsidRPr="007915F2">
        <w:rPr>
          <w:rFonts w:ascii="Garamond" w:hAnsi="Garamond"/>
          <w:color w:val="000000"/>
          <w:sz w:val="24"/>
          <w:szCs w:val="24"/>
        </w:rPr>
        <w:t xml:space="preserve">both accounting and market performance, </w:t>
      </w:r>
      <w:r w:rsidRPr="007915F2">
        <w:rPr>
          <w:rFonts w:ascii="Garamond" w:hAnsi="Garamond"/>
          <w:color w:val="000000"/>
          <w:sz w:val="24"/>
          <w:szCs w:val="24"/>
        </w:rPr>
        <w:t>using data for</w:t>
      </w:r>
      <w:r w:rsidR="00763FFE">
        <w:rPr>
          <w:rFonts w:ascii="Garamond" w:hAnsi="Garamond"/>
          <w:color w:val="000000"/>
          <w:sz w:val="24"/>
          <w:szCs w:val="24"/>
        </w:rPr>
        <w:t>m</w:t>
      </w:r>
      <w:r w:rsidRPr="007915F2">
        <w:rPr>
          <w:rFonts w:ascii="Garamond" w:hAnsi="Garamond"/>
          <w:color w:val="000000"/>
          <w:sz w:val="24"/>
          <w:szCs w:val="24"/>
        </w:rPr>
        <w:t xml:space="preserve"> </w:t>
      </w:r>
      <w:r w:rsidR="008B24D1" w:rsidRPr="007915F2">
        <w:rPr>
          <w:rFonts w:ascii="Garamond" w:hAnsi="Garamond"/>
          <w:color w:val="000000"/>
          <w:sz w:val="24"/>
          <w:szCs w:val="24"/>
        </w:rPr>
        <w:t>3,739</w:t>
      </w:r>
      <w:r w:rsidRPr="007915F2">
        <w:rPr>
          <w:rFonts w:ascii="Garamond" w:hAnsi="Garamond"/>
          <w:color w:val="000000"/>
          <w:sz w:val="24"/>
          <w:szCs w:val="24"/>
        </w:rPr>
        <w:t xml:space="preserve"> </w:t>
      </w:r>
      <w:r w:rsidR="008B24D1" w:rsidRPr="007915F2">
        <w:rPr>
          <w:rFonts w:ascii="Garamond" w:hAnsi="Garamond"/>
          <w:color w:val="000000"/>
          <w:sz w:val="24"/>
          <w:szCs w:val="24"/>
        </w:rPr>
        <w:t>firms, across industries, for 2019</w:t>
      </w:r>
      <w:r w:rsidRPr="007915F2">
        <w:rPr>
          <w:rFonts w:ascii="Garamond" w:hAnsi="Garamond"/>
          <w:color w:val="000000"/>
          <w:sz w:val="24"/>
          <w:szCs w:val="24"/>
        </w:rPr>
        <w:t>.</w:t>
      </w:r>
      <w:r w:rsidR="00FF5CF2" w:rsidRPr="007915F2">
        <w:rPr>
          <w:rFonts w:ascii="Garamond" w:hAnsi="Garamond"/>
          <w:color w:val="000000"/>
          <w:sz w:val="24"/>
          <w:szCs w:val="24"/>
        </w:rPr>
        <w:t xml:space="preserve"> When China is included in the supply chain network, o</w:t>
      </w:r>
      <w:r w:rsidRPr="007915F2">
        <w:rPr>
          <w:rFonts w:ascii="Garamond" w:hAnsi="Garamond"/>
          <w:color w:val="000000"/>
          <w:sz w:val="24"/>
          <w:szCs w:val="24"/>
        </w:rPr>
        <w:t xml:space="preserve">ur results provide convincing evidence of a highly </w:t>
      </w:r>
      <w:r w:rsidR="00FF5CF2" w:rsidRPr="007915F2">
        <w:rPr>
          <w:rFonts w:ascii="Garamond" w:hAnsi="Garamond"/>
          <w:color w:val="000000"/>
          <w:sz w:val="24"/>
          <w:szCs w:val="24"/>
        </w:rPr>
        <w:t>statistically significant positive</w:t>
      </w:r>
      <w:r w:rsidRPr="007915F2">
        <w:rPr>
          <w:rFonts w:ascii="Garamond" w:hAnsi="Garamond"/>
          <w:color w:val="000000"/>
          <w:sz w:val="24"/>
          <w:szCs w:val="24"/>
        </w:rPr>
        <w:t xml:space="preserve"> relationship between </w:t>
      </w:r>
      <w:r w:rsidR="00FF5CF2" w:rsidRPr="007915F2">
        <w:rPr>
          <w:rFonts w:ascii="Garamond" w:hAnsi="Garamond"/>
          <w:color w:val="000000"/>
          <w:sz w:val="24"/>
          <w:szCs w:val="24"/>
        </w:rPr>
        <w:t>firm performance and centrality measures</w:t>
      </w:r>
      <w:r w:rsidRPr="007915F2">
        <w:rPr>
          <w:rFonts w:ascii="Garamond" w:hAnsi="Garamond"/>
          <w:color w:val="000000"/>
          <w:sz w:val="24"/>
          <w:szCs w:val="24"/>
        </w:rPr>
        <w:t>, a finding that remains robust across a number of different model specifications.</w:t>
      </w:r>
      <w:r w:rsidR="00FF5CF2" w:rsidRPr="007915F2">
        <w:rPr>
          <w:rFonts w:ascii="Garamond" w:hAnsi="Garamond"/>
          <w:color w:val="000000"/>
          <w:sz w:val="24"/>
          <w:szCs w:val="24"/>
        </w:rPr>
        <w:t xml:space="preserve">   However, when we exclude China some of the centrality measures are no longer significant while others exhibit a negat</w:t>
      </w:r>
      <w:r w:rsidR="00763FFE">
        <w:rPr>
          <w:rFonts w:ascii="Garamond" w:hAnsi="Garamond"/>
          <w:color w:val="000000"/>
          <w:sz w:val="24"/>
          <w:szCs w:val="24"/>
        </w:rPr>
        <w:t>ive effect on firm performance.</w:t>
      </w:r>
    </w:p>
    <w:p w14:paraId="7DD9DA55" w14:textId="77777777" w:rsidR="0093071C" w:rsidRPr="007915F2" w:rsidRDefault="0093071C" w:rsidP="00D61CD6">
      <w:pPr>
        <w:spacing w:after="0" w:line="240" w:lineRule="auto"/>
        <w:jc w:val="both"/>
        <w:rPr>
          <w:rFonts w:ascii="Garamond" w:hAnsi="Garamond"/>
          <w:sz w:val="24"/>
          <w:szCs w:val="24"/>
        </w:rPr>
      </w:pPr>
    </w:p>
    <w:p w14:paraId="2999F96C" w14:textId="561FBFFB" w:rsidR="00123ECB" w:rsidRPr="007915F2" w:rsidRDefault="00123ECB" w:rsidP="00D61CD6">
      <w:pPr>
        <w:spacing w:after="0" w:line="240" w:lineRule="auto"/>
        <w:jc w:val="both"/>
        <w:rPr>
          <w:rFonts w:ascii="Garamond" w:hAnsi="Garamond"/>
          <w:sz w:val="24"/>
          <w:szCs w:val="24"/>
        </w:rPr>
      </w:pPr>
      <w:r w:rsidRPr="007915F2">
        <w:rPr>
          <w:rFonts w:ascii="Garamond" w:hAnsi="Garamond"/>
          <w:sz w:val="24"/>
          <w:szCs w:val="24"/>
        </w:rPr>
        <w:t>The remainder of the paper is organized as follows.  In section 2, we provide the theoretical background, examine extant literature</w:t>
      </w:r>
      <w:r w:rsidR="00763FFE">
        <w:rPr>
          <w:rFonts w:ascii="Garamond" w:hAnsi="Garamond"/>
          <w:sz w:val="24"/>
          <w:szCs w:val="24"/>
        </w:rPr>
        <w:t>,</w:t>
      </w:r>
      <w:r w:rsidRPr="007915F2">
        <w:rPr>
          <w:rFonts w:ascii="Garamond" w:hAnsi="Garamond"/>
          <w:sz w:val="24"/>
          <w:szCs w:val="24"/>
        </w:rPr>
        <w:t xml:space="preserve"> and discuss network centrality measures. In Section 3 we develop the general hypothesis. Section 4 discusses the research design, including sample selection, and descriptive statistics. In section 6 we report the empirical results. Results from a number of robustness tests are also discussed.  Sections 7 and 8 deal with conclusions and limitations. </w:t>
      </w:r>
    </w:p>
    <w:p w14:paraId="13027888" w14:textId="77777777" w:rsidR="0093071C" w:rsidRPr="007915F2" w:rsidRDefault="0093071C" w:rsidP="00D61CD6">
      <w:pPr>
        <w:spacing w:after="0" w:line="240" w:lineRule="auto"/>
        <w:jc w:val="both"/>
        <w:rPr>
          <w:rFonts w:ascii="Garamond" w:hAnsi="Garamond"/>
          <w:sz w:val="24"/>
          <w:szCs w:val="24"/>
        </w:rPr>
      </w:pPr>
    </w:p>
    <w:p w14:paraId="60D6BA25" w14:textId="77777777" w:rsidR="00426DAE" w:rsidRPr="007915F2" w:rsidRDefault="00DF52F2" w:rsidP="00D61CD6">
      <w:pPr>
        <w:spacing w:after="0" w:line="240" w:lineRule="auto"/>
        <w:rPr>
          <w:rFonts w:ascii="Garamond" w:hAnsi="Garamond"/>
          <w:b/>
          <w:sz w:val="24"/>
          <w:szCs w:val="24"/>
        </w:rPr>
      </w:pPr>
      <w:r w:rsidRPr="007915F2">
        <w:rPr>
          <w:rFonts w:ascii="Garamond" w:hAnsi="Garamond"/>
          <w:b/>
          <w:sz w:val="24"/>
          <w:szCs w:val="24"/>
        </w:rPr>
        <w:t>2. Literature Review</w:t>
      </w:r>
      <w:r w:rsidR="00426DAE" w:rsidRPr="007915F2">
        <w:rPr>
          <w:rFonts w:ascii="Garamond" w:hAnsi="Garamond"/>
          <w:b/>
          <w:sz w:val="24"/>
          <w:szCs w:val="24"/>
        </w:rPr>
        <w:t xml:space="preserve">: </w:t>
      </w:r>
    </w:p>
    <w:p w14:paraId="28AFF4E2" w14:textId="77777777" w:rsidR="00426DAE" w:rsidRPr="007915F2" w:rsidRDefault="00426DAE" w:rsidP="00D61CD6">
      <w:pPr>
        <w:spacing w:after="0" w:line="240" w:lineRule="auto"/>
        <w:rPr>
          <w:rFonts w:ascii="Garamond" w:hAnsi="Garamond"/>
          <w:b/>
          <w:sz w:val="24"/>
          <w:szCs w:val="24"/>
        </w:rPr>
      </w:pPr>
      <w:r w:rsidRPr="007915F2">
        <w:rPr>
          <w:rFonts w:ascii="Garamond" w:hAnsi="Garamond"/>
          <w:b/>
          <w:sz w:val="24"/>
          <w:szCs w:val="24"/>
        </w:rPr>
        <w:t xml:space="preserve">2.1 State of Global Supply Chain in </w:t>
      </w:r>
      <w:r w:rsidR="000324C6" w:rsidRPr="007915F2">
        <w:rPr>
          <w:rFonts w:ascii="Garamond" w:hAnsi="Garamond"/>
          <w:b/>
          <w:sz w:val="24"/>
          <w:szCs w:val="24"/>
        </w:rPr>
        <w:t xml:space="preserve">the </w:t>
      </w:r>
      <w:r w:rsidRPr="007915F2">
        <w:rPr>
          <w:rFonts w:ascii="Garamond" w:hAnsi="Garamond"/>
          <w:b/>
          <w:sz w:val="24"/>
          <w:szCs w:val="24"/>
        </w:rPr>
        <w:t>Medical Equipment Industry</w:t>
      </w:r>
    </w:p>
    <w:p w14:paraId="01525AF8" w14:textId="3694F208" w:rsidR="00DF52F2" w:rsidRPr="007915F2" w:rsidRDefault="000324C6" w:rsidP="00D61CD6">
      <w:pPr>
        <w:spacing w:after="0" w:line="240" w:lineRule="auto"/>
        <w:jc w:val="both"/>
        <w:rPr>
          <w:rFonts w:ascii="Garamond" w:hAnsi="Garamond"/>
          <w:sz w:val="24"/>
          <w:szCs w:val="24"/>
        </w:rPr>
      </w:pPr>
      <w:r w:rsidRPr="007915F2">
        <w:rPr>
          <w:rFonts w:ascii="Garamond" w:hAnsi="Garamond"/>
          <w:sz w:val="24"/>
          <w:szCs w:val="24"/>
        </w:rPr>
        <w:t>The m</w:t>
      </w:r>
      <w:r w:rsidR="007C02DD" w:rsidRPr="007915F2">
        <w:rPr>
          <w:rFonts w:ascii="Garamond" w:hAnsi="Garamond"/>
          <w:sz w:val="24"/>
          <w:szCs w:val="24"/>
        </w:rPr>
        <w:t xml:space="preserve">edical equipment supply chain has been studied over the past several decades from various perspectives. Few researchers have explored this domain from a network perspective. These studies range from the analysis of </w:t>
      </w:r>
      <w:r w:rsidR="00763FFE">
        <w:rPr>
          <w:rFonts w:ascii="Garamond" w:hAnsi="Garamond"/>
          <w:sz w:val="24"/>
          <w:szCs w:val="24"/>
        </w:rPr>
        <w:t xml:space="preserve">the </w:t>
      </w:r>
      <w:r w:rsidR="007C02DD" w:rsidRPr="007915F2">
        <w:rPr>
          <w:rFonts w:ascii="Garamond" w:hAnsi="Garamond"/>
          <w:sz w:val="24"/>
          <w:szCs w:val="24"/>
        </w:rPr>
        <w:t xml:space="preserve">supply chain at the firm level and industry level, to </w:t>
      </w:r>
      <w:r w:rsidRPr="007915F2">
        <w:rPr>
          <w:rFonts w:ascii="Garamond" w:hAnsi="Garamond"/>
          <w:sz w:val="24"/>
          <w:szCs w:val="24"/>
        </w:rPr>
        <w:t xml:space="preserve">the </w:t>
      </w:r>
      <w:r w:rsidR="007C02DD" w:rsidRPr="007915F2">
        <w:rPr>
          <w:rFonts w:ascii="Garamond" w:hAnsi="Garamond"/>
          <w:sz w:val="24"/>
          <w:szCs w:val="24"/>
        </w:rPr>
        <w:t xml:space="preserve">regional and global level. </w:t>
      </w:r>
      <w:r w:rsidR="00EA2572" w:rsidRPr="007915F2">
        <w:rPr>
          <w:rFonts w:ascii="Garamond" w:hAnsi="Garamond"/>
          <w:sz w:val="24"/>
          <w:szCs w:val="24"/>
        </w:rPr>
        <w:t xml:space="preserve">One example is the work of </w:t>
      </w:r>
      <w:r w:rsidR="007C02DD" w:rsidRPr="007915F2">
        <w:rPr>
          <w:rFonts w:ascii="Garamond" w:hAnsi="Garamond"/>
          <w:sz w:val="24"/>
          <w:szCs w:val="24"/>
        </w:rPr>
        <w:t xml:space="preserve">Nagurney and Nagurney (2012) </w:t>
      </w:r>
      <w:r w:rsidR="00EA2572" w:rsidRPr="007915F2">
        <w:rPr>
          <w:rFonts w:ascii="Garamond" w:hAnsi="Garamond"/>
          <w:sz w:val="24"/>
          <w:szCs w:val="24"/>
        </w:rPr>
        <w:t xml:space="preserve">molybdenum </w:t>
      </w:r>
      <w:r w:rsidR="007C02DD" w:rsidRPr="007915F2">
        <w:rPr>
          <w:rFonts w:ascii="Garamond" w:hAnsi="Garamond"/>
          <w:sz w:val="24"/>
          <w:szCs w:val="24"/>
        </w:rPr>
        <w:t xml:space="preserve">supply chain network </w:t>
      </w:r>
      <w:r w:rsidR="00EA2572" w:rsidRPr="007915F2">
        <w:rPr>
          <w:rFonts w:ascii="Garamond" w:hAnsi="Garamond"/>
          <w:sz w:val="24"/>
          <w:szCs w:val="24"/>
        </w:rPr>
        <w:t>which has application</w:t>
      </w:r>
      <w:r w:rsidR="0055198F" w:rsidRPr="007915F2">
        <w:rPr>
          <w:rFonts w:ascii="Garamond" w:hAnsi="Garamond"/>
          <w:sz w:val="24"/>
          <w:szCs w:val="24"/>
        </w:rPr>
        <w:t>s</w:t>
      </w:r>
      <w:r w:rsidR="00EA2572" w:rsidRPr="007915F2">
        <w:rPr>
          <w:rFonts w:ascii="Garamond" w:hAnsi="Garamond"/>
          <w:sz w:val="24"/>
          <w:szCs w:val="24"/>
        </w:rPr>
        <w:t xml:space="preserve"> in</w:t>
      </w:r>
      <w:r w:rsidR="007C02DD" w:rsidRPr="007915F2">
        <w:rPr>
          <w:rFonts w:ascii="Garamond" w:hAnsi="Garamond"/>
          <w:sz w:val="24"/>
          <w:szCs w:val="24"/>
        </w:rPr>
        <w:t xml:space="preserve"> medical equipment. Nagurney and Nagurney (2012) further emphasized the importance of transportation and disposal of </w:t>
      </w:r>
      <w:r w:rsidR="0055198F" w:rsidRPr="007915F2">
        <w:rPr>
          <w:rFonts w:ascii="Garamond" w:hAnsi="Garamond"/>
          <w:sz w:val="24"/>
          <w:szCs w:val="24"/>
        </w:rPr>
        <w:t xml:space="preserve">the </w:t>
      </w:r>
      <w:r w:rsidR="007C02DD" w:rsidRPr="007915F2">
        <w:rPr>
          <w:rFonts w:ascii="Garamond" w:hAnsi="Garamond"/>
          <w:sz w:val="24"/>
          <w:szCs w:val="24"/>
        </w:rPr>
        <w:t xml:space="preserve">hazardous waste which </w:t>
      </w:r>
      <w:r w:rsidR="0055198F" w:rsidRPr="007915F2">
        <w:rPr>
          <w:rFonts w:ascii="Garamond" w:hAnsi="Garamond"/>
          <w:sz w:val="24"/>
          <w:szCs w:val="24"/>
        </w:rPr>
        <w:t>is</w:t>
      </w:r>
      <w:r w:rsidR="007C02DD" w:rsidRPr="007915F2">
        <w:rPr>
          <w:rFonts w:ascii="Garamond" w:hAnsi="Garamond"/>
          <w:sz w:val="24"/>
          <w:szCs w:val="24"/>
        </w:rPr>
        <w:t xml:space="preserve"> not the subject of this study as we are primarily focused on manufacturing and production network of the medical equipment. </w:t>
      </w:r>
      <w:r w:rsidR="00AB61EF" w:rsidRPr="007915F2">
        <w:rPr>
          <w:rFonts w:ascii="Garamond" w:hAnsi="Garamond"/>
          <w:sz w:val="24"/>
          <w:szCs w:val="24"/>
        </w:rPr>
        <w:t>Medical equipment along with drugs is a “key input in the healthcare sector” with expected $119.98 billion grow</w:t>
      </w:r>
      <w:r w:rsidR="004458BC" w:rsidRPr="007915F2">
        <w:rPr>
          <w:rFonts w:ascii="Garamond" w:hAnsi="Garamond"/>
          <w:sz w:val="24"/>
          <w:szCs w:val="24"/>
        </w:rPr>
        <w:t>th</w:t>
      </w:r>
      <w:r w:rsidR="00AB61EF" w:rsidRPr="007915F2">
        <w:rPr>
          <w:rFonts w:ascii="Garamond" w:hAnsi="Garamond"/>
          <w:sz w:val="24"/>
          <w:szCs w:val="24"/>
        </w:rPr>
        <w:t xml:space="preserve"> during 2018-2022 (Jha, 2019). </w:t>
      </w:r>
      <w:r w:rsidR="007C02DD" w:rsidRPr="007915F2">
        <w:rPr>
          <w:rFonts w:ascii="Garamond" w:hAnsi="Garamond"/>
          <w:sz w:val="24"/>
          <w:szCs w:val="24"/>
        </w:rPr>
        <w:t xml:space="preserve">The global supply chain and production of medical equipment has experienced significant transformations over the past few decades (Jha, 2019).  In one of </w:t>
      </w:r>
      <w:r w:rsidRPr="007915F2">
        <w:rPr>
          <w:rFonts w:ascii="Garamond" w:hAnsi="Garamond"/>
          <w:sz w:val="24"/>
          <w:szCs w:val="24"/>
        </w:rPr>
        <w:t xml:space="preserve">the </w:t>
      </w:r>
      <w:r w:rsidR="007C02DD" w:rsidRPr="007915F2">
        <w:rPr>
          <w:rFonts w:ascii="Garamond" w:hAnsi="Garamond"/>
          <w:sz w:val="24"/>
          <w:szCs w:val="24"/>
        </w:rPr>
        <w:t xml:space="preserve">early studies on the cross-industry supply chain </w:t>
      </w:r>
      <w:r w:rsidR="00EA2572" w:rsidRPr="007915F2">
        <w:rPr>
          <w:rFonts w:ascii="Garamond" w:hAnsi="Garamond"/>
          <w:sz w:val="24"/>
          <w:szCs w:val="24"/>
        </w:rPr>
        <w:t xml:space="preserve">of medical equipment </w:t>
      </w:r>
      <w:r w:rsidR="005B7707" w:rsidRPr="007915F2">
        <w:rPr>
          <w:rFonts w:ascii="Garamond" w:hAnsi="Garamond"/>
          <w:sz w:val="24"/>
          <w:szCs w:val="24"/>
        </w:rPr>
        <w:t>(Standard Industry Code 5047)</w:t>
      </w:r>
      <w:r w:rsidR="007C02DD" w:rsidRPr="007915F2">
        <w:rPr>
          <w:rFonts w:ascii="Garamond" w:hAnsi="Garamond"/>
          <w:sz w:val="24"/>
          <w:szCs w:val="24"/>
        </w:rPr>
        <w:t xml:space="preserve"> </w:t>
      </w:r>
      <w:r w:rsidR="00EA2572" w:rsidRPr="007915F2">
        <w:rPr>
          <w:rFonts w:ascii="Garamond" w:hAnsi="Garamond"/>
          <w:sz w:val="24"/>
          <w:szCs w:val="24"/>
        </w:rPr>
        <w:t xml:space="preserve">Maltz </w:t>
      </w:r>
      <w:r w:rsidR="007C02DD" w:rsidRPr="007915F2">
        <w:rPr>
          <w:rFonts w:ascii="Garamond" w:hAnsi="Garamond"/>
          <w:sz w:val="24"/>
          <w:szCs w:val="24"/>
        </w:rPr>
        <w:t>and Maltz (1998) explore the similarities and differences of medical equipment supply chain versus industrial equipment</w:t>
      </w:r>
      <w:r w:rsidR="004458BC" w:rsidRPr="007915F2">
        <w:rPr>
          <w:rFonts w:ascii="Garamond" w:hAnsi="Garamond"/>
          <w:sz w:val="24"/>
          <w:szCs w:val="24"/>
        </w:rPr>
        <w:t xml:space="preserve"> supply chains</w:t>
      </w:r>
      <w:r w:rsidR="007C02DD" w:rsidRPr="007915F2">
        <w:rPr>
          <w:rFonts w:ascii="Garamond" w:hAnsi="Garamond"/>
          <w:sz w:val="24"/>
          <w:szCs w:val="24"/>
        </w:rPr>
        <w:t xml:space="preserve">. They argue that </w:t>
      </w:r>
      <w:r w:rsidR="004458BC" w:rsidRPr="007915F2">
        <w:rPr>
          <w:rFonts w:ascii="Garamond" w:hAnsi="Garamond"/>
          <w:sz w:val="24"/>
          <w:szCs w:val="24"/>
        </w:rPr>
        <w:t xml:space="preserve">the </w:t>
      </w:r>
      <w:r w:rsidR="007C02DD" w:rsidRPr="007915F2">
        <w:rPr>
          <w:rFonts w:ascii="Garamond" w:hAnsi="Garamond"/>
          <w:sz w:val="24"/>
          <w:szCs w:val="24"/>
        </w:rPr>
        <w:t>availability and on-time delivery of medical equipment ha</w:t>
      </w:r>
      <w:r w:rsidR="0055198F" w:rsidRPr="007915F2">
        <w:rPr>
          <w:rFonts w:ascii="Garamond" w:hAnsi="Garamond"/>
          <w:sz w:val="24"/>
          <w:szCs w:val="24"/>
        </w:rPr>
        <w:t>ve</w:t>
      </w:r>
      <w:r w:rsidR="007C02DD" w:rsidRPr="007915F2">
        <w:rPr>
          <w:rFonts w:ascii="Garamond" w:hAnsi="Garamond"/>
          <w:sz w:val="24"/>
          <w:szCs w:val="24"/>
        </w:rPr>
        <w:t xml:space="preserve"> been better than that of industrial equipment and supplies. However, Maltz and Maltz (1998) find it “surprising” that “mean order cycle time is longer for medical products distributors versus industrial supply distributors”. </w:t>
      </w:r>
      <w:r w:rsidR="004458BC" w:rsidRPr="007915F2">
        <w:rPr>
          <w:rFonts w:ascii="Garamond" w:hAnsi="Garamond"/>
          <w:sz w:val="24"/>
          <w:szCs w:val="24"/>
        </w:rPr>
        <w:t xml:space="preserve"> They </w:t>
      </w:r>
      <w:r w:rsidR="007C02DD" w:rsidRPr="007915F2">
        <w:rPr>
          <w:rFonts w:ascii="Garamond" w:hAnsi="Garamond"/>
          <w:sz w:val="24"/>
          <w:szCs w:val="24"/>
        </w:rPr>
        <w:t>also provide evidence that supply chain channels of medical equipment require a higher level of service. However</w:t>
      </w:r>
      <w:r w:rsidR="00EA2572" w:rsidRPr="007915F2">
        <w:rPr>
          <w:rFonts w:ascii="Garamond" w:hAnsi="Garamond"/>
          <w:sz w:val="24"/>
          <w:szCs w:val="24"/>
        </w:rPr>
        <w:t>,</w:t>
      </w:r>
      <w:r w:rsidR="007C02DD" w:rsidRPr="007915F2">
        <w:rPr>
          <w:rFonts w:ascii="Garamond" w:hAnsi="Garamond"/>
          <w:sz w:val="24"/>
          <w:szCs w:val="24"/>
        </w:rPr>
        <w:t xml:space="preserve"> over the past few decades supply chain of medicine and medical equipment has become more efficient and lean compar</w:t>
      </w:r>
      <w:r w:rsidR="0055198F" w:rsidRPr="007915F2">
        <w:rPr>
          <w:rFonts w:ascii="Garamond" w:hAnsi="Garamond"/>
          <w:sz w:val="24"/>
          <w:szCs w:val="24"/>
        </w:rPr>
        <w:t>ed</w:t>
      </w:r>
      <w:r w:rsidR="007C02DD" w:rsidRPr="007915F2">
        <w:rPr>
          <w:rFonts w:ascii="Garamond" w:hAnsi="Garamond"/>
          <w:sz w:val="24"/>
          <w:szCs w:val="24"/>
        </w:rPr>
        <w:t xml:space="preserve"> to other industries (NASEM, 2018).</w:t>
      </w:r>
      <w:r w:rsidR="00EA2572" w:rsidRPr="007915F2">
        <w:rPr>
          <w:rFonts w:ascii="Garamond" w:hAnsi="Garamond"/>
          <w:sz w:val="24"/>
          <w:szCs w:val="24"/>
        </w:rPr>
        <w:t xml:space="preserve"> </w:t>
      </w:r>
      <w:r w:rsidR="00694894" w:rsidRPr="007915F2">
        <w:rPr>
          <w:rFonts w:ascii="Garamond" w:hAnsi="Garamond"/>
          <w:sz w:val="24"/>
          <w:szCs w:val="24"/>
        </w:rPr>
        <w:t xml:space="preserve">Four distinct trends affected the global supply chain of medical equipment (Jha, 2019). The first trend is the separation of original equipment manufacturers </w:t>
      </w:r>
      <w:r w:rsidR="00C2037D" w:rsidRPr="007915F2">
        <w:rPr>
          <w:rFonts w:ascii="Garamond" w:hAnsi="Garamond"/>
          <w:sz w:val="24"/>
          <w:szCs w:val="24"/>
        </w:rPr>
        <w:t xml:space="preserve">(OEM) </w:t>
      </w:r>
      <w:r w:rsidR="00694894" w:rsidRPr="007915F2">
        <w:rPr>
          <w:rFonts w:ascii="Garamond" w:hAnsi="Garamond"/>
          <w:sz w:val="24"/>
          <w:szCs w:val="24"/>
        </w:rPr>
        <w:t xml:space="preserve">from other support activities including distribution and inventory management. In such </w:t>
      </w:r>
      <w:r w:rsidR="0055198F" w:rsidRPr="007915F2">
        <w:rPr>
          <w:rFonts w:ascii="Garamond" w:hAnsi="Garamond"/>
          <w:sz w:val="24"/>
          <w:szCs w:val="24"/>
        </w:rPr>
        <w:t xml:space="preserve">an </w:t>
      </w:r>
      <w:r w:rsidR="00694894" w:rsidRPr="007915F2">
        <w:rPr>
          <w:rFonts w:ascii="Garamond" w:hAnsi="Garamond"/>
          <w:sz w:val="24"/>
          <w:szCs w:val="24"/>
        </w:rPr>
        <w:t>environment the purchasers have greater control over the distribution chann</w:t>
      </w:r>
      <w:r w:rsidR="005B7707" w:rsidRPr="007915F2">
        <w:rPr>
          <w:rFonts w:ascii="Garamond" w:hAnsi="Garamond"/>
          <w:sz w:val="24"/>
          <w:szCs w:val="24"/>
        </w:rPr>
        <w:t>els and could be more favorable</w:t>
      </w:r>
      <w:r w:rsidR="004458BC" w:rsidRPr="007915F2">
        <w:rPr>
          <w:rFonts w:ascii="Garamond" w:hAnsi="Garamond"/>
          <w:sz w:val="24"/>
          <w:szCs w:val="24"/>
        </w:rPr>
        <w:t xml:space="preserve"> in </w:t>
      </w:r>
      <w:r w:rsidR="00694894" w:rsidRPr="007915F2">
        <w:rPr>
          <w:rFonts w:ascii="Garamond" w:hAnsi="Garamond"/>
          <w:sz w:val="24"/>
          <w:szCs w:val="24"/>
        </w:rPr>
        <w:t xml:space="preserve">using channels </w:t>
      </w:r>
      <w:r w:rsidR="0055198F" w:rsidRPr="007915F2">
        <w:rPr>
          <w:rFonts w:ascii="Garamond" w:hAnsi="Garamond"/>
          <w:sz w:val="24"/>
          <w:szCs w:val="24"/>
        </w:rPr>
        <w:t>that</w:t>
      </w:r>
      <w:r w:rsidR="00694894" w:rsidRPr="007915F2">
        <w:rPr>
          <w:rFonts w:ascii="Garamond" w:hAnsi="Garamond"/>
          <w:sz w:val="24"/>
          <w:szCs w:val="24"/>
        </w:rPr>
        <w:t xml:space="preserve"> can maximize their margins. The second trend is the role of governments in mandating product specifications and pricing, which varies from one country to another. The third trend is diminishing product differentiation through brands. For example</w:t>
      </w:r>
      <w:r w:rsidR="0055198F" w:rsidRPr="007915F2">
        <w:rPr>
          <w:rFonts w:ascii="Garamond" w:hAnsi="Garamond"/>
          <w:sz w:val="24"/>
          <w:szCs w:val="24"/>
        </w:rPr>
        <w:t>,</w:t>
      </w:r>
      <w:r w:rsidR="00694894" w:rsidRPr="007915F2">
        <w:rPr>
          <w:rFonts w:ascii="Garamond" w:hAnsi="Garamond"/>
          <w:sz w:val="24"/>
          <w:szCs w:val="24"/>
        </w:rPr>
        <w:t xml:space="preserve"> medical equipment manufactured in India using less complex production processes can have comparable quality and performance to a</w:t>
      </w:r>
      <w:r w:rsidR="0055198F" w:rsidRPr="007915F2">
        <w:rPr>
          <w:rFonts w:ascii="Garamond" w:hAnsi="Garamond"/>
          <w:sz w:val="24"/>
          <w:szCs w:val="24"/>
        </w:rPr>
        <w:t xml:space="preserve"> piece of</w:t>
      </w:r>
      <w:r w:rsidR="00694894" w:rsidRPr="007915F2">
        <w:rPr>
          <w:rFonts w:ascii="Garamond" w:hAnsi="Garamond"/>
          <w:sz w:val="24"/>
          <w:szCs w:val="24"/>
        </w:rPr>
        <w:t xml:space="preserve"> medical equipment manufactured in high</w:t>
      </w:r>
      <w:r w:rsidR="0055198F" w:rsidRPr="007915F2">
        <w:rPr>
          <w:rFonts w:ascii="Garamond" w:hAnsi="Garamond"/>
          <w:sz w:val="24"/>
          <w:szCs w:val="24"/>
        </w:rPr>
        <w:t>-</w:t>
      </w:r>
      <w:r w:rsidR="00694894" w:rsidRPr="007915F2">
        <w:rPr>
          <w:rFonts w:ascii="Garamond" w:hAnsi="Garamond"/>
          <w:sz w:val="24"/>
          <w:szCs w:val="24"/>
        </w:rPr>
        <w:t xml:space="preserve">cost countries in more </w:t>
      </w:r>
      <w:r w:rsidR="00694894" w:rsidRPr="007915F2">
        <w:rPr>
          <w:rFonts w:ascii="Garamond" w:hAnsi="Garamond"/>
          <w:sz w:val="24"/>
          <w:szCs w:val="24"/>
        </w:rPr>
        <w:lastRenderedPageBreak/>
        <w:t>technologically advanced firms. The fo</w:t>
      </w:r>
      <w:r w:rsidR="0055198F" w:rsidRPr="007915F2">
        <w:rPr>
          <w:rFonts w:ascii="Garamond" w:hAnsi="Garamond"/>
          <w:sz w:val="24"/>
          <w:szCs w:val="24"/>
        </w:rPr>
        <w:t>u</w:t>
      </w:r>
      <w:r w:rsidR="00694894" w:rsidRPr="007915F2">
        <w:rPr>
          <w:rFonts w:ascii="Garamond" w:hAnsi="Garamond"/>
          <w:sz w:val="24"/>
          <w:szCs w:val="24"/>
        </w:rPr>
        <w:t xml:space="preserve">rth trend is the consolidation </w:t>
      </w:r>
      <w:r w:rsidR="00393247" w:rsidRPr="007915F2">
        <w:rPr>
          <w:rFonts w:ascii="Garamond" w:hAnsi="Garamond"/>
          <w:sz w:val="24"/>
          <w:szCs w:val="24"/>
        </w:rPr>
        <w:t xml:space="preserve">of firms and industries </w:t>
      </w:r>
      <w:r w:rsidR="0055198F" w:rsidRPr="007915F2">
        <w:rPr>
          <w:rFonts w:ascii="Garamond" w:hAnsi="Garamond"/>
          <w:sz w:val="24"/>
          <w:szCs w:val="24"/>
        </w:rPr>
        <w:t>on</w:t>
      </w:r>
      <w:r w:rsidR="00393247" w:rsidRPr="007915F2">
        <w:rPr>
          <w:rFonts w:ascii="Garamond" w:hAnsi="Garamond"/>
          <w:sz w:val="24"/>
          <w:szCs w:val="24"/>
        </w:rPr>
        <w:t xml:space="preserve"> </w:t>
      </w:r>
      <w:r w:rsidR="0055198F" w:rsidRPr="007915F2">
        <w:rPr>
          <w:rFonts w:ascii="Garamond" w:hAnsi="Garamond"/>
          <w:sz w:val="24"/>
          <w:szCs w:val="24"/>
        </w:rPr>
        <w:t>a</w:t>
      </w:r>
      <w:r w:rsidR="00393247" w:rsidRPr="007915F2">
        <w:rPr>
          <w:rFonts w:ascii="Garamond" w:hAnsi="Garamond"/>
          <w:sz w:val="24"/>
          <w:szCs w:val="24"/>
        </w:rPr>
        <w:t xml:space="preserve"> global scale. </w:t>
      </w:r>
      <w:r w:rsidR="00DF52F2" w:rsidRPr="007915F2">
        <w:rPr>
          <w:rFonts w:ascii="Garamond" w:hAnsi="Garamond"/>
          <w:sz w:val="24"/>
          <w:szCs w:val="24"/>
        </w:rPr>
        <w:t xml:space="preserve">These </w:t>
      </w:r>
      <w:r w:rsidR="004458BC" w:rsidRPr="007915F2">
        <w:rPr>
          <w:rFonts w:ascii="Garamond" w:hAnsi="Garamond"/>
          <w:sz w:val="24"/>
          <w:szCs w:val="24"/>
        </w:rPr>
        <w:t xml:space="preserve">same </w:t>
      </w:r>
      <w:r w:rsidR="00DF52F2" w:rsidRPr="007915F2">
        <w:rPr>
          <w:rFonts w:ascii="Garamond" w:hAnsi="Garamond"/>
          <w:sz w:val="24"/>
          <w:szCs w:val="24"/>
        </w:rPr>
        <w:t>trends which were celebrated up until 2019 (c.f. Jha, 2019), have now become points of concern for individuals, firms</w:t>
      </w:r>
      <w:r w:rsidRPr="007915F2">
        <w:rPr>
          <w:rFonts w:ascii="Garamond" w:hAnsi="Garamond"/>
          <w:sz w:val="24"/>
          <w:szCs w:val="24"/>
        </w:rPr>
        <w:t>,</w:t>
      </w:r>
      <w:r w:rsidR="00DF52F2" w:rsidRPr="007915F2">
        <w:rPr>
          <w:rFonts w:ascii="Garamond" w:hAnsi="Garamond"/>
          <w:sz w:val="24"/>
          <w:szCs w:val="24"/>
        </w:rPr>
        <w:t xml:space="preserve"> and governments around the world. A recent survey from National Association of Manufacturers (NAM) conducted in early 2020 (NAM report, 2020) from US manufacturers revealed 35% </w:t>
      </w:r>
      <w:r w:rsidR="00763FFE">
        <w:rPr>
          <w:rFonts w:ascii="Garamond" w:hAnsi="Garamond"/>
          <w:sz w:val="24"/>
          <w:szCs w:val="24"/>
        </w:rPr>
        <w:t xml:space="preserve">of </w:t>
      </w:r>
      <w:r w:rsidR="00DF52F2" w:rsidRPr="007915F2">
        <w:rPr>
          <w:rFonts w:ascii="Garamond" w:hAnsi="Garamond"/>
          <w:sz w:val="24"/>
          <w:szCs w:val="24"/>
        </w:rPr>
        <w:t>respondents reported facing supply chain disruptions as early as February/Ma</w:t>
      </w:r>
      <w:r w:rsidR="00763FFE">
        <w:rPr>
          <w:rFonts w:ascii="Garamond" w:hAnsi="Garamond"/>
          <w:sz w:val="24"/>
          <w:szCs w:val="24"/>
        </w:rPr>
        <w:t>rch of 2020, while 53% reported</w:t>
      </w:r>
      <w:r w:rsidR="004458BC" w:rsidRPr="007915F2">
        <w:rPr>
          <w:rFonts w:ascii="Garamond" w:hAnsi="Garamond"/>
          <w:sz w:val="24"/>
          <w:szCs w:val="24"/>
        </w:rPr>
        <w:t xml:space="preserve"> </w:t>
      </w:r>
      <w:r w:rsidR="00763FFE">
        <w:rPr>
          <w:rFonts w:ascii="Garamond" w:hAnsi="Garamond"/>
          <w:sz w:val="24"/>
          <w:szCs w:val="24"/>
        </w:rPr>
        <w:t xml:space="preserve">that they </w:t>
      </w:r>
      <w:r w:rsidR="004458BC" w:rsidRPr="007915F2">
        <w:rPr>
          <w:rFonts w:ascii="Garamond" w:hAnsi="Garamond"/>
          <w:sz w:val="24"/>
          <w:szCs w:val="24"/>
        </w:rPr>
        <w:t xml:space="preserve">expected </w:t>
      </w:r>
      <w:r w:rsidR="00DF52F2" w:rsidRPr="007915F2">
        <w:rPr>
          <w:rFonts w:ascii="Garamond" w:hAnsi="Garamond"/>
          <w:sz w:val="24"/>
          <w:szCs w:val="24"/>
        </w:rPr>
        <w:t xml:space="preserve">changes in their operations as a result of COVID19. </w:t>
      </w:r>
      <w:r w:rsidR="00763FFE">
        <w:rPr>
          <w:rFonts w:ascii="Garamond" w:hAnsi="Garamond"/>
          <w:sz w:val="24"/>
          <w:szCs w:val="24"/>
        </w:rPr>
        <w:t>An o</w:t>
      </w:r>
      <w:r w:rsidR="005B7707" w:rsidRPr="007915F2">
        <w:rPr>
          <w:rFonts w:ascii="Garamond" w:hAnsi="Garamond"/>
          <w:sz w:val="24"/>
          <w:szCs w:val="24"/>
        </w:rPr>
        <w:t>verwhelming proportion of</w:t>
      </w:r>
      <w:r w:rsidR="00DF52F2" w:rsidRPr="007915F2">
        <w:rPr>
          <w:rFonts w:ascii="Garamond" w:hAnsi="Garamond"/>
          <w:sz w:val="24"/>
          <w:szCs w:val="24"/>
        </w:rPr>
        <w:t xml:space="preserve"> respondents </w:t>
      </w:r>
      <w:r w:rsidR="004458BC" w:rsidRPr="007915F2">
        <w:rPr>
          <w:rFonts w:ascii="Garamond" w:hAnsi="Garamond"/>
          <w:sz w:val="24"/>
          <w:szCs w:val="24"/>
        </w:rPr>
        <w:t xml:space="preserve">(78%) </w:t>
      </w:r>
      <w:r w:rsidR="00DF52F2" w:rsidRPr="007915F2">
        <w:rPr>
          <w:rFonts w:ascii="Garamond" w:hAnsi="Garamond"/>
          <w:sz w:val="24"/>
          <w:szCs w:val="24"/>
        </w:rPr>
        <w:t xml:space="preserve">reported uncertainty about </w:t>
      </w:r>
      <w:r w:rsidRPr="007915F2">
        <w:rPr>
          <w:rFonts w:ascii="Garamond" w:hAnsi="Garamond"/>
          <w:sz w:val="24"/>
          <w:szCs w:val="24"/>
        </w:rPr>
        <w:t xml:space="preserve">the </w:t>
      </w:r>
      <w:r w:rsidR="00DF52F2" w:rsidRPr="007915F2">
        <w:rPr>
          <w:rFonts w:ascii="Garamond" w:hAnsi="Garamond"/>
          <w:sz w:val="24"/>
          <w:szCs w:val="24"/>
        </w:rPr>
        <w:t xml:space="preserve">financial impact of supply chain disruption on their business; this latter information highlights the magnitude of interruptions on the business environment. While this research is being conducted in the early months of this pandemic, future research can provide </w:t>
      </w:r>
      <w:r w:rsidRPr="007915F2">
        <w:rPr>
          <w:rFonts w:ascii="Garamond" w:hAnsi="Garamond"/>
          <w:sz w:val="24"/>
          <w:szCs w:val="24"/>
        </w:rPr>
        <w:t xml:space="preserve">a </w:t>
      </w:r>
      <w:r w:rsidR="00DF52F2" w:rsidRPr="007915F2">
        <w:rPr>
          <w:rFonts w:ascii="Garamond" w:hAnsi="Garamond"/>
          <w:sz w:val="24"/>
          <w:szCs w:val="24"/>
        </w:rPr>
        <w:t>more comprehensive assessment of the scope and magnetite of the supply chain disruption at the national and global scale.</w:t>
      </w:r>
    </w:p>
    <w:p w14:paraId="4F789FE7" w14:textId="77777777" w:rsidR="00C967B4" w:rsidRPr="007915F2" w:rsidRDefault="00C967B4" w:rsidP="00D61CD6">
      <w:pPr>
        <w:spacing w:after="0" w:line="240" w:lineRule="auto"/>
        <w:jc w:val="both"/>
        <w:rPr>
          <w:rFonts w:ascii="Garamond" w:hAnsi="Garamond"/>
          <w:sz w:val="24"/>
          <w:szCs w:val="24"/>
        </w:rPr>
      </w:pPr>
    </w:p>
    <w:p w14:paraId="619B4984" w14:textId="77777777" w:rsidR="00851C79" w:rsidRPr="007915F2" w:rsidRDefault="00851C79" w:rsidP="00D61CD6">
      <w:pPr>
        <w:spacing w:after="0" w:line="240" w:lineRule="auto"/>
        <w:jc w:val="both"/>
        <w:rPr>
          <w:rFonts w:ascii="Garamond" w:hAnsi="Garamond"/>
          <w:sz w:val="24"/>
          <w:szCs w:val="24"/>
        </w:rPr>
      </w:pPr>
    </w:p>
    <w:p w14:paraId="1D604823" w14:textId="77777777" w:rsidR="00E90F7F" w:rsidRPr="007915F2" w:rsidRDefault="00DF52F2" w:rsidP="00D61CD6">
      <w:pPr>
        <w:spacing w:after="0" w:line="240" w:lineRule="auto"/>
        <w:rPr>
          <w:rFonts w:ascii="Garamond" w:hAnsi="Garamond"/>
          <w:b/>
          <w:sz w:val="24"/>
          <w:szCs w:val="24"/>
        </w:rPr>
      </w:pPr>
      <w:r w:rsidRPr="007915F2">
        <w:rPr>
          <w:rFonts w:ascii="Garamond" w:hAnsi="Garamond"/>
          <w:b/>
          <w:sz w:val="24"/>
          <w:szCs w:val="24"/>
        </w:rPr>
        <w:t xml:space="preserve">2.2 </w:t>
      </w:r>
      <w:r w:rsidR="00C75888" w:rsidRPr="007915F2">
        <w:rPr>
          <w:rFonts w:ascii="Garamond" w:hAnsi="Garamond"/>
          <w:b/>
          <w:sz w:val="24"/>
          <w:szCs w:val="24"/>
        </w:rPr>
        <w:t>COVID-19</w:t>
      </w:r>
      <w:r w:rsidR="001A1338" w:rsidRPr="007915F2">
        <w:rPr>
          <w:rFonts w:ascii="Garamond" w:hAnsi="Garamond"/>
          <w:b/>
          <w:sz w:val="24"/>
          <w:szCs w:val="24"/>
        </w:rPr>
        <w:t xml:space="preserve"> </w:t>
      </w:r>
      <w:r w:rsidR="00C75888" w:rsidRPr="007915F2">
        <w:rPr>
          <w:rFonts w:ascii="Garamond" w:hAnsi="Garamond"/>
          <w:b/>
          <w:sz w:val="24"/>
          <w:szCs w:val="24"/>
        </w:rPr>
        <w:t>and the</w:t>
      </w:r>
      <w:r w:rsidR="001A1338" w:rsidRPr="007915F2">
        <w:rPr>
          <w:rFonts w:ascii="Garamond" w:hAnsi="Garamond"/>
          <w:b/>
          <w:sz w:val="24"/>
          <w:szCs w:val="24"/>
        </w:rPr>
        <w:t xml:space="preserve"> </w:t>
      </w:r>
      <w:r w:rsidR="00E90F7F" w:rsidRPr="007915F2">
        <w:rPr>
          <w:rFonts w:ascii="Garamond" w:hAnsi="Garamond"/>
          <w:b/>
          <w:sz w:val="24"/>
          <w:szCs w:val="24"/>
        </w:rPr>
        <w:t xml:space="preserve">Global Supply Chain of Medical Equipment: </w:t>
      </w:r>
    </w:p>
    <w:p w14:paraId="11BC31DF" w14:textId="4FFE11AE" w:rsidR="001A1338" w:rsidRPr="007915F2" w:rsidRDefault="00C2258E" w:rsidP="00D61CD6">
      <w:pPr>
        <w:spacing w:after="0" w:line="240" w:lineRule="auto"/>
        <w:jc w:val="both"/>
        <w:rPr>
          <w:rFonts w:ascii="Garamond" w:hAnsi="Garamond"/>
          <w:sz w:val="24"/>
          <w:szCs w:val="24"/>
        </w:rPr>
      </w:pPr>
      <w:r w:rsidRPr="007915F2">
        <w:rPr>
          <w:rFonts w:ascii="Garamond" w:hAnsi="Garamond"/>
          <w:sz w:val="24"/>
          <w:szCs w:val="24"/>
        </w:rPr>
        <w:t>Ivenov</w:t>
      </w:r>
      <w:r w:rsidR="001A1338" w:rsidRPr="007915F2">
        <w:rPr>
          <w:rFonts w:ascii="Garamond" w:hAnsi="Garamond"/>
          <w:sz w:val="24"/>
          <w:szCs w:val="24"/>
        </w:rPr>
        <w:t xml:space="preserve"> (2020) describes three</w:t>
      </w:r>
      <w:r w:rsidR="004458BC" w:rsidRPr="007915F2">
        <w:rPr>
          <w:rFonts w:ascii="Garamond" w:hAnsi="Garamond"/>
          <w:sz w:val="24"/>
          <w:szCs w:val="24"/>
        </w:rPr>
        <w:t xml:space="preserve"> reasons as to</w:t>
      </w:r>
      <w:r w:rsidR="001A1338" w:rsidRPr="007915F2">
        <w:rPr>
          <w:rFonts w:ascii="Garamond" w:hAnsi="Garamond"/>
          <w:sz w:val="24"/>
          <w:szCs w:val="24"/>
        </w:rPr>
        <w:t xml:space="preserve"> why epidemic outbreaks are special cases of supply chain risk. These reasons include uncertainty about scale and duration of </w:t>
      </w:r>
      <w:r w:rsidR="000324C6" w:rsidRPr="007915F2">
        <w:rPr>
          <w:rFonts w:ascii="Garamond" w:hAnsi="Garamond"/>
          <w:sz w:val="24"/>
          <w:szCs w:val="24"/>
        </w:rPr>
        <w:t xml:space="preserve">the </w:t>
      </w:r>
      <w:r w:rsidR="001A1338" w:rsidRPr="007915F2">
        <w:rPr>
          <w:rFonts w:ascii="Garamond" w:hAnsi="Garamond"/>
          <w:sz w:val="24"/>
          <w:szCs w:val="24"/>
        </w:rPr>
        <w:t>disruption, ripple effects of disruption among people and supply chain actors, and disruption in operational infrastructure (</w:t>
      </w:r>
      <w:r w:rsidRPr="007915F2">
        <w:rPr>
          <w:rFonts w:ascii="Garamond" w:hAnsi="Garamond"/>
          <w:sz w:val="24"/>
          <w:szCs w:val="24"/>
        </w:rPr>
        <w:t>Ivenov</w:t>
      </w:r>
      <w:r w:rsidR="001A1338" w:rsidRPr="007915F2">
        <w:rPr>
          <w:rFonts w:ascii="Garamond" w:hAnsi="Garamond"/>
          <w:sz w:val="24"/>
          <w:szCs w:val="24"/>
        </w:rPr>
        <w:t>, 2020). Unlike the other pandemics of the past including Ebola, MERS</w:t>
      </w:r>
      <w:r w:rsidR="000324C6" w:rsidRPr="007915F2">
        <w:rPr>
          <w:rFonts w:ascii="Garamond" w:hAnsi="Garamond"/>
          <w:sz w:val="24"/>
          <w:szCs w:val="24"/>
        </w:rPr>
        <w:t>,</w:t>
      </w:r>
      <w:r w:rsidR="001A1338" w:rsidRPr="007915F2">
        <w:rPr>
          <w:rFonts w:ascii="Garamond" w:hAnsi="Garamond"/>
          <w:sz w:val="24"/>
          <w:szCs w:val="24"/>
        </w:rPr>
        <w:t xml:space="preserve"> and SARS, the COVID-19 </w:t>
      </w:r>
      <w:r w:rsidR="00C2037D" w:rsidRPr="007915F2">
        <w:rPr>
          <w:rFonts w:ascii="Garamond" w:hAnsi="Garamond"/>
          <w:sz w:val="24"/>
          <w:szCs w:val="24"/>
        </w:rPr>
        <w:t xml:space="preserve"> has already </w:t>
      </w:r>
      <w:r w:rsidR="001A1338" w:rsidRPr="007915F2">
        <w:rPr>
          <w:rFonts w:ascii="Garamond" w:hAnsi="Garamond"/>
          <w:sz w:val="24"/>
          <w:szCs w:val="24"/>
        </w:rPr>
        <w:t>impose</w:t>
      </w:r>
      <w:r w:rsidR="00C2037D" w:rsidRPr="007915F2">
        <w:rPr>
          <w:rFonts w:ascii="Garamond" w:hAnsi="Garamond"/>
          <w:sz w:val="24"/>
          <w:szCs w:val="24"/>
        </w:rPr>
        <w:t>d</w:t>
      </w:r>
      <w:r w:rsidR="001A1338" w:rsidRPr="007915F2">
        <w:rPr>
          <w:rFonts w:ascii="Garamond" w:hAnsi="Garamond"/>
          <w:sz w:val="24"/>
          <w:szCs w:val="24"/>
        </w:rPr>
        <w:t xml:space="preserve"> long-term changes to global supply chains as a result of “rising protectionism” and the “global financial crisis” (Salvatore, 2020). Javaid</w:t>
      </w:r>
      <w:r w:rsidR="00C2037D" w:rsidRPr="007915F2">
        <w:rPr>
          <w:rFonts w:ascii="Garamond" w:hAnsi="Garamond"/>
          <w:sz w:val="24"/>
          <w:szCs w:val="24"/>
        </w:rPr>
        <w:t xml:space="preserve"> et al.</w:t>
      </w:r>
      <w:r w:rsidR="001A1338" w:rsidRPr="007915F2">
        <w:rPr>
          <w:rFonts w:ascii="Garamond" w:hAnsi="Garamond"/>
          <w:sz w:val="24"/>
          <w:szCs w:val="24"/>
        </w:rPr>
        <w:t xml:space="preserve"> (2020) </w:t>
      </w:r>
      <w:r w:rsidR="00C2037D" w:rsidRPr="007915F2">
        <w:rPr>
          <w:rFonts w:ascii="Garamond" w:hAnsi="Garamond"/>
          <w:sz w:val="24"/>
          <w:szCs w:val="24"/>
        </w:rPr>
        <w:t xml:space="preserve">in </w:t>
      </w:r>
      <w:r w:rsidR="001A1338" w:rsidRPr="007915F2">
        <w:rPr>
          <w:rFonts w:ascii="Garamond" w:hAnsi="Garamond"/>
          <w:sz w:val="24"/>
          <w:szCs w:val="24"/>
        </w:rPr>
        <w:t>their study on the fo</w:t>
      </w:r>
      <w:r w:rsidR="000324C6" w:rsidRPr="007915F2">
        <w:rPr>
          <w:rFonts w:ascii="Garamond" w:hAnsi="Garamond"/>
          <w:sz w:val="24"/>
          <w:szCs w:val="24"/>
        </w:rPr>
        <w:t>u</w:t>
      </w:r>
      <w:r w:rsidR="001A1338" w:rsidRPr="007915F2">
        <w:rPr>
          <w:rFonts w:ascii="Garamond" w:hAnsi="Garamond"/>
          <w:sz w:val="24"/>
          <w:szCs w:val="24"/>
        </w:rPr>
        <w:t>rth industrial revolution (Industry 4.0) and medical equipment manufacturing, provided evidence that even before the recent pandemic there had been explicit interests and actions toward reshoring manufacturing. The advancements in redistributed manufacturing (Hannibal and Knight, 2018) can further facilitate the localization of manufacturing in a post-COVID19 political and business environment. In this study</w:t>
      </w:r>
      <w:r w:rsidR="000324C6" w:rsidRPr="007915F2">
        <w:rPr>
          <w:rFonts w:ascii="Garamond" w:hAnsi="Garamond"/>
          <w:sz w:val="24"/>
          <w:szCs w:val="24"/>
        </w:rPr>
        <w:t>,</w:t>
      </w:r>
      <w:r w:rsidR="001A1338" w:rsidRPr="007915F2">
        <w:rPr>
          <w:rFonts w:ascii="Garamond" w:hAnsi="Garamond"/>
          <w:sz w:val="24"/>
          <w:szCs w:val="24"/>
        </w:rPr>
        <w:t xml:space="preserve"> our focus is on investigating the long-term financial consequences of rupture in </w:t>
      </w:r>
      <w:r w:rsidR="000324C6" w:rsidRPr="007915F2">
        <w:rPr>
          <w:rFonts w:ascii="Garamond" w:hAnsi="Garamond"/>
          <w:sz w:val="24"/>
          <w:szCs w:val="24"/>
        </w:rPr>
        <w:t xml:space="preserve">the </w:t>
      </w:r>
      <w:r w:rsidR="001A1338" w:rsidRPr="007915F2">
        <w:rPr>
          <w:rFonts w:ascii="Garamond" w:hAnsi="Garamond"/>
          <w:sz w:val="24"/>
          <w:szCs w:val="24"/>
        </w:rPr>
        <w:t>medical equipment supply chain. This study considered the possibility that as a result of COVID19 experience, many countries may consider realigning their global supply chain of medical equipment. As a result of such changes in the global supply chains</w:t>
      </w:r>
      <w:r w:rsidR="000324C6" w:rsidRPr="007915F2">
        <w:rPr>
          <w:rFonts w:ascii="Garamond" w:hAnsi="Garamond"/>
          <w:sz w:val="24"/>
          <w:szCs w:val="24"/>
        </w:rPr>
        <w:t>,</w:t>
      </w:r>
      <w:r w:rsidR="001A1338" w:rsidRPr="007915F2">
        <w:rPr>
          <w:rFonts w:ascii="Garamond" w:hAnsi="Garamond"/>
          <w:sz w:val="24"/>
          <w:szCs w:val="24"/>
        </w:rPr>
        <w:t xml:space="preserve"> policymakers and businesses could experience changes in their supply chain strategy. This study </w:t>
      </w:r>
      <w:r w:rsidR="00C2037D" w:rsidRPr="007915F2">
        <w:rPr>
          <w:rFonts w:ascii="Garamond" w:hAnsi="Garamond"/>
          <w:sz w:val="24"/>
          <w:szCs w:val="24"/>
        </w:rPr>
        <w:t xml:space="preserve">specifically </w:t>
      </w:r>
      <w:r w:rsidR="001A1338" w:rsidRPr="007915F2">
        <w:rPr>
          <w:rFonts w:ascii="Garamond" w:hAnsi="Garamond"/>
          <w:sz w:val="24"/>
          <w:szCs w:val="24"/>
        </w:rPr>
        <w:t xml:space="preserve">explores the effect of firms’ supply chain network influence with and without China on the firms’ performance. </w:t>
      </w:r>
    </w:p>
    <w:p w14:paraId="7BD1F29A" w14:textId="60F91314" w:rsidR="00E90F7F" w:rsidRPr="007915F2" w:rsidRDefault="00426DAE" w:rsidP="00DD0CFF">
      <w:pPr>
        <w:spacing w:after="0" w:line="240" w:lineRule="auto"/>
        <w:jc w:val="both"/>
        <w:rPr>
          <w:rFonts w:ascii="Garamond" w:hAnsi="Garamond"/>
          <w:sz w:val="24"/>
          <w:szCs w:val="24"/>
        </w:rPr>
      </w:pPr>
      <w:r w:rsidRPr="007915F2">
        <w:rPr>
          <w:rFonts w:ascii="Garamond" w:hAnsi="Garamond"/>
          <w:sz w:val="24"/>
          <w:szCs w:val="24"/>
        </w:rPr>
        <w:t xml:space="preserve">The root of vulnerability in </w:t>
      </w:r>
      <w:r w:rsidR="000324C6" w:rsidRPr="007915F2">
        <w:rPr>
          <w:rFonts w:ascii="Garamond" w:hAnsi="Garamond"/>
          <w:sz w:val="24"/>
          <w:szCs w:val="24"/>
        </w:rPr>
        <w:t xml:space="preserve">the </w:t>
      </w:r>
      <w:r w:rsidRPr="007915F2">
        <w:rPr>
          <w:rFonts w:ascii="Garamond" w:hAnsi="Garamond"/>
          <w:sz w:val="24"/>
          <w:szCs w:val="24"/>
        </w:rPr>
        <w:t>medical equipment supply chain</w:t>
      </w:r>
      <w:r w:rsidR="00C2037D" w:rsidRPr="007915F2">
        <w:rPr>
          <w:rFonts w:ascii="Garamond" w:hAnsi="Garamond"/>
          <w:sz w:val="24"/>
          <w:szCs w:val="24"/>
        </w:rPr>
        <w:t xml:space="preserve"> manifested well </w:t>
      </w:r>
      <w:r w:rsidRPr="007915F2">
        <w:rPr>
          <w:rFonts w:ascii="Garamond" w:hAnsi="Garamond"/>
          <w:sz w:val="24"/>
          <w:szCs w:val="24"/>
        </w:rPr>
        <w:t>before</w:t>
      </w:r>
      <w:r w:rsidR="00DF52F2" w:rsidRPr="007915F2">
        <w:rPr>
          <w:rFonts w:ascii="Garamond" w:hAnsi="Garamond"/>
          <w:sz w:val="24"/>
          <w:szCs w:val="24"/>
        </w:rPr>
        <w:t xml:space="preserve"> the 2019 </w:t>
      </w:r>
      <w:r w:rsidR="00C2037D" w:rsidRPr="007915F2">
        <w:rPr>
          <w:rFonts w:ascii="Garamond" w:hAnsi="Garamond"/>
          <w:sz w:val="24"/>
          <w:szCs w:val="24"/>
        </w:rPr>
        <w:t>e</w:t>
      </w:r>
      <w:r w:rsidR="00DF52F2" w:rsidRPr="007915F2">
        <w:rPr>
          <w:rFonts w:ascii="Garamond" w:hAnsi="Garamond"/>
          <w:sz w:val="24"/>
          <w:szCs w:val="24"/>
        </w:rPr>
        <w:t>pidemic</w:t>
      </w:r>
      <w:r w:rsidRPr="007915F2">
        <w:rPr>
          <w:rFonts w:ascii="Garamond" w:hAnsi="Garamond"/>
          <w:sz w:val="24"/>
          <w:szCs w:val="24"/>
        </w:rPr>
        <w:t xml:space="preserve">. </w:t>
      </w:r>
      <w:r w:rsidR="00E90F7F" w:rsidRPr="007915F2">
        <w:rPr>
          <w:rFonts w:ascii="Garamond" w:hAnsi="Garamond"/>
          <w:sz w:val="24"/>
          <w:szCs w:val="24"/>
        </w:rPr>
        <w:t xml:space="preserve">In </w:t>
      </w:r>
      <w:r w:rsidR="00465A4B" w:rsidRPr="007915F2">
        <w:rPr>
          <w:rFonts w:ascii="Garamond" w:hAnsi="Garamond"/>
          <w:sz w:val="24"/>
          <w:szCs w:val="24"/>
        </w:rPr>
        <w:t>addition to the global nature</w:t>
      </w:r>
      <w:r w:rsidR="00E90F7F" w:rsidRPr="007915F2">
        <w:rPr>
          <w:rFonts w:ascii="Garamond" w:hAnsi="Garamond"/>
          <w:sz w:val="24"/>
          <w:szCs w:val="24"/>
        </w:rPr>
        <w:t xml:space="preserve"> </w:t>
      </w:r>
      <w:r w:rsidR="00465A4B" w:rsidRPr="007915F2">
        <w:rPr>
          <w:rFonts w:ascii="Garamond" w:hAnsi="Garamond"/>
          <w:sz w:val="24"/>
          <w:szCs w:val="24"/>
        </w:rPr>
        <w:t xml:space="preserve">of </w:t>
      </w:r>
      <w:r w:rsidR="00F436A1" w:rsidRPr="007915F2">
        <w:rPr>
          <w:rFonts w:ascii="Garamond" w:hAnsi="Garamond"/>
          <w:sz w:val="24"/>
          <w:szCs w:val="24"/>
        </w:rPr>
        <w:t>supply chains (</w:t>
      </w:r>
      <w:r w:rsidR="00C2258E" w:rsidRPr="007915F2">
        <w:rPr>
          <w:rFonts w:ascii="Garamond" w:hAnsi="Garamond"/>
          <w:sz w:val="24"/>
          <w:szCs w:val="24"/>
        </w:rPr>
        <w:t>Ivenov</w:t>
      </w:r>
      <w:r w:rsidR="00F436A1" w:rsidRPr="007915F2">
        <w:rPr>
          <w:rFonts w:ascii="Garamond" w:hAnsi="Garamond"/>
          <w:sz w:val="24"/>
          <w:szCs w:val="24"/>
        </w:rPr>
        <w:t>, 2020),</w:t>
      </w:r>
      <w:r w:rsidR="00E90F7F" w:rsidRPr="007915F2">
        <w:rPr>
          <w:rFonts w:ascii="Garamond" w:hAnsi="Garamond"/>
          <w:sz w:val="24"/>
          <w:szCs w:val="24"/>
        </w:rPr>
        <w:t xml:space="preserve"> Shokrani, Loukaides, Elias</w:t>
      </w:r>
      <w:r w:rsidR="000324C6" w:rsidRPr="007915F2">
        <w:rPr>
          <w:rFonts w:ascii="Garamond" w:hAnsi="Garamond"/>
          <w:sz w:val="24"/>
          <w:szCs w:val="24"/>
        </w:rPr>
        <w:t>,</w:t>
      </w:r>
      <w:r w:rsidR="00E90F7F" w:rsidRPr="007915F2">
        <w:rPr>
          <w:rFonts w:ascii="Garamond" w:hAnsi="Garamond"/>
          <w:sz w:val="24"/>
          <w:szCs w:val="24"/>
        </w:rPr>
        <w:t xml:space="preserve"> and Lunt (2020) argue that two other factors have contributed to the vulnerability of </w:t>
      </w:r>
      <w:r w:rsidR="000324C6" w:rsidRPr="007915F2">
        <w:rPr>
          <w:rFonts w:ascii="Garamond" w:hAnsi="Garamond"/>
          <w:sz w:val="24"/>
          <w:szCs w:val="24"/>
        </w:rPr>
        <w:t xml:space="preserve">the </w:t>
      </w:r>
      <w:r w:rsidR="00E90F7F" w:rsidRPr="007915F2">
        <w:rPr>
          <w:rFonts w:ascii="Garamond" w:hAnsi="Garamond"/>
          <w:sz w:val="24"/>
          <w:szCs w:val="24"/>
        </w:rPr>
        <w:t xml:space="preserve">global supply chain of medical equipment “due to the global coronavirus (COVID) pandemics”. The first factor is that </w:t>
      </w:r>
      <w:r w:rsidR="000324C6" w:rsidRPr="007915F2">
        <w:rPr>
          <w:rFonts w:ascii="Garamond" w:hAnsi="Garamond"/>
          <w:sz w:val="24"/>
          <w:szCs w:val="24"/>
        </w:rPr>
        <w:t xml:space="preserve">the </w:t>
      </w:r>
      <w:r w:rsidR="00E90F7F" w:rsidRPr="007915F2">
        <w:rPr>
          <w:rFonts w:ascii="Garamond" w:hAnsi="Garamond"/>
          <w:sz w:val="24"/>
          <w:szCs w:val="24"/>
        </w:rPr>
        <w:t xml:space="preserve">manufacturing of medical equipment in advanced economies have become more “focused on manufacturing low-volume, high-value, [and] high-margin products” over the past few decades. The second factor contributing to the </w:t>
      </w:r>
      <w:r w:rsidR="00465A4B" w:rsidRPr="007915F2">
        <w:rPr>
          <w:rFonts w:ascii="Garamond" w:hAnsi="Garamond"/>
          <w:sz w:val="24"/>
          <w:szCs w:val="24"/>
        </w:rPr>
        <w:t xml:space="preserve">increased </w:t>
      </w:r>
      <w:r w:rsidR="00E90F7F" w:rsidRPr="007915F2">
        <w:rPr>
          <w:rFonts w:ascii="Garamond" w:hAnsi="Garamond"/>
          <w:sz w:val="24"/>
          <w:szCs w:val="24"/>
        </w:rPr>
        <w:t xml:space="preserve">supply chain vulnerability to such interruptions is the dominant supply chain management practices promoting leanness and efficiency across the global supply chains. </w:t>
      </w:r>
    </w:p>
    <w:p w14:paraId="4054FFCC" w14:textId="77777777" w:rsidR="00E90F7F" w:rsidRPr="007915F2" w:rsidRDefault="00E90F7F" w:rsidP="00763FFE">
      <w:pPr>
        <w:spacing w:after="0" w:line="240" w:lineRule="auto"/>
        <w:jc w:val="both"/>
        <w:rPr>
          <w:rFonts w:ascii="Garamond" w:hAnsi="Garamond"/>
          <w:sz w:val="24"/>
          <w:szCs w:val="24"/>
        </w:rPr>
      </w:pPr>
      <w:r w:rsidRPr="007915F2">
        <w:rPr>
          <w:rFonts w:ascii="Garamond" w:hAnsi="Garamond"/>
          <w:sz w:val="24"/>
          <w:szCs w:val="24"/>
        </w:rPr>
        <w:t>Denton and Jaska (2014) in their study on supply chain management of medical devices described how the industry was “forced”</w:t>
      </w:r>
      <w:r w:rsidR="00465A4B" w:rsidRPr="007915F2">
        <w:rPr>
          <w:rFonts w:ascii="Garamond" w:hAnsi="Garamond"/>
          <w:sz w:val="24"/>
          <w:szCs w:val="24"/>
        </w:rPr>
        <w:t xml:space="preserve"> to increase operational </w:t>
      </w:r>
      <w:r w:rsidRPr="007915F2">
        <w:rPr>
          <w:rFonts w:ascii="Garamond" w:hAnsi="Garamond"/>
          <w:sz w:val="24"/>
          <w:szCs w:val="24"/>
        </w:rPr>
        <w:t>efficiencies through efficiency practices such as “pull”, “push”, “just-in-time (JIT)”, as well as reducing inefficiencies across p</w:t>
      </w:r>
      <w:r w:rsidR="00465A4B" w:rsidRPr="007915F2">
        <w:rPr>
          <w:rFonts w:ascii="Garamond" w:hAnsi="Garamond"/>
          <w:sz w:val="24"/>
          <w:szCs w:val="24"/>
        </w:rPr>
        <w:t xml:space="preserve">rocesses and production cycles. </w:t>
      </w:r>
      <w:r w:rsidRPr="007915F2">
        <w:rPr>
          <w:rFonts w:ascii="Garamond" w:hAnsi="Garamond"/>
          <w:sz w:val="24"/>
          <w:szCs w:val="24"/>
        </w:rPr>
        <w:t>Denton and Jaska (2014) further describe how companies associated with medical devices gained “economies of scale through off-shoring production to improve transportation costs in global markets.” Such globalization w</w:t>
      </w:r>
      <w:r w:rsidR="000324C6" w:rsidRPr="007915F2">
        <w:rPr>
          <w:rFonts w:ascii="Garamond" w:hAnsi="Garamond"/>
          <w:sz w:val="24"/>
          <w:szCs w:val="24"/>
        </w:rPr>
        <w:t>as</w:t>
      </w:r>
      <w:r w:rsidRPr="007915F2">
        <w:rPr>
          <w:rFonts w:ascii="Garamond" w:hAnsi="Garamond"/>
          <w:sz w:val="24"/>
          <w:szCs w:val="24"/>
        </w:rPr>
        <w:t xml:space="preserve"> forced upon the industry with the promises of “improved quality of care, lower healthcare costs</w:t>
      </w:r>
      <w:r w:rsidR="000324C6" w:rsidRPr="007915F2">
        <w:rPr>
          <w:rFonts w:ascii="Garamond" w:hAnsi="Garamond"/>
          <w:sz w:val="24"/>
          <w:szCs w:val="24"/>
        </w:rPr>
        <w:t>,</w:t>
      </w:r>
      <w:r w:rsidRPr="007915F2">
        <w:rPr>
          <w:rFonts w:ascii="Garamond" w:hAnsi="Garamond"/>
          <w:sz w:val="24"/>
          <w:szCs w:val="24"/>
        </w:rPr>
        <w:t xml:space="preserve"> and sustainable competitive advantage for the suppliers willing to invest in efficient inventory management controls.” </w:t>
      </w:r>
    </w:p>
    <w:p w14:paraId="17E606B6" w14:textId="77777777" w:rsidR="00E90F7F" w:rsidRPr="007915F2" w:rsidRDefault="00E90F7F" w:rsidP="00763FFE">
      <w:pPr>
        <w:spacing w:after="0" w:line="240" w:lineRule="auto"/>
        <w:jc w:val="both"/>
        <w:rPr>
          <w:rFonts w:ascii="Garamond" w:hAnsi="Garamond"/>
          <w:sz w:val="24"/>
          <w:szCs w:val="24"/>
        </w:rPr>
      </w:pPr>
      <w:r w:rsidRPr="007915F2">
        <w:rPr>
          <w:rFonts w:ascii="Garamond" w:hAnsi="Garamond"/>
          <w:sz w:val="24"/>
          <w:szCs w:val="24"/>
        </w:rPr>
        <w:lastRenderedPageBreak/>
        <w:t xml:space="preserve">As </w:t>
      </w:r>
      <w:r w:rsidR="00465A4B" w:rsidRPr="007915F2">
        <w:rPr>
          <w:rFonts w:ascii="Garamond" w:hAnsi="Garamond"/>
          <w:sz w:val="24"/>
          <w:szCs w:val="24"/>
        </w:rPr>
        <w:t xml:space="preserve">the </w:t>
      </w:r>
      <w:r w:rsidRPr="007915F2">
        <w:rPr>
          <w:rFonts w:ascii="Garamond" w:hAnsi="Garamond"/>
          <w:sz w:val="24"/>
          <w:szCs w:val="24"/>
        </w:rPr>
        <w:t xml:space="preserve">globalization of manufacturing medical </w:t>
      </w:r>
      <w:r w:rsidR="00465A4B" w:rsidRPr="007915F2">
        <w:rPr>
          <w:rFonts w:ascii="Garamond" w:hAnsi="Garamond"/>
          <w:sz w:val="24"/>
          <w:szCs w:val="24"/>
        </w:rPr>
        <w:t>equipment</w:t>
      </w:r>
      <w:r w:rsidRPr="007915F2">
        <w:rPr>
          <w:rFonts w:ascii="Garamond" w:hAnsi="Garamond"/>
          <w:sz w:val="24"/>
          <w:szCs w:val="24"/>
        </w:rPr>
        <w:t xml:space="preserve"> along with offshore sourcing of OEMs were promoted over the past few decades, the literature has also recognized the </w:t>
      </w:r>
      <w:r w:rsidR="00465A4B" w:rsidRPr="007915F2">
        <w:rPr>
          <w:rFonts w:ascii="Garamond" w:hAnsi="Garamond"/>
          <w:sz w:val="24"/>
          <w:szCs w:val="24"/>
        </w:rPr>
        <w:t xml:space="preserve">increase in </w:t>
      </w:r>
      <w:r w:rsidRPr="007915F2">
        <w:rPr>
          <w:rFonts w:ascii="Garamond" w:hAnsi="Garamond"/>
          <w:sz w:val="24"/>
          <w:szCs w:val="24"/>
        </w:rPr>
        <w:t>challenges and vulnerability risks associated with such practices (c.f. Goh, Lim, and Meng, 2017 and Hasani, Zegordi and Nikhbakhsh, 2015). It is important to note that such studies try to develop mathematical optimization models that can address limited, local</w:t>
      </w:r>
      <w:r w:rsidR="000324C6" w:rsidRPr="007915F2">
        <w:rPr>
          <w:rFonts w:ascii="Garamond" w:hAnsi="Garamond"/>
          <w:sz w:val="24"/>
          <w:szCs w:val="24"/>
        </w:rPr>
        <w:t>,</w:t>
      </w:r>
      <w:r w:rsidRPr="007915F2">
        <w:rPr>
          <w:rFonts w:ascii="Garamond" w:hAnsi="Garamond"/>
          <w:sz w:val="24"/>
          <w:szCs w:val="24"/>
        </w:rPr>
        <w:t xml:space="preserve"> and short-term disruptions to the supply chain. In the post</w:t>
      </w:r>
      <w:r w:rsidR="000324C6" w:rsidRPr="007915F2">
        <w:rPr>
          <w:rFonts w:ascii="Garamond" w:hAnsi="Garamond"/>
          <w:sz w:val="24"/>
          <w:szCs w:val="24"/>
        </w:rPr>
        <w:t>-</w:t>
      </w:r>
      <w:r w:rsidR="006813DB" w:rsidRPr="007915F2">
        <w:rPr>
          <w:rFonts w:ascii="Garamond" w:hAnsi="Garamond"/>
          <w:sz w:val="24"/>
          <w:szCs w:val="24"/>
        </w:rPr>
        <w:t>COVID-19</w:t>
      </w:r>
      <w:r w:rsidRPr="007915F2">
        <w:rPr>
          <w:rFonts w:ascii="Garamond" w:hAnsi="Garamond"/>
          <w:sz w:val="24"/>
          <w:szCs w:val="24"/>
        </w:rPr>
        <w:t xml:space="preserve"> business environment</w:t>
      </w:r>
      <w:r w:rsidR="000324C6" w:rsidRPr="007915F2">
        <w:rPr>
          <w:rFonts w:ascii="Garamond" w:hAnsi="Garamond"/>
          <w:sz w:val="24"/>
          <w:szCs w:val="24"/>
        </w:rPr>
        <w:t>,</w:t>
      </w:r>
      <w:r w:rsidRPr="007915F2">
        <w:rPr>
          <w:rFonts w:ascii="Garamond" w:hAnsi="Garamond"/>
          <w:sz w:val="24"/>
          <w:szCs w:val="24"/>
        </w:rPr>
        <w:t xml:space="preserve"> companies may face </w:t>
      </w:r>
      <w:r w:rsidR="000324C6" w:rsidRPr="007915F2">
        <w:rPr>
          <w:rFonts w:ascii="Garamond" w:hAnsi="Garamond"/>
          <w:sz w:val="24"/>
          <w:szCs w:val="24"/>
        </w:rPr>
        <w:t xml:space="preserve">the </w:t>
      </w:r>
      <w:r w:rsidRPr="007915F2">
        <w:rPr>
          <w:rFonts w:ascii="Garamond" w:hAnsi="Garamond"/>
          <w:sz w:val="24"/>
          <w:szCs w:val="24"/>
        </w:rPr>
        <w:t xml:space="preserve">elimination of several countries from the global supply chain due to long-term national security concerns. </w:t>
      </w:r>
      <w:r w:rsidR="00465A4B" w:rsidRPr="007915F2">
        <w:rPr>
          <w:rFonts w:ascii="Garamond" w:hAnsi="Garamond"/>
          <w:sz w:val="24"/>
          <w:szCs w:val="24"/>
        </w:rPr>
        <w:t xml:space="preserve">Such optimization models may not provide helpful tools in such </w:t>
      </w:r>
      <w:r w:rsidR="000324C6" w:rsidRPr="007915F2">
        <w:rPr>
          <w:rFonts w:ascii="Garamond" w:hAnsi="Garamond"/>
          <w:sz w:val="24"/>
          <w:szCs w:val="24"/>
        </w:rPr>
        <w:t xml:space="preserve">a </w:t>
      </w:r>
      <w:r w:rsidR="00465A4B" w:rsidRPr="007915F2">
        <w:rPr>
          <w:rFonts w:ascii="Garamond" w:hAnsi="Garamond"/>
          <w:sz w:val="24"/>
          <w:szCs w:val="24"/>
        </w:rPr>
        <w:t>business environment. In this study</w:t>
      </w:r>
      <w:r w:rsidR="000324C6" w:rsidRPr="007915F2">
        <w:rPr>
          <w:rFonts w:ascii="Garamond" w:hAnsi="Garamond"/>
          <w:sz w:val="24"/>
          <w:szCs w:val="24"/>
        </w:rPr>
        <w:t>,</w:t>
      </w:r>
      <w:r w:rsidR="00465A4B" w:rsidRPr="007915F2">
        <w:rPr>
          <w:rFonts w:ascii="Garamond" w:hAnsi="Garamond"/>
          <w:sz w:val="24"/>
          <w:szCs w:val="24"/>
        </w:rPr>
        <w:t xml:space="preserve"> we </w:t>
      </w:r>
      <w:r w:rsidRPr="007915F2">
        <w:rPr>
          <w:rFonts w:ascii="Garamond" w:hAnsi="Garamond"/>
          <w:sz w:val="24"/>
          <w:szCs w:val="24"/>
        </w:rPr>
        <w:t xml:space="preserve">explore </w:t>
      </w:r>
      <w:r w:rsidR="00465A4B" w:rsidRPr="007915F2">
        <w:rPr>
          <w:rFonts w:ascii="Garamond" w:hAnsi="Garamond"/>
          <w:sz w:val="24"/>
          <w:szCs w:val="24"/>
        </w:rPr>
        <w:t xml:space="preserve">how </w:t>
      </w:r>
      <w:r w:rsidRPr="007915F2">
        <w:rPr>
          <w:rFonts w:ascii="Garamond" w:hAnsi="Garamond"/>
          <w:sz w:val="24"/>
          <w:szCs w:val="24"/>
        </w:rPr>
        <w:t xml:space="preserve">the relationship between supply chain network characteristics of firms and their financial performance changes in case of such </w:t>
      </w:r>
      <w:r w:rsidR="00465A4B" w:rsidRPr="007915F2">
        <w:rPr>
          <w:rFonts w:ascii="Garamond" w:hAnsi="Garamond"/>
          <w:sz w:val="24"/>
          <w:szCs w:val="24"/>
        </w:rPr>
        <w:t xml:space="preserve">long-term changes by simulating the change in </w:t>
      </w:r>
      <w:r w:rsidR="000324C6" w:rsidRPr="007915F2">
        <w:rPr>
          <w:rFonts w:ascii="Garamond" w:hAnsi="Garamond"/>
          <w:sz w:val="24"/>
          <w:szCs w:val="24"/>
        </w:rPr>
        <w:t xml:space="preserve">the </w:t>
      </w:r>
      <w:r w:rsidR="00465A4B" w:rsidRPr="007915F2">
        <w:rPr>
          <w:rFonts w:ascii="Garamond" w:hAnsi="Garamond"/>
          <w:sz w:val="24"/>
          <w:szCs w:val="24"/>
        </w:rPr>
        <w:t>global supply chain network.</w:t>
      </w:r>
    </w:p>
    <w:p w14:paraId="6E9C202C" w14:textId="77777777" w:rsidR="00260E39" w:rsidRPr="007915F2" w:rsidRDefault="00260E39" w:rsidP="00D61CD6">
      <w:pPr>
        <w:spacing w:after="0" w:line="240" w:lineRule="auto"/>
        <w:rPr>
          <w:rFonts w:ascii="Garamond" w:hAnsi="Garamond"/>
          <w:b/>
          <w:sz w:val="24"/>
          <w:szCs w:val="24"/>
        </w:rPr>
      </w:pPr>
    </w:p>
    <w:p w14:paraId="768B30B1" w14:textId="77777777" w:rsidR="00732016" w:rsidRPr="007915F2" w:rsidRDefault="00426DAE" w:rsidP="00D61CD6">
      <w:pPr>
        <w:spacing w:after="0" w:line="240" w:lineRule="auto"/>
        <w:rPr>
          <w:rFonts w:ascii="Garamond" w:hAnsi="Garamond"/>
          <w:b/>
          <w:sz w:val="24"/>
          <w:szCs w:val="24"/>
        </w:rPr>
      </w:pPr>
      <w:r w:rsidRPr="007915F2">
        <w:rPr>
          <w:rFonts w:ascii="Garamond" w:hAnsi="Garamond"/>
          <w:b/>
          <w:sz w:val="24"/>
          <w:szCs w:val="24"/>
        </w:rPr>
        <w:t xml:space="preserve">2.3 </w:t>
      </w:r>
      <w:r w:rsidR="00732016" w:rsidRPr="007915F2">
        <w:rPr>
          <w:rFonts w:ascii="Garamond" w:hAnsi="Garamond"/>
          <w:b/>
          <w:sz w:val="24"/>
          <w:szCs w:val="24"/>
        </w:rPr>
        <w:t xml:space="preserve">Supply Chain </w:t>
      </w:r>
      <w:r w:rsidR="00C929A7" w:rsidRPr="007915F2">
        <w:rPr>
          <w:rFonts w:ascii="Garamond" w:hAnsi="Garamond"/>
          <w:b/>
          <w:sz w:val="24"/>
          <w:szCs w:val="24"/>
        </w:rPr>
        <w:t>Network and Firms’ Performance</w:t>
      </w:r>
    </w:p>
    <w:p w14:paraId="54D7E81E" w14:textId="1CDF9100" w:rsidR="00D01E22" w:rsidRPr="007915F2" w:rsidRDefault="00732016" w:rsidP="00D61CD6">
      <w:pPr>
        <w:spacing w:after="0" w:line="240" w:lineRule="auto"/>
        <w:jc w:val="both"/>
        <w:rPr>
          <w:rFonts w:ascii="Garamond" w:hAnsi="Garamond"/>
          <w:color w:val="333333"/>
          <w:sz w:val="24"/>
          <w:szCs w:val="24"/>
          <w:shd w:val="clear" w:color="auto" w:fill="FFFFFF"/>
        </w:rPr>
      </w:pPr>
      <w:r w:rsidRPr="007915F2">
        <w:rPr>
          <w:rFonts w:ascii="Garamond" w:hAnsi="Garamond"/>
          <w:sz w:val="24"/>
          <w:szCs w:val="24"/>
        </w:rPr>
        <w:t>Ivanov and Dolgui (2020) in their position paper on supply chain and COVID</w:t>
      </w:r>
      <w:r w:rsidR="004E284E" w:rsidRPr="007915F2">
        <w:rPr>
          <w:rFonts w:ascii="Garamond" w:hAnsi="Garamond"/>
          <w:sz w:val="24"/>
          <w:szCs w:val="24"/>
        </w:rPr>
        <w:t>-19</w:t>
      </w:r>
      <w:r w:rsidRPr="007915F2">
        <w:rPr>
          <w:rFonts w:ascii="Garamond" w:hAnsi="Garamond"/>
          <w:sz w:val="24"/>
          <w:szCs w:val="24"/>
        </w:rPr>
        <w:t xml:space="preserve">, highlighted the importance of modeling supply chains through biological systems. </w:t>
      </w:r>
      <w:r w:rsidR="007432EA" w:rsidRPr="007915F2">
        <w:rPr>
          <w:rFonts w:ascii="Garamond" w:hAnsi="Garamond"/>
          <w:sz w:val="24"/>
          <w:szCs w:val="24"/>
        </w:rPr>
        <w:t>The roots of studying complex system</w:t>
      </w:r>
      <w:r w:rsidR="000324C6" w:rsidRPr="007915F2">
        <w:rPr>
          <w:rFonts w:ascii="Garamond" w:hAnsi="Garamond"/>
          <w:sz w:val="24"/>
          <w:szCs w:val="24"/>
        </w:rPr>
        <w:t>s</w:t>
      </w:r>
      <w:r w:rsidR="007432EA" w:rsidRPr="007915F2">
        <w:rPr>
          <w:rFonts w:ascii="Garamond" w:hAnsi="Garamond"/>
          <w:sz w:val="24"/>
          <w:szCs w:val="24"/>
        </w:rPr>
        <w:t xml:space="preserve"> using ecological models can be traced back to the work of Ludw</w:t>
      </w:r>
      <w:r w:rsidR="00763FFE">
        <w:rPr>
          <w:rFonts w:ascii="Garamond" w:hAnsi="Garamond"/>
          <w:sz w:val="24"/>
          <w:szCs w:val="24"/>
        </w:rPr>
        <w:t xml:space="preserve">ig von Bertalanffy during the </w:t>
      </w:r>
      <w:r w:rsidR="007432EA" w:rsidRPr="007915F2">
        <w:rPr>
          <w:rFonts w:ascii="Garamond" w:hAnsi="Garamond"/>
          <w:sz w:val="24"/>
          <w:szCs w:val="24"/>
        </w:rPr>
        <w:t xml:space="preserve"> 1950s on General System Theory (GST). </w:t>
      </w:r>
      <w:r w:rsidR="007432EA" w:rsidRPr="007915F2">
        <w:rPr>
          <w:rFonts w:ascii="Garamond" w:hAnsi="Garamond"/>
          <w:color w:val="333333"/>
          <w:sz w:val="24"/>
          <w:szCs w:val="24"/>
          <w:shd w:val="clear" w:color="auto" w:fill="FFFFFF"/>
        </w:rPr>
        <w:t xml:space="preserve">Ludwig von Bertalanffy (1968) has a holistic view of the systems where interconnected sub-systems shape the system. </w:t>
      </w:r>
      <w:r w:rsidR="000324C6" w:rsidRPr="007915F2">
        <w:rPr>
          <w:rFonts w:ascii="Garamond" w:hAnsi="Garamond"/>
          <w:color w:val="333333"/>
          <w:sz w:val="24"/>
          <w:szCs w:val="24"/>
          <w:shd w:val="clear" w:color="auto" w:fill="FFFFFF"/>
        </w:rPr>
        <w:t>V</w:t>
      </w:r>
      <w:r w:rsidR="007432EA" w:rsidRPr="007915F2">
        <w:rPr>
          <w:rFonts w:ascii="Garamond" w:hAnsi="Garamond"/>
          <w:color w:val="333333"/>
          <w:sz w:val="24"/>
          <w:szCs w:val="24"/>
          <w:shd w:val="clear" w:color="auto" w:fill="FFFFFF"/>
        </w:rPr>
        <w:t xml:space="preserve">on Bertalanffy’s view which is based on “systematic interactions of the parts as a whole,” is defined as opposed to the reductionism view (Thacker, 2004). Thacker (2004), in his work on </w:t>
      </w:r>
      <w:r w:rsidR="007432EA" w:rsidRPr="007915F2">
        <w:rPr>
          <w:rFonts w:ascii="Garamond" w:hAnsi="Garamond"/>
          <w:color w:val="1B1A1A"/>
          <w:sz w:val="24"/>
          <w:szCs w:val="24"/>
          <w:shd w:val="clear" w:color="auto" w:fill="FFFFFF"/>
        </w:rPr>
        <w:t xml:space="preserve">molecular biology and computer science, describes </w:t>
      </w:r>
      <w:r w:rsidR="007432EA" w:rsidRPr="007915F2">
        <w:rPr>
          <w:rFonts w:ascii="Garamond" w:hAnsi="Garamond"/>
          <w:color w:val="333333"/>
          <w:sz w:val="24"/>
          <w:szCs w:val="24"/>
          <w:shd w:val="clear" w:color="auto" w:fill="FFFFFF"/>
        </w:rPr>
        <w:t>Bertalanffy’s holistic view of the organisms as “systematic interactions of the parts as a whole,” which is defined “in opposition to reductionism</w:t>
      </w:r>
      <w:r w:rsidR="0037668B" w:rsidRPr="007915F2">
        <w:rPr>
          <w:rFonts w:ascii="Garamond" w:hAnsi="Garamond"/>
          <w:color w:val="333333"/>
          <w:sz w:val="24"/>
          <w:szCs w:val="24"/>
          <w:shd w:val="clear" w:color="auto" w:fill="FFFFFF"/>
        </w:rPr>
        <w:t>."</w:t>
      </w:r>
      <w:r w:rsidR="007432EA" w:rsidRPr="007915F2">
        <w:rPr>
          <w:rFonts w:ascii="Garamond" w:hAnsi="Garamond"/>
          <w:color w:val="333333"/>
          <w:sz w:val="24"/>
          <w:szCs w:val="24"/>
          <w:shd w:val="clear" w:color="auto" w:fill="FFFFFF"/>
        </w:rPr>
        <w:t xml:space="preserve"> More recently this Bertalanffy’s holistic view of the supply chain </w:t>
      </w:r>
      <w:r w:rsidR="00D01E22" w:rsidRPr="007915F2">
        <w:rPr>
          <w:rFonts w:ascii="Garamond" w:hAnsi="Garamond"/>
          <w:color w:val="333333"/>
          <w:sz w:val="24"/>
          <w:szCs w:val="24"/>
          <w:shd w:val="clear" w:color="auto" w:fill="FFFFFF"/>
        </w:rPr>
        <w:t xml:space="preserve">has been explored in the context of </w:t>
      </w:r>
      <w:r w:rsidR="000324C6" w:rsidRPr="007915F2">
        <w:rPr>
          <w:rFonts w:ascii="Garamond" w:hAnsi="Garamond"/>
          <w:color w:val="333333"/>
          <w:sz w:val="24"/>
          <w:szCs w:val="24"/>
          <w:shd w:val="clear" w:color="auto" w:fill="FFFFFF"/>
        </w:rPr>
        <w:t xml:space="preserve">the </w:t>
      </w:r>
      <w:r w:rsidR="00D01E22" w:rsidRPr="007915F2">
        <w:rPr>
          <w:rFonts w:ascii="Garamond" w:hAnsi="Garamond"/>
          <w:color w:val="333333"/>
          <w:sz w:val="24"/>
          <w:szCs w:val="24"/>
          <w:shd w:val="clear" w:color="auto" w:fill="FFFFFF"/>
        </w:rPr>
        <w:t xml:space="preserve">supply chain (c.f. Wang, </w:t>
      </w:r>
      <w:r w:rsidR="00D01E22" w:rsidRPr="007915F2">
        <w:rPr>
          <w:rFonts w:ascii="Garamond" w:hAnsi="Garamond"/>
          <w:sz w:val="24"/>
          <w:szCs w:val="24"/>
        </w:rPr>
        <w:t>Muddada, Wang, Ding, Lin, Liu</w:t>
      </w:r>
      <w:r w:rsidR="000324C6" w:rsidRPr="007915F2">
        <w:rPr>
          <w:rFonts w:ascii="Garamond" w:hAnsi="Garamond"/>
          <w:sz w:val="24"/>
          <w:szCs w:val="24"/>
        </w:rPr>
        <w:t>,</w:t>
      </w:r>
      <w:r w:rsidR="00D01E22" w:rsidRPr="007915F2">
        <w:rPr>
          <w:rFonts w:ascii="Garamond" w:hAnsi="Garamond"/>
          <w:sz w:val="24"/>
          <w:szCs w:val="24"/>
        </w:rPr>
        <w:t xml:space="preserve"> and Zhang, 2014; Wang, Dou, Muddada, and Zhang, 2018</w:t>
      </w:r>
      <w:r w:rsidR="00D01E22" w:rsidRPr="007915F2">
        <w:rPr>
          <w:rFonts w:ascii="Garamond" w:hAnsi="Garamond"/>
          <w:color w:val="333333"/>
          <w:sz w:val="24"/>
          <w:szCs w:val="24"/>
          <w:shd w:val="clear" w:color="auto" w:fill="FFFFFF"/>
        </w:rPr>
        <w:t>).</w:t>
      </w:r>
      <w:r w:rsidR="0037668B" w:rsidRPr="007915F2">
        <w:rPr>
          <w:rFonts w:ascii="Garamond" w:hAnsi="Garamond"/>
          <w:color w:val="333333"/>
          <w:sz w:val="24"/>
          <w:szCs w:val="24"/>
          <w:shd w:val="clear" w:color="auto" w:fill="FFFFFF"/>
        </w:rPr>
        <w:t xml:space="preserve"> </w:t>
      </w:r>
      <w:r w:rsidR="00D01E22" w:rsidRPr="007915F2">
        <w:rPr>
          <w:rFonts w:ascii="Garamond" w:hAnsi="Garamond"/>
          <w:color w:val="333333"/>
          <w:sz w:val="24"/>
          <w:szCs w:val="24"/>
          <w:shd w:val="clear" w:color="auto" w:fill="FFFFFF"/>
        </w:rPr>
        <w:t xml:space="preserve">Wang et al. (2018) further discuss the relationship between supply chain networks and </w:t>
      </w:r>
      <w:r w:rsidR="000324C6" w:rsidRPr="007915F2">
        <w:rPr>
          <w:rFonts w:ascii="Garamond" w:hAnsi="Garamond"/>
          <w:color w:val="333333"/>
          <w:sz w:val="24"/>
          <w:szCs w:val="24"/>
          <w:shd w:val="clear" w:color="auto" w:fill="FFFFFF"/>
        </w:rPr>
        <w:t xml:space="preserve">the </w:t>
      </w:r>
      <w:r w:rsidR="00D01E22" w:rsidRPr="007915F2">
        <w:rPr>
          <w:rFonts w:ascii="Garamond" w:hAnsi="Garamond"/>
          <w:color w:val="333333"/>
          <w:sz w:val="24"/>
          <w:szCs w:val="24"/>
          <w:shd w:val="clear" w:color="auto" w:fill="FFFFFF"/>
        </w:rPr>
        <w:t xml:space="preserve">global financial crisis of 2008. Wang et al. (2018) </w:t>
      </w:r>
      <w:r w:rsidR="00074FAA" w:rsidRPr="007915F2">
        <w:rPr>
          <w:rFonts w:ascii="Garamond" w:hAnsi="Garamond"/>
          <w:color w:val="333333"/>
          <w:sz w:val="24"/>
          <w:szCs w:val="24"/>
          <w:shd w:val="clear" w:color="auto" w:fill="FFFFFF"/>
        </w:rPr>
        <w:t>also</w:t>
      </w:r>
      <w:r w:rsidR="00D01E22" w:rsidRPr="007915F2">
        <w:rPr>
          <w:rFonts w:ascii="Garamond" w:hAnsi="Garamond"/>
          <w:color w:val="333333"/>
          <w:sz w:val="24"/>
          <w:szCs w:val="24"/>
          <w:shd w:val="clear" w:color="auto" w:fill="FFFFFF"/>
        </w:rPr>
        <w:t xml:space="preserve"> argue that firms’ position</w:t>
      </w:r>
      <w:r w:rsidR="0055198F" w:rsidRPr="007915F2">
        <w:rPr>
          <w:rFonts w:ascii="Garamond" w:hAnsi="Garamond"/>
          <w:color w:val="333333"/>
          <w:sz w:val="24"/>
          <w:szCs w:val="24"/>
          <w:shd w:val="clear" w:color="auto" w:fill="FFFFFF"/>
        </w:rPr>
        <w:t>s</w:t>
      </w:r>
      <w:r w:rsidR="00D01E22" w:rsidRPr="007915F2">
        <w:rPr>
          <w:rFonts w:ascii="Garamond" w:hAnsi="Garamond"/>
          <w:color w:val="333333"/>
          <w:sz w:val="24"/>
          <w:szCs w:val="24"/>
          <w:shd w:val="clear" w:color="auto" w:fill="FFFFFF"/>
        </w:rPr>
        <w:t xml:space="preserve"> with respect to upstream and downstream contribute to the firms’ performance. </w:t>
      </w:r>
      <w:r w:rsidR="0037668B" w:rsidRPr="007915F2">
        <w:rPr>
          <w:rFonts w:ascii="Garamond" w:hAnsi="Garamond"/>
          <w:color w:val="333333"/>
          <w:sz w:val="24"/>
          <w:szCs w:val="24"/>
          <w:shd w:val="clear" w:color="auto" w:fill="FFFFFF"/>
        </w:rPr>
        <w:t>In the present study</w:t>
      </w:r>
      <w:r w:rsidR="000324C6" w:rsidRPr="007915F2">
        <w:rPr>
          <w:rFonts w:ascii="Garamond" w:hAnsi="Garamond"/>
          <w:color w:val="333333"/>
          <w:sz w:val="24"/>
          <w:szCs w:val="24"/>
          <w:shd w:val="clear" w:color="auto" w:fill="FFFFFF"/>
        </w:rPr>
        <w:t>,</w:t>
      </w:r>
      <w:r w:rsidR="0037668B" w:rsidRPr="007915F2">
        <w:rPr>
          <w:rFonts w:ascii="Garamond" w:hAnsi="Garamond"/>
          <w:color w:val="333333"/>
          <w:sz w:val="24"/>
          <w:szCs w:val="24"/>
          <w:shd w:val="clear" w:color="auto" w:fill="FFFFFF"/>
        </w:rPr>
        <w:t xml:space="preserve"> we hypothesize that firms’ position in the supply chain structure will affect their financial performance. This study focuses on the upstream tiers of </w:t>
      </w:r>
      <w:r w:rsidR="000324C6" w:rsidRPr="007915F2">
        <w:rPr>
          <w:rFonts w:ascii="Garamond" w:hAnsi="Garamond"/>
          <w:color w:val="333333"/>
          <w:sz w:val="24"/>
          <w:szCs w:val="24"/>
          <w:shd w:val="clear" w:color="auto" w:fill="FFFFFF"/>
        </w:rPr>
        <w:t xml:space="preserve">the </w:t>
      </w:r>
      <w:r w:rsidR="0037668B" w:rsidRPr="007915F2">
        <w:rPr>
          <w:rFonts w:ascii="Garamond" w:hAnsi="Garamond"/>
          <w:color w:val="333333"/>
          <w:sz w:val="24"/>
          <w:szCs w:val="24"/>
          <w:shd w:val="clear" w:color="auto" w:fill="FFFFFF"/>
        </w:rPr>
        <w:t>supply chain in medical equipment manufacturing. Specifically</w:t>
      </w:r>
      <w:r w:rsidR="000324C6" w:rsidRPr="007915F2">
        <w:rPr>
          <w:rFonts w:ascii="Garamond" w:hAnsi="Garamond"/>
          <w:color w:val="333333"/>
          <w:sz w:val="24"/>
          <w:szCs w:val="24"/>
          <w:shd w:val="clear" w:color="auto" w:fill="FFFFFF"/>
        </w:rPr>
        <w:t>,</w:t>
      </w:r>
      <w:r w:rsidR="0037668B" w:rsidRPr="007915F2">
        <w:rPr>
          <w:rFonts w:ascii="Garamond" w:hAnsi="Garamond"/>
          <w:color w:val="333333"/>
          <w:sz w:val="24"/>
          <w:szCs w:val="24"/>
          <w:shd w:val="clear" w:color="auto" w:fill="FFFFFF"/>
        </w:rPr>
        <w:t xml:space="preserve"> we explore the five tiers of </w:t>
      </w:r>
      <w:r w:rsidR="000324C6" w:rsidRPr="007915F2">
        <w:rPr>
          <w:rFonts w:ascii="Garamond" w:hAnsi="Garamond"/>
          <w:color w:val="333333"/>
          <w:sz w:val="24"/>
          <w:szCs w:val="24"/>
          <w:shd w:val="clear" w:color="auto" w:fill="FFFFFF"/>
        </w:rPr>
        <w:t xml:space="preserve">the </w:t>
      </w:r>
      <w:r w:rsidR="0037668B" w:rsidRPr="007915F2">
        <w:rPr>
          <w:rFonts w:ascii="Garamond" w:hAnsi="Garamond"/>
          <w:color w:val="333333"/>
          <w:sz w:val="24"/>
          <w:szCs w:val="24"/>
          <w:shd w:val="clear" w:color="auto" w:fill="FFFFFF"/>
        </w:rPr>
        <w:t>backward supply chain. More information about ou</w:t>
      </w:r>
      <w:r w:rsidR="000324C6" w:rsidRPr="007915F2">
        <w:rPr>
          <w:rFonts w:ascii="Garamond" w:hAnsi="Garamond"/>
          <w:color w:val="333333"/>
          <w:sz w:val="24"/>
          <w:szCs w:val="24"/>
          <w:shd w:val="clear" w:color="auto" w:fill="FFFFFF"/>
        </w:rPr>
        <w:t>r</w:t>
      </w:r>
      <w:r w:rsidR="0037668B" w:rsidRPr="007915F2">
        <w:rPr>
          <w:rFonts w:ascii="Garamond" w:hAnsi="Garamond"/>
          <w:color w:val="333333"/>
          <w:sz w:val="24"/>
          <w:szCs w:val="24"/>
          <w:shd w:val="clear" w:color="auto" w:fill="FFFFFF"/>
        </w:rPr>
        <w:t xml:space="preserve"> data structure is presented in </w:t>
      </w:r>
      <w:r w:rsidR="000324C6" w:rsidRPr="007915F2">
        <w:rPr>
          <w:rFonts w:ascii="Garamond" w:hAnsi="Garamond"/>
          <w:color w:val="333333"/>
          <w:sz w:val="24"/>
          <w:szCs w:val="24"/>
          <w:shd w:val="clear" w:color="auto" w:fill="FFFFFF"/>
        </w:rPr>
        <w:t xml:space="preserve">the </w:t>
      </w:r>
      <w:r w:rsidR="0037668B" w:rsidRPr="007915F2">
        <w:rPr>
          <w:rFonts w:ascii="Garamond" w:hAnsi="Garamond"/>
          <w:color w:val="333333"/>
          <w:sz w:val="24"/>
          <w:szCs w:val="24"/>
          <w:shd w:val="clear" w:color="auto" w:fill="FFFFFF"/>
        </w:rPr>
        <w:t>data collection and data preparation section.</w:t>
      </w:r>
      <w:r w:rsidR="00AC775B" w:rsidRPr="007915F2">
        <w:rPr>
          <w:rFonts w:ascii="Garamond" w:hAnsi="Garamond"/>
          <w:color w:val="333333"/>
          <w:sz w:val="24"/>
          <w:szCs w:val="24"/>
          <w:shd w:val="clear" w:color="auto" w:fill="FFFFFF"/>
        </w:rPr>
        <w:t xml:space="preserve"> </w:t>
      </w:r>
    </w:p>
    <w:p w14:paraId="79F09D70" w14:textId="77777777" w:rsidR="00521DE2" w:rsidRPr="007915F2" w:rsidRDefault="00F35A9B"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The factors affecting the firms’ differential performance ha</w:t>
      </w:r>
      <w:r w:rsidR="000324C6" w:rsidRPr="007915F2">
        <w:rPr>
          <w:rFonts w:ascii="Garamond" w:hAnsi="Garamond"/>
          <w:color w:val="333333"/>
          <w:sz w:val="24"/>
          <w:szCs w:val="24"/>
          <w:shd w:val="clear" w:color="auto" w:fill="FFFFFF"/>
        </w:rPr>
        <w:t>ve</w:t>
      </w:r>
      <w:r w:rsidRPr="007915F2">
        <w:rPr>
          <w:rFonts w:ascii="Garamond" w:hAnsi="Garamond"/>
          <w:color w:val="333333"/>
          <w:sz w:val="24"/>
          <w:szCs w:val="24"/>
          <w:shd w:val="clear" w:color="auto" w:fill="FFFFFF"/>
        </w:rPr>
        <w:t xml:space="preserve"> been a subject of interest </w:t>
      </w:r>
      <w:r w:rsidR="00AC775B" w:rsidRPr="007915F2">
        <w:rPr>
          <w:rFonts w:ascii="Garamond" w:hAnsi="Garamond"/>
          <w:color w:val="333333"/>
          <w:sz w:val="24"/>
          <w:szCs w:val="24"/>
          <w:shd w:val="clear" w:color="auto" w:fill="FFFFFF"/>
        </w:rPr>
        <w:t xml:space="preserve">in several fields particularly among scholars in the field of strategic management (Rumelt, Schendel and Teece, 1991, as cited in Dyer and Singh, 1998). </w:t>
      </w:r>
      <w:r w:rsidR="00897B91" w:rsidRPr="007915F2">
        <w:rPr>
          <w:rFonts w:ascii="Garamond" w:hAnsi="Garamond"/>
          <w:color w:val="333333"/>
          <w:sz w:val="24"/>
          <w:szCs w:val="24"/>
          <w:shd w:val="clear" w:color="auto" w:fill="FFFFFF"/>
        </w:rPr>
        <w:t>One of the questions facing scholars ha</w:t>
      </w:r>
      <w:r w:rsidR="000324C6" w:rsidRPr="007915F2">
        <w:rPr>
          <w:rFonts w:ascii="Garamond" w:hAnsi="Garamond"/>
          <w:color w:val="333333"/>
          <w:sz w:val="24"/>
          <w:szCs w:val="24"/>
          <w:shd w:val="clear" w:color="auto" w:fill="FFFFFF"/>
        </w:rPr>
        <w:t>s</w:t>
      </w:r>
      <w:r w:rsidR="00897B91" w:rsidRPr="007915F2">
        <w:rPr>
          <w:rFonts w:ascii="Garamond" w:hAnsi="Garamond"/>
          <w:color w:val="333333"/>
          <w:sz w:val="24"/>
          <w:szCs w:val="24"/>
          <w:shd w:val="clear" w:color="auto" w:fill="FFFFFF"/>
        </w:rPr>
        <w:t xml:space="preserve"> been the unit of analysis in studying the factors affecting firms’ performance. Michael Porter’s (1980) industry structure view “suggests that supernormal returns are primarily a function of a firm’s membership in an industry with favorable structural characteristics [such as] bargaining power, barriers of entry</w:t>
      </w:r>
      <w:r w:rsidR="000324C6" w:rsidRPr="007915F2">
        <w:rPr>
          <w:rFonts w:ascii="Garamond" w:hAnsi="Garamond"/>
          <w:color w:val="333333"/>
          <w:sz w:val="24"/>
          <w:szCs w:val="24"/>
          <w:shd w:val="clear" w:color="auto" w:fill="FFFFFF"/>
        </w:rPr>
        <w:t>,</w:t>
      </w:r>
      <w:r w:rsidR="00897B91" w:rsidRPr="007915F2">
        <w:rPr>
          <w:rFonts w:ascii="Garamond" w:hAnsi="Garamond"/>
          <w:color w:val="333333"/>
          <w:sz w:val="24"/>
          <w:szCs w:val="24"/>
          <w:shd w:val="clear" w:color="auto" w:fill="FFFFFF"/>
        </w:rPr>
        <w:t xml:space="preserve"> and so on.” (Dyer and Singh, 1998). This suggest</w:t>
      </w:r>
      <w:r w:rsidR="000324C6" w:rsidRPr="007915F2">
        <w:rPr>
          <w:rFonts w:ascii="Garamond" w:hAnsi="Garamond"/>
          <w:color w:val="333333"/>
          <w:sz w:val="24"/>
          <w:szCs w:val="24"/>
          <w:shd w:val="clear" w:color="auto" w:fill="FFFFFF"/>
        </w:rPr>
        <w:t>s</w:t>
      </w:r>
      <w:r w:rsidR="00897B91" w:rsidRPr="007915F2">
        <w:rPr>
          <w:rFonts w:ascii="Garamond" w:hAnsi="Garamond"/>
          <w:color w:val="333333"/>
          <w:sz w:val="24"/>
          <w:szCs w:val="24"/>
          <w:shd w:val="clear" w:color="auto" w:fill="FFFFFF"/>
        </w:rPr>
        <w:t xml:space="preserve"> the unit of analysis should be at the industry level and researchers should consider industry</w:t>
      </w:r>
      <w:r w:rsidR="000324C6" w:rsidRPr="007915F2">
        <w:rPr>
          <w:rFonts w:ascii="Garamond" w:hAnsi="Garamond"/>
          <w:color w:val="333333"/>
          <w:sz w:val="24"/>
          <w:szCs w:val="24"/>
          <w:shd w:val="clear" w:color="auto" w:fill="FFFFFF"/>
        </w:rPr>
        <w:t>-</w:t>
      </w:r>
      <w:r w:rsidR="00897B91" w:rsidRPr="007915F2">
        <w:rPr>
          <w:rFonts w:ascii="Garamond" w:hAnsi="Garamond"/>
          <w:color w:val="333333"/>
          <w:sz w:val="24"/>
          <w:szCs w:val="24"/>
          <w:shd w:val="clear" w:color="auto" w:fill="FFFFFF"/>
        </w:rPr>
        <w:t xml:space="preserve">related factors. </w:t>
      </w:r>
      <w:r w:rsidR="007338C0" w:rsidRPr="007915F2">
        <w:rPr>
          <w:rFonts w:ascii="Garamond" w:hAnsi="Garamond"/>
          <w:color w:val="333333"/>
          <w:sz w:val="24"/>
          <w:szCs w:val="24"/>
          <w:shd w:val="clear" w:color="auto" w:fill="FFFFFF"/>
        </w:rPr>
        <w:t xml:space="preserve">Contrary to </w:t>
      </w:r>
      <w:r w:rsidR="000324C6" w:rsidRPr="007915F2">
        <w:rPr>
          <w:rFonts w:ascii="Garamond" w:hAnsi="Garamond"/>
          <w:color w:val="333333"/>
          <w:sz w:val="24"/>
          <w:szCs w:val="24"/>
          <w:shd w:val="clear" w:color="auto" w:fill="FFFFFF"/>
        </w:rPr>
        <w:t xml:space="preserve">the </w:t>
      </w:r>
      <w:r w:rsidR="007338C0" w:rsidRPr="007915F2">
        <w:rPr>
          <w:rFonts w:ascii="Garamond" w:hAnsi="Garamond"/>
          <w:color w:val="333333"/>
          <w:sz w:val="24"/>
          <w:szCs w:val="24"/>
          <w:shd w:val="clear" w:color="auto" w:fill="FFFFFF"/>
        </w:rPr>
        <w:t>industry structure view, the resource</w:t>
      </w:r>
      <w:r w:rsidR="000324C6" w:rsidRPr="007915F2">
        <w:rPr>
          <w:rFonts w:ascii="Garamond" w:hAnsi="Garamond"/>
          <w:color w:val="333333"/>
          <w:sz w:val="24"/>
          <w:szCs w:val="24"/>
          <w:shd w:val="clear" w:color="auto" w:fill="FFFFFF"/>
        </w:rPr>
        <w:t>-</w:t>
      </w:r>
      <w:r w:rsidR="007338C0" w:rsidRPr="007915F2">
        <w:rPr>
          <w:rFonts w:ascii="Garamond" w:hAnsi="Garamond"/>
          <w:color w:val="333333"/>
          <w:sz w:val="24"/>
          <w:szCs w:val="24"/>
          <w:shd w:val="clear" w:color="auto" w:fill="FFFFFF"/>
        </w:rPr>
        <w:t xml:space="preserve">based view suggests the unit of analysis should be the firms since it is the accumulation of </w:t>
      </w:r>
      <w:r w:rsidR="000D2C63" w:rsidRPr="007915F2">
        <w:rPr>
          <w:rFonts w:ascii="Garamond" w:hAnsi="Garamond"/>
          <w:color w:val="333333"/>
          <w:sz w:val="24"/>
          <w:szCs w:val="24"/>
          <w:shd w:val="clear" w:color="auto" w:fill="FFFFFF"/>
        </w:rPr>
        <w:t xml:space="preserve">rare </w:t>
      </w:r>
      <w:r w:rsidR="007338C0" w:rsidRPr="007915F2">
        <w:rPr>
          <w:rFonts w:ascii="Garamond" w:hAnsi="Garamond"/>
          <w:color w:val="333333"/>
          <w:sz w:val="24"/>
          <w:szCs w:val="24"/>
          <w:shd w:val="clear" w:color="auto" w:fill="FFFFFF"/>
        </w:rPr>
        <w:t xml:space="preserve">intra-organizational “resources and capabilities” that enable firms to achieve higher levels of performance (Dyer and Singh, 1998). </w:t>
      </w:r>
    </w:p>
    <w:p w14:paraId="1ED4CA06" w14:textId="4E5DE26C" w:rsidR="00196451" w:rsidRPr="007915F2" w:rsidRDefault="000D2C63"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Based on a discuss</w:t>
      </w:r>
      <w:r w:rsidR="000324C6" w:rsidRPr="007915F2">
        <w:rPr>
          <w:rFonts w:ascii="Garamond" w:hAnsi="Garamond"/>
          <w:color w:val="333333"/>
          <w:sz w:val="24"/>
          <w:szCs w:val="24"/>
          <w:shd w:val="clear" w:color="auto" w:fill="FFFFFF"/>
        </w:rPr>
        <w:t>ion</w:t>
      </w:r>
      <w:r w:rsidRPr="007915F2">
        <w:rPr>
          <w:rFonts w:ascii="Garamond" w:hAnsi="Garamond"/>
          <w:color w:val="333333"/>
          <w:sz w:val="24"/>
          <w:szCs w:val="24"/>
          <w:shd w:val="clear" w:color="auto" w:fill="FFFFFF"/>
        </w:rPr>
        <w:t xml:space="preserve"> of some of </w:t>
      </w:r>
      <w:r w:rsidR="007F2D22" w:rsidRPr="007915F2">
        <w:rPr>
          <w:rFonts w:ascii="Garamond" w:hAnsi="Garamond"/>
          <w:color w:val="333333"/>
          <w:sz w:val="24"/>
          <w:szCs w:val="24"/>
          <w:shd w:val="clear" w:color="auto" w:fill="FFFFFF"/>
        </w:rPr>
        <w:t>the shortcomings of</w:t>
      </w:r>
      <w:r w:rsidR="007338C0" w:rsidRPr="007915F2">
        <w:rPr>
          <w:rFonts w:ascii="Garamond" w:hAnsi="Garamond"/>
          <w:color w:val="333333"/>
          <w:sz w:val="24"/>
          <w:szCs w:val="24"/>
          <w:shd w:val="clear" w:color="auto" w:fill="FFFFFF"/>
        </w:rPr>
        <w:t xml:space="preserve"> the industry structure and resource</w:t>
      </w:r>
      <w:r w:rsidR="000324C6" w:rsidRPr="007915F2">
        <w:rPr>
          <w:rFonts w:ascii="Garamond" w:hAnsi="Garamond"/>
          <w:color w:val="333333"/>
          <w:sz w:val="24"/>
          <w:szCs w:val="24"/>
          <w:shd w:val="clear" w:color="auto" w:fill="FFFFFF"/>
        </w:rPr>
        <w:t>-</w:t>
      </w:r>
      <w:r w:rsidR="007338C0" w:rsidRPr="007915F2">
        <w:rPr>
          <w:rFonts w:ascii="Garamond" w:hAnsi="Garamond"/>
          <w:color w:val="333333"/>
          <w:sz w:val="24"/>
          <w:szCs w:val="24"/>
          <w:shd w:val="clear" w:color="auto" w:fill="FFFFFF"/>
        </w:rPr>
        <w:t>based views</w:t>
      </w:r>
      <w:r w:rsidR="00F032B6"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 xml:space="preserve"> Dyer and Singh (1998)</w:t>
      </w:r>
      <w:r w:rsidR="007F2D22" w:rsidRPr="007915F2">
        <w:rPr>
          <w:rFonts w:ascii="Garamond" w:hAnsi="Garamond"/>
          <w:color w:val="333333"/>
          <w:sz w:val="24"/>
          <w:szCs w:val="24"/>
          <w:shd w:val="clear" w:color="auto" w:fill="FFFFFF"/>
        </w:rPr>
        <w:t xml:space="preserve"> suggest</w:t>
      </w:r>
      <w:r w:rsidR="007338C0" w:rsidRPr="007915F2">
        <w:rPr>
          <w:rFonts w:ascii="Garamond" w:hAnsi="Garamond"/>
          <w:color w:val="333333"/>
          <w:sz w:val="24"/>
          <w:szCs w:val="24"/>
          <w:shd w:val="clear" w:color="auto" w:fill="FFFFFF"/>
        </w:rPr>
        <w:t xml:space="preserve"> that </w:t>
      </w:r>
      <w:r w:rsidRPr="007915F2">
        <w:rPr>
          <w:rFonts w:ascii="Garamond" w:hAnsi="Garamond"/>
          <w:color w:val="333333"/>
          <w:sz w:val="24"/>
          <w:szCs w:val="24"/>
          <w:shd w:val="clear" w:color="auto" w:fill="FFFFFF"/>
        </w:rPr>
        <w:t>firms</w:t>
      </w:r>
      <w:r w:rsidR="007338C0" w:rsidRPr="007915F2">
        <w:rPr>
          <w:rFonts w:ascii="Garamond" w:hAnsi="Garamond"/>
          <w:color w:val="333333"/>
          <w:sz w:val="24"/>
          <w:szCs w:val="24"/>
          <w:shd w:val="clear" w:color="auto" w:fill="FFFFFF"/>
        </w:rPr>
        <w:t xml:space="preserve"> should </w:t>
      </w:r>
      <w:r w:rsidRPr="007915F2">
        <w:rPr>
          <w:rFonts w:ascii="Garamond" w:hAnsi="Garamond"/>
          <w:color w:val="333333"/>
          <w:sz w:val="24"/>
          <w:szCs w:val="24"/>
          <w:shd w:val="clear" w:color="auto" w:fill="FFFFFF"/>
        </w:rPr>
        <w:t xml:space="preserve">look </w:t>
      </w:r>
      <w:r w:rsidR="000324C6" w:rsidRPr="007915F2">
        <w:rPr>
          <w:rFonts w:ascii="Garamond" w:hAnsi="Garamond"/>
          <w:color w:val="333333"/>
          <w:sz w:val="24"/>
          <w:szCs w:val="24"/>
          <w:shd w:val="clear" w:color="auto" w:fill="FFFFFF"/>
        </w:rPr>
        <w:t>at</w:t>
      </w:r>
      <w:r w:rsidRPr="007915F2">
        <w:rPr>
          <w:rFonts w:ascii="Garamond" w:hAnsi="Garamond"/>
          <w:color w:val="333333"/>
          <w:sz w:val="24"/>
          <w:szCs w:val="24"/>
          <w:shd w:val="clear" w:color="auto" w:fill="FFFFFF"/>
        </w:rPr>
        <w:t xml:space="preserve"> sources of firms’ competitive advantage beyond their boundaries as well. “The network of relationships in which the firm is embedded" creates “relational rents” that </w:t>
      </w:r>
      <w:r w:rsidR="001A45C9" w:rsidRPr="007915F2">
        <w:rPr>
          <w:rFonts w:ascii="Garamond" w:hAnsi="Garamond"/>
          <w:color w:val="333333"/>
          <w:sz w:val="24"/>
          <w:szCs w:val="24"/>
          <w:shd w:val="clear" w:color="auto" w:fill="FFFFFF"/>
        </w:rPr>
        <w:t>enhance a firm’s</w:t>
      </w:r>
      <w:r w:rsidRPr="007915F2">
        <w:rPr>
          <w:rFonts w:ascii="Garamond" w:hAnsi="Garamond"/>
          <w:color w:val="333333"/>
          <w:sz w:val="24"/>
          <w:szCs w:val="24"/>
          <w:shd w:val="clear" w:color="auto" w:fill="FFFFFF"/>
        </w:rPr>
        <w:t xml:space="preserve"> competitive advantage </w:t>
      </w:r>
      <w:r w:rsidR="001A45C9" w:rsidRPr="007915F2">
        <w:rPr>
          <w:rFonts w:ascii="Garamond" w:hAnsi="Garamond"/>
          <w:color w:val="333333"/>
          <w:sz w:val="24"/>
          <w:szCs w:val="24"/>
          <w:shd w:val="clear" w:color="auto" w:fill="FFFFFF"/>
        </w:rPr>
        <w:t xml:space="preserve">across the network </w:t>
      </w:r>
      <w:r w:rsidRPr="007915F2">
        <w:rPr>
          <w:rFonts w:ascii="Garamond" w:hAnsi="Garamond"/>
          <w:color w:val="333333"/>
          <w:sz w:val="24"/>
          <w:szCs w:val="24"/>
          <w:shd w:val="clear" w:color="auto" w:fill="FFFFFF"/>
        </w:rPr>
        <w:t xml:space="preserve">(Dyer and Singh, 1998). </w:t>
      </w:r>
      <w:r w:rsidR="006170D9" w:rsidRPr="007915F2">
        <w:rPr>
          <w:rFonts w:ascii="Garamond" w:hAnsi="Garamond"/>
          <w:color w:val="333333"/>
          <w:sz w:val="24"/>
          <w:szCs w:val="24"/>
          <w:shd w:val="clear" w:color="auto" w:fill="FFFFFF"/>
        </w:rPr>
        <w:t xml:space="preserve">Furthermore, </w:t>
      </w:r>
      <w:r w:rsidR="008B35A3" w:rsidRPr="007915F2">
        <w:rPr>
          <w:rFonts w:ascii="Garamond" w:hAnsi="Garamond"/>
          <w:color w:val="333333"/>
          <w:sz w:val="24"/>
          <w:szCs w:val="24"/>
          <w:shd w:val="clear" w:color="auto" w:fill="FFFFFF"/>
        </w:rPr>
        <w:t>Carnovale, Rogers</w:t>
      </w:r>
      <w:r w:rsidR="00763FFE">
        <w:rPr>
          <w:rFonts w:ascii="Garamond" w:hAnsi="Garamond"/>
          <w:color w:val="333333"/>
          <w:sz w:val="24"/>
          <w:szCs w:val="24"/>
          <w:shd w:val="clear" w:color="auto" w:fill="FFFFFF"/>
        </w:rPr>
        <w:t>,</w:t>
      </w:r>
      <w:r w:rsidR="008B35A3" w:rsidRPr="007915F2">
        <w:rPr>
          <w:rFonts w:ascii="Garamond" w:hAnsi="Garamond"/>
          <w:color w:val="333333"/>
          <w:sz w:val="24"/>
          <w:szCs w:val="24"/>
          <w:shd w:val="clear" w:color="auto" w:fill="FFFFFF"/>
        </w:rPr>
        <w:t xml:space="preserve"> and Yeniyurt (2019) highlight the role of resource dependency theory </w:t>
      </w:r>
      <w:r w:rsidR="006170D9" w:rsidRPr="007915F2">
        <w:rPr>
          <w:rFonts w:ascii="Garamond" w:hAnsi="Garamond"/>
          <w:color w:val="333333"/>
          <w:sz w:val="24"/>
          <w:szCs w:val="24"/>
          <w:shd w:val="clear" w:color="auto" w:fill="FFFFFF"/>
        </w:rPr>
        <w:t xml:space="preserve">in explaining the relationship between firms’ advantages through its network and the firms’ </w:t>
      </w:r>
      <w:r w:rsidR="006170D9" w:rsidRPr="007915F2">
        <w:rPr>
          <w:rFonts w:ascii="Garamond" w:hAnsi="Garamond"/>
          <w:color w:val="333333"/>
          <w:sz w:val="24"/>
          <w:szCs w:val="24"/>
          <w:shd w:val="clear" w:color="auto" w:fill="FFFFFF"/>
        </w:rPr>
        <w:lastRenderedPageBreak/>
        <w:t>performance.</w:t>
      </w:r>
      <w:r w:rsidR="008B35A3" w:rsidRPr="007915F2">
        <w:rPr>
          <w:rFonts w:ascii="Garamond" w:hAnsi="Garamond"/>
          <w:color w:val="333333"/>
          <w:sz w:val="24"/>
          <w:szCs w:val="24"/>
          <w:shd w:val="clear" w:color="auto" w:fill="FFFFFF"/>
        </w:rPr>
        <w:t xml:space="preserve"> </w:t>
      </w:r>
      <w:r w:rsidR="00196451" w:rsidRPr="007915F2">
        <w:rPr>
          <w:rFonts w:ascii="Garamond" w:hAnsi="Garamond"/>
          <w:color w:val="333333"/>
          <w:sz w:val="24"/>
          <w:szCs w:val="24"/>
          <w:shd w:val="clear" w:color="auto" w:fill="FFFFFF"/>
        </w:rPr>
        <w:t xml:space="preserve">Following </w:t>
      </w:r>
      <w:r w:rsidRPr="007915F2">
        <w:rPr>
          <w:rFonts w:ascii="Garamond" w:hAnsi="Garamond"/>
          <w:color w:val="333333"/>
          <w:sz w:val="24"/>
          <w:szCs w:val="24"/>
          <w:shd w:val="clear" w:color="auto" w:fill="FFFFFF"/>
        </w:rPr>
        <w:t xml:space="preserve">the relational view </w:t>
      </w:r>
      <w:r w:rsidR="00196451" w:rsidRPr="007915F2">
        <w:rPr>
          <w:rFonts w:ascii="Garamond" w:hAnsi="Garamond"/>
          <w:color w:val="333333"/>
          <w:sz w:val="24"/>
          <w:szCs w:val="24"/>
          <w:shd w:val="clear" w:color="auto" w:fill="FFFFFF"/>
        </w:rPr>
        <w:t xml:space="preserve">of </w:t>
      </w:r>
      <w:r w:rsidRPr="007915F2">
        <w:rPr>
          <w:rFonts w:ascii="Garamond" w:hAnsi="Garamond"/>
          <w:color w:val="333333"/>
          <w:sz w:val="24"/>
          <w:szCs w:val="24"/>
          <w:shd w:val="clear" w:color="auto" w:fill="FFFFFF"/>
        </w:rPr>
        <w:t>competitive</w:t>
      </w:r>
      <w:r w:rsidR="00196451" w:rsidRPr="007915F2">
        <w:rPr>
          <w:rFonts w:ascii="Garamond" w:hAnsi="Garamond"/>
          <w:color w:val="333333"/>
          <w:sz w:val="24"/>
          <w:szCs w:val="24"/>
          <w:shd w:val="clear" w:color="auto" w:fill="FFFFFF"/>
        </w:rPr>
        <w:t xml:space="preserve"> advantage, in this study</w:t>
      </w:r>
      <w:r w:rsidR="000324C6" w:rsidRPr="007915F2">
        <w:rPr>
          <w:rFonts w:ascii="Garamond" w:hAnsi="Garamond"/>
          <w:color w:val="333333"/>
          <w:sz w:val="24"/>
          <w:szCs w:val="24"/>
          <w:shd w:val="clear" w:color="auto" w:fill="FFFFFF"/>
        </w:rPr>
        <w:t>,</w:t>
      </w:r>
      <w:r w:rsidR="00196451" w:rsidRPr="007915F2">
        <w:rPr>
          <w:rFonts w:ascii="Garamond" w:hAnsi="Garamond"/>
          <w:color w:val="333333"/>
          <w:sz w:val="24"/>
          <w:szCs w:val="24"/>
          <w:shd w:val="clear" w:color="auto" w:fill="FFFFFF"/>
        </w:rPr>
        <w:t xml:space="preserve"> we consider centrality measures as indicators of </w:t>
      </w:r>
      <w:r w:rsidR="000324C6" w:rsidRPr="007915F2">
        <w:rPr>
          <w:rFonts w:ascii="Garamond" w:hAnsi="Garamond"/>
          <w:color w:val="333333"/>
          <w:sz w:val="24"/>
          <w:szCs w:val="24"/>
          <w:shd w:val="clear" w:color="auto" w:fill="FFFFFF"/>
        </w:rPr>
        <w:t xml:space="preserve">a </w:t>
      </w:r>
      <w:r w:rsidR="00196451" w:rsidRPr="007915F2">
        <w:rPr>
          <w:rFonts w:ascii="Garamond" w:hAnsi="Garamond"/>
          <w:color w:val="333333"/>
          <w:sz w:val="24"/>
          <w:szCs w:val="24"/>
          <w:shd w:val="clear" w:color="auto" w:fill="FFFFFF"/>
        </w:rPr>
        <w:t xml:space="preserve">firm’s relationship with </w:t>
      </w:r>
      <w:r w:rsidR="000324C6" w:rsidRPr="007915F2">
        <w:rPr>
          <w:rFonts w:ascii="Garamond" w:hAnsi="Garamond"/>
          <w:color w:val="333333"/>
          <w:sz w:val="24"/>
          <w:szCs w:val="24"/>
          <w:shd w:val="clear" w:color="auto" w:fill="FFFFFF"/>
        </w:rPr>
        <w:t>its</w:t>
      </w:r>
      <w:r w:rsidR="00196451" w:rsidRPr="007915F2">
        <w:rPr>
          <w:rFonts w:ascii="Garamond" w:hAnsi="Garamond"/>
          <w:color w:val="333333"/>
          <w:sz w:val="24"/>
          <w:szCs w:val="24"/>
          <w:shd w:val="clear" w:color="auto" w:fill="FFFFFF"/>
        </w:rPr>
        <w:t xml:space="preserve"> supply chain network.</w:t>
      </w:r>
    </w:p>
    <w:p w14:paraId="6457173A" w14:textId="77777777" w:rsidR="002F60EF" w:rsidRPr="007915F2" w:rsidRDefault="00196451"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 xml:space="preserve">Other concepts that can support the network view and relational view of the firms in the area of supply chain management </w:t>
      </w:r>
      <w:r w:rsidR="00521DE2" w:rsidRPr="007915F2">
        <w:rPr>
          <w:rFonts w:ascii="Garamond" w:hAnsi="Garamond"/>
          <w:color w:val="333333"/>
          <w:sz w:val="24"/>
          <w:szCs w:val="24"/>
          <w:shd w:val="clear" w:color="auto" w:fill="FFFFFF"/>
        </w:rPr>
        <w:t xml:space="preserve">include knowledge-based view </w:t>
      </w:r>
      <w:r w:rsidRPr="007915F2">
        <w:rPr>
          <w:rFonts w:ascii="Garamond" w:hAnsi="Garamond"/>
          <w:color w:val="333333"/>
          <w:sz w:val="24"/>
          <w:szCs w:val="24"/>
          <w:shd w:val="clear" w:color="auto" w:fill="FFFFFF"/>
        </w:rPr>
        <w:t>and network perspective</w:t>
      </w:r>
      <w:r w:rsidR="00474963" w:rsidRPr="007915F2">
        <w:rPr>
          <w:rFonts w:ascii="Garamond" w:hAnsi="Garamond"/>
          <w:color w:val="333333"/>
          <w:sz w:val="24"/>
          <w:szCs w:val="24"/>
          <w:shd w:val="clear" w:color="auto" w:fill="FFFFFF"/>
        </w:rPr>
        <w:t xml:space="preserve"> (Lavassani, Movahedi, Kumar, 2008)</w:t>
      </w:r>
      <w:r w:rsidRPr="007915F2">
        <w:rPr>
          <w:rFonts w:ascii="Garamond" w:hAnsi="Garamond"/>
          <w:color w:val="333333"/>
          <w:sz w:val="24"/>
          <w:szCs w:val="24"/>
          <w:shd w:val="clear" w:color="auto" w:fill="FFFFFF"/>
        </w:rPr>
        <w:t xml:space="preserve">. </w:t>
      </w:r>
      <w:r w:rsidR="002F60EF" w:rsidRPr="007915F2">
        <w:rPr>
          <w:rFonts w:ascii="Garamond" w:hAnsi="Garamond"/>
          <w:color w:val="333333"/>
          <w:sz w:val="24"/>
          <w:szCs w:val="24"/>
          <w:shd w:val="clear" w:color="auto" w:fill="FFFFFF"/>
        </w:rPr>
        <w:t>Thanks to advancements in telecommunication and computing technology the knowledge can</w:t>
      </w:r>
      <w:r w:rsidR="00521DE2" w:rsidRPr="007915F2">
        <w:rPr>
          <w:rFonts w:ascii="Garamond" w:hAnsi="Garamond"/>
          <w:color w:val="333333"/>
          <w:sz w:val="24"/>
          <w:szCs w:val="24"/>
          <w:shd w:val="clear" w:color="auto" w:fill="FFFFFF"/>
        </w:rPr>
        <w:t xml:space="preserve"> </w:t>
      </w:r>
      <w:r w:rsidR="002F60EF" w:rsidRPr="007915F2">
        <w:rPr>
          <w:rFonts w:ascii="Garamond" w:hAnsi="Garamond"/>
          <w:color w:val="333333"/>
          <w:sz w:val="24"/>
          <w:szCs w:val="24"/>
          <w:shd w:val="clear" w:color="auto" w:fill="FFFFFF"/>
        </w:rPr>
        <w:t xml:space="preserve">transfer across supply chains and supply chain networks can be viewed as platforms “where knowledge can be viewed as a quasi-public good to be shared across the member firms” (Samuel, Goury, Gunasekaran and Spalanzani, 2011). </w:t>
      </w:r>
    </w:p>
    <w:p w14:paraId="7C22FE1C" w14:textId="47CA67BE" w:rsidR="00521DE2" w:rsidRPr="007915F2" w:rsidRDefault="00521DE2"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 xml:space="preserve">Network perspective (also discussed as network theory; c.f. McNicholas and Brennan, 2006; </w:t>
      </w:r>
      <w:r w:rsidR="00A073A8" w:rsidRPr="007915F2">
        <w:rPr>
          <w:rFonts w:ascii="Garamond" w:hAnsi="Garamond"/>
          <w:sz w:val="24"/>
          <w:szCs w:val="24"/>
        </w:rPr>
        <w:t xml:space="preserve">Mander,  Caniëls and Ghijsen, 2016; </w:t>
      </w:r>
      <w:r w:rsidRPr="007915F2">
        <w:rPr>
          <w:rFonts w:ascii="Garamond" w:hAnsi="Garamond"/>
          <w:color w:val="333333"/>
          <w:sz w:val="24"/>
          <w:szCs w:val="24"/>
          <w:shd w:val="clear" w:color="auto" w:fill="FFFFFF"/>
        </w:rPr>
        <w:t>Bombelli, Santos and Tavasszy</w:t>
      </w:r>
      <w:r w:rsidR="00A073A8" w:rsidRPr="007915F2">
        <w:rPr>
          <w:rFonts w:ascii="Garamond" w:hAnsi="Garamond"/>
          <w:color w:val="333333"/>
          <w:sz w:val="24"/>
          <w:szCs w:val="24"/>
          <w:shd w:val="clear" w:color="auto" w:fill="FFFFFF"/>
        </w:rPr>
        <w:t xml:space="preserve">, 2020) describes that firms seek competitive advantage based on the structure and content of inter-organizational relations that they have among the group of other firms (Moller and Wilson, 1995). While resource-based view and relational view focus on the dyadic relationships in the network, </w:t>
      </w:r>
      <w:r w:rsidR="00F032B6" w:rsidRPr="007915F2">
        <w:rPr>
          <w:rFonts w:ascii="Garamond" w:hAnsi="Garamond"/>
          <w:color w:val="333333"/>
          <w:sz w:val="24"/>
          <w:szCs w:val="24"/>
          <w:shd w:val="clear" w:color="auto" w:fill="FFFFFF"/>
        </w:rPr>
        <w:t xml:space="preserve"> whereas</w:t>
      </w:r>
      <w:r w:rsidR="00A073A8" w:rsidRPr="007915F2">
        <w:rPr>
          <w:rFonts w:ascii="Garamond" w:hAnsi="Garamond"/>
          <w:color w:val="333333"/>
          <w:sz w:val="24"/>
          <w:szCs w:val="24"/>
          <w:shd w:val="clear" w:color="auto" w:fill="FFFFFF"/>
        </w:rPr>
        <w:t xml:space="preserve"> the network perspective focuses on</w:t>
      </w:r>
      <w:r w:rsidR="00F032B6" w:rsidRPr="007915F2">
        <w:rPr>
          <w:rFonts w:ascii="Garamond" w:hAnsi="Garamond"/>
          <w:color w:val="333333"/>
          <w:sz w:val="24"/>
          <w:szCs w:val="24"/>
          <w:shd w:val="clear" w:color="auto" w:fill="FFFFFF"/>
        </w:rPr>
        <w:t xml:space="preserve"> multi-</w:t>
      </w:r>
      <w:r w:rsidR="00A073A8" w:rsidRPr="007915F2">
        <w:rPr>
          <w:rFonts w:ascii="Garamond" w:hAnsi="Garamond"/>
          <w:color w:val="333333"/>
          <w:sz w:val="24"/>
          <w:szCs w:val="24"/>
          <w:shd w:val="clear" w:color="auto" w:fill="FFFFFF"/>
        </w:rPr>
        <w:t>party inter-organizational relationships (Reekers and Smithon, 1996; McNicholas and Brennan, 2006). Hence we believe network perspective adds a notable dimen</w:t>
      </w:r>
      <w:r w:rsidR="000324C6" w:rsidRPr="007915F2">
        <w:rPr>
          <w:rFonts w:ascii="Garamond" w:hAnsi="Garamond"/>
          <w:color w:val="333333"/>
          <w:sz w:val="24"/>
          <w:szCs w:val="24"/>
          <w:shd w:val="clear" w:color="auto" w:fill="FFFFFF"/>
        </w:rPr>
        <w:t>s</w:t>
      </w:r>
      <w:r w:rsidR="00A073A8" w:rsidRPr="007915F2">
        <w:rPr>
          <w:rFonts w:ascii="Garamond" w:hAnsi="Garamond"/>
          <w:color w:val="333333"/>
          <w:sz w:val="24"/>
          <w:szCs w:val="24"/>
          <w:shd w:val="clear" w:color="auto" w:fill="FFFFFF"/>
        </w:rPr>
        <w:t>ion to the analysis of global supply chain networks.</w:t>
      </w:r>
      <w:r w:rsidR="008B35A3" w:rsidRPr="007915F2">
        <w:rPr>
          <w:rFonts w:ascii="Garamond" w:hAnsi="Garamond"/>
          <w:color w:val="333333"/>
          <w:sz w:val="24"/>
          <w:szCs w:val="24"/>
          <w:shd w:val="clear" w:color="auto" w:fill="FFFFFF"/>
        </w:rPr>
        <w:t xml:space="preserve"> </w:t>
      </w:r>
    </w:p>
    <w:p w14:paraId="657B638B" w14:textId="2DE14856" w:rsidR="007265D5" w:rsidRPr="007915F2" w:rsidRDefault="007265D5" w:rsidP="007265D5">
      <w:pPr>
        <w:spacing w:after="0" w:line="240" w:lineRule="auto"/>
        <w:jc w:val="both"/>
        <w:rPr>
          <w:rFonts w:ascii="Garamond" w:hAnsi="Garamond"/>
          <w:sz w:val="24"/>
          <w:szCs w:val="24"/>
        </w:rPr>
      </w:pPr>
      <w:r w:rsidRPr="007915F2">
        <w:rPr>
          <w:rFonts w:ascii="Garamond" w:hAnsi="Garamond"/>
          <w:sz w:val="24"/>
          <w:szCs w:val="24"/>
        </w:rPr>
        <w:t>In recent years increasing attention has been</w:t>
      </w:r>
      <w:r w:rsidR="00F032B6" w:rsidRPr="007915F2">
        <w:rPr>
          <w:rFonts w:ascii="Garamond" w:hAnsi="Garamond"/>
          <w:sz w:val="24"/>
          <w:szCs w:val="24"/>
        </w:rPr>
        <w:t xml:space="preserve"> paid </w:t>
      </w:r>
      <w:r w:rsidRPr="007915F2">
        <w:rPr>
          <w:rFonts w:ascii="Garamond" w:hAnsi="Garamond"/>
          <w:sz w:val="24"/>
          <w:szCs w:val="24"/>
        </w:rPr>
        <w:t>to explore the effect of firms’ position in the supply chain network on the firms’ financial performance. While most of the studies in this area are conceptual</w:t>
      </w:r>
      <w:r w:rsidR="005B7707" w:rsidRPr="007915F2">
        <w:rPr>
          <w:rFonts w:ascii="Garamond" w:hAnsi="Garamond"/>
          <w:sz w:val="24"/>
          <w:szCs w:val="24"/>
        </w:rPr>
        <w:t>, notable</w:t>
      </w:r>
      <w:r w:rsidRPr="007915F2">
        <w:rPr>
          <w:rFonts w:ascii="Garamond" w:hAnsi="Garamond"/>
          <w:sz w:val="24"/>
          <w:szCs w:val="24"/>
        </w:rPr>
        <w:t xml:space="preserve"> few have conducted important case studies and single-tier empirical works. For instance, Li, Zobel, Seref, and Chaffield (2020) made contributions in this area using a case study of an auto supply network in Japan and Apple Inc. Li el a. (2020) highlight the limitation of their network analysis</w:t>
      </w:r>
      <w:r w:rsidR="00763FFE">
        <w:rPr>
          <w:rFonts w:ascii="Garamond" w:hAnsi="Garamond"/>
          <w:sz w:val="24"/>
          <w:szCs w:val="24"/>
        </w:rPr>
        <w:t xml:space="preserve"> and call for further research using</w:t>
      </w:r>
      <w:r w:rsidRPr="007915F2">
        <w:rPr>
          <w:rFonts w:ascii="Garamond" w:hAnsi="Garamond"/>
          <w:sz w:val="24"/>
          <w:szCs w:val="24"/>
        </w:rPr>
        <w:t xml:space="preserve"> a larger scale studies beyond their sample. In another study, Carnovale, Rogers, and Yeniyurt (2019) conducted a single-tier study on 1985–2003 joint ventures to explore this domain. Carnovale et al. (2019) described that they used the joint venture network as a proxy to study the supply chain network. They explored the role of </w:t>
      </w:r>
      <w:r w:rsidRPr="007915F2">
        <w:rPr>
          <w:rFonts w:ascii="Garamond" w:hAnsi="Garamond"/>
          <w:i/>
          <w:sz w:val="24"/>
          <w:szCs w:val="24"/>
        </w:rPr>
        <w:t>eigenvector centrality</w:t>
      </w:r>
      <w:r w:rsidRPr="007915F2">
        <w:rPr>
          <w:rFonts w:ascii="Garamond" w:hAnsi="Garamond"/>
          <w:sz w:val="24"/>
          <w:szCs w:val="24"/>
        </w:rPr>
        <w:t xml:space="preserve"> and </w:t>
      </w:r>
      <w:r w:rsidRPr="007915F2">
        <w:rPr>
          <w:rFonts w:ascii="Garamond" w:hAnsi="Garamond"/>
          <w:i/>
          <w:sz w:val="24"/>
          <w:szCs w:val="24"/>
        </w:rPr>
        <w:t>ego network density</w:t>
      </w:r>
      <w:r w:rsidRPr="007915F2">
        <w:rPr>
          <w:rFonts w:ascii="Garamond" w:hAnsi="Garamond"/>
          <w:sz w:val="24"/>
          <w:szCs w:val="24"/>
        </w:rPr>
        <w:t xml:space="preserve">, on firms’ performance. The findings indicated that in the network of joint ventures, higher eigenvector centrality contributed to the firms’ financial performance. Carnovale et al. (2019) called for using more updated data, along with studying other centrality measures beyond eigenvector centrality. Our work will address some </w:t>
      </w:r>
      <w:r w:rsidR="00FF0084" w:rsidRPr="007915F2">
        <w:rPr>
          <w:rFonts w:ascii="Garamond" w:hAnsi="Garamond"/>
          <w:sz w:val="24"/>
          <w:szCs w:val="24"/>
        </w:rPr>
        <w:t xml:space="preserve">of these </w:t>
      </w:r>
      <w:r w:rsidRPr="007915F2">
        <w:rPr>
          <w:rFonts w:ascii="Garamond" w:hAnsi="Garamond"/>
          <w:sz w:val="24"/>
          <w:szCs w:val="24"/>
        </w:rPr>
        <w:t xml:space="preserve">limitations </w:t>
      </w:r>
      <w:r w:rsidR="005B7707" w:rsidRPr="007915F2">
        <w:rPr>
          <w:rFonts w:ascii="Garamond" w:hAnsi="Garamond"/>
          <w:sz w:val="24"/>
          <w:szCs w:val="24"/>
        </w:rPr>
        <w:t>by directly</w:t>
      </w:r>
      <w:r w:rsidR="00FF0084" w:rsidRPr="007915F2">
        <w:rPr>
          <w:rFonts w:ascii="Garamond" w:hAnsi="Garamond"/>
          <w:sz w:val="24"/>
          <w:szCs w:val="24"/>
        </w:rPr>
        <w:t xml:space="preserve"> honing on </w:t>
      </w:r>
      <w:r w:rsidRPr="007915F2">
        <w:rPr>
          <w:rFonts w:ascii="Garamond" w:hAnsi="Garamond"/>
          <w:sz w:val="24"/>
          <w:szCs w:val="24"/>
        </w:rPr>
        <w:t xml:space="preserve">the most recent supply chain network (instead of studying a proxy network) using several centrality measures. </w:t>
      </w:r>
      <w:r w:rsidR="00FF0084" w:rsidRPr="007915F2">
        <w:rPr>
          <w:rFonts w:ascii="Garamond" w:hAnsi="Garamond"/>
          <w:sz w:val="24"/>
          <w:szCs w:val="24"/>
        </w:rPr>
        <w:t xml:space="preserve">   Another notable contribution of our study is the use of multiple tiers of </w:t>
      </w:r>
      <w:r w:rsidR="00763FFE">
        <w:rPr>
          <w:rFonts w:ascii="Garamond" w:hAnsi="Garamond"/>
          <w:sz w:val="24"/>
          <w:szCs w:val="24"/>
        </w:rPr>
        <w:t xml:space="preserve">the </w:t>
      </w:r>
      <w:r w:rsidR="00FF0084" w:rsidRPr="007915F2">
        <w:rPr>
          <w:rFonts w:ascii="Garamond" w:hAnsi="Garamond"/>
          <w:sz w:val="24"/>
          <w:szCs w:val="24"/>
        </w:rPr>
        <w:t>supply chain on a vast scale.</w:t>
      </w:r>
    </w:p>
    <w:p w14:paraId="49A6B093" w14:textId="77777777" w:rsidR="007265D5" w:rsidRPr="007915F2" w:rsidRDefault="007265D5" w:rsidP="00D61CD6">
      <w:pPr>
        <w:spacing w:after="0" w:line="240" w:lineRule="auto"/>
        <w:jc w:val="both"/>
        <w:rPr>
          <w:rFonts w:ascii="Garamond" w:hAnsi="Garamond"/>
          <w:color w:val="333333"/>
          <w:sz w:val="24"/>
          <w:szCs w:val="24"/>
          <w:shd w:val="clear" w:color="auto" w:fill="FFFFFF"/>
        </w:rPr>
      </w:pPr>
    </w:p>
    <w:p w14:paraId="1AD0D285" w14:textId="77777777" w:rsidR="00426DAE" w:rsidRPr="007915F2" w:rsidRDefault="00426DAE" w:rsidP="00D61CD6">
      <w:pPr>
        <w:spacing w:after="0" w:line="240" w:lineRule="auto"/>
        <w:rPr>
          <w:rFonts w:ascii="Garamond" w:hAnsi="Garamond"/>
          <w:b/>
          <w:sz w:val="24"/>
          <w:szCs w:val="24"/>
        </w:rPr>
      </w:pPr>
      <w:r w:rsidRPr="007915F2">
        <w:rPr>
          <w:rFonts w:ascii="Garamond" w:hAnsi="Garamond"/>
          <w:b/>
          <w:sz w:val="24"/>
          <w:szCs w:val="24"/>
        </w:rPr>
        <w:t xml:space="preserve">2.4 </w:t>
      </w:r>
      <w:r w:rsidR="002E066C" w:rsidRPr="007915F2">
        <w:rPr>
          <w:rFonts w:ascii="Garamond" w:hAnsi="Garamond"/>
          <w:b/>
          <w:sz w:val="24"/>
          <w:szCs w:val="24"/>
        </w:rPr>
        <w:t>Firms’ Performance</w:t>
      </w:r>
      <w:r w:rsidRPr="007915F2">
        <w:rPr>
          <w:rFonts w:ascii="Garamond" w:hAnsi="Garamond"/>
          <w:b/>
          <w:sz w:val="24"/>
          <w:szCs w:val="24"/>
        </w:rPr>
        <w:t xml:space="preserve"> and Network Centrality</w:t>
      </w:r>
    </w:p>
    <w:p w14:paraId="5828E6FF" w14:textId="2493AA98" w:rsidR="00B975AE" w:rsidRPr="007915F2" w:rsidRDefault="00FC7F54"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As discussed previously relational and network views of firms provide important new insight about the firms</w:t>
      </w:r>
      <w:r w:rsidR="000324C6"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 xml:space="preserve"> inter-organizational relationships and performance. </w:t>
      </w:r>
      <w:r w:rsidR="00444117" w:rsidRPr="007915F2">
        <w:rPr>
          <w:rFonts w:ascii="Garamond" w:hAnsi="Garamond"/>
          <w:color w:val="333333"/>
          <w:sz w:val="24"/>
          <w:szCs w:val="24"/>
          <w:shd w:val="clear" w:color="auto" w:fill="FFFFFF"/>
        </w:rPr>
        <w:t>In the current literature</w:t>
      </w:r>
      <w:r w:rsidR="000324C6" w:rsidRPr="007915F2">
        <w:rPr>
          <w:rFonts w:ascii="Garamond" w:hAnsi="Garamond"/>
          <w:color w:val="333333"/>
          <w:sz w:val="24"/>
          <w:szCs w:val="24"/>
          <w:shd w:val="clear" w:color="auto" w:fill="FFFFFF"/>
        </w:rPr>
        <w:t>,</w:t>
      </w:r>
      <w:r w:rsidR="00444117" w:rsidRPr="007915F2">
        <w:rPr>
          <w:rFonts w:ascii="Garamond" w:hAnsi="Garamond"/>
          <w:color w:val="333333"/>
          <w:sz w:val="24"/>
          <w:szCs w:val="24"/>
          <w:shd w:val="clear" w:color="auto" w:fill="FFFFFF"/>
        </w:rPr>
        <w:t xml:space="preserve"> the a</w:t>
      </w:r>
      <w:r w:rsidRPr="007915F2">
        <w:rPr>
          <w:rFonts w:ascii="Garamond" w:hAnsi="Garamond"/>
          <w:color w:val="333333"/>
          <w:sz w:val="24"/>
          <w:szCs w:val="24"/>
          <w:shd w:val="clear" w:color="auto" w:fill="FFFFFF"/>
        </w:rPr>
        <w:t xml:space="preserve">pplication of network in the study of </w:t>
      </w:r>
      <w:r w:rsidR="000324C6" w:rsidRPr="007915F2">
        <w:rPr>
          <w:rFonts w:ascii="Garamond" w:hAnsi="Garamond"/>
          <w:color w:val="333333"/>
          <w:sz w:val="24"/>
          <w:szCs w:val="24"/>
          <w:shd w:val="clear" w:color="auto" w:fill="FFFFFF"/>
        </w:rPr>
        <w:t xml:space="preserve">the </w:t>
      </w:r>
      <w:r w:rsidR="00444117" w:rsidRPr="007915F2">
        <w:rPr>
          <w:rFonts w:ascii="Garamond" w:hAnsi="Garamond"/>
          <w:color w:val="333333"/>
          <w:sz w:val="24"/>
          <w:szCs w:val="24"/>
          <w:shd w:val="clear" w:color="auto" w:fill="FFFFFF"/>
        </w:rPr>
        <w:t xml:space="preserve">organizational </w:t>
      </w:r>
      <w:r w:rsidRPr="007915F2">
        <w:rPr>
          <w:rFonts w:ascii="Garamond" w:hAnsi="Garamond"/>
          <w:color w:val="333333"/>
          <w:sz w:val="24"/>
          <w:szCs w:val="24"/>
          <w:shd w:val="clear" w:color="auto" w:fill="FFFFFF"/>
        </w:rPr>
        <w:t xml:space="preserve">supply chain </w:t>
      </w:r>
      <w:r w:rsidR="00444117" w:rsidRPr="007915F2">
        <w:rPr>
          <w:rFonts w:ascii="Garamond" w:hAnsi="Garamond"/>
          <w:color w:val="333333"/>
          <w:sz w:val="24"/>
          <w:szCs w:val="24"/>
          <w:shd w:val="clear" w:color="auto" w:fill="FFFFFF"/>
        </w:rPr>
        <w:t xml:space="preserve">is </w:t>
      </w:r>
      <w:r w:rsidRPr="007915F2">
        <w:rPr>
          <w:rFonts w:ascii="Garamond" w:hAnsi="Garamond"/>
          <w:color w:val="333333"/>
          <w:sz w:val="24"/>
          <w:szCs w:val="24"/>
          <w:shd w:val="clear" w:color="auto" w:fill="FFFFFF"/>
        </w:rPr>
        <w:t>either focus</w:t>
      </w:r>
      <w:r w:rsidR="00444117" w:rsidRPr="007915F2">
        <w:rPr>
          <w:rFonts w:ascii="Garamond" w:hAnsi="Garamond"/>
          <w:color w:val="333333"/>
          <w:sz w:val="24"/>
          <w:szCs w:val="24"/>
          <w:shd w:val="clear" w:color="auto" w:fill="FFFFFF"/>
        </w:rPr>
        <w:t>ed</w:t>
      </w:r>
      <w:r w:rsidRPr="007915F2">
        <w:rPr>
          <w:rFonts w:ascii="Garamond" w:hAnsi="Garamond"/>
          <w:color w:val="333333"/>
          <w:sz w:val="24"/>
          <w:szCs w:val="24"/>
          <w:shd w:val="clear" w:color="auto" w:fill="FFFFFF"/>
        </w:rPr>
        <w:t xml:space="preserve"> on </w:t>
      </w:r>
      <w:r w:rsidRPr="007915F2">
        <w:rPr>
          <w:rFonts w:ascii="Garamond" w:hAnsi="Garamond"/>
          <w:i/>
          <w:color w:val="333333"/>
          <w:sz w:val="24"/>
          <w:szCs w:val="24"/>
          <w:shd w:val="clear" w:color="auto" w:fill="FFFFFF"/>
        </w:rPr>
        <w:t>optimizing</w:t>
      </w:r>
      <w:r w:rsidRPr="007915F2">
        <w:rPr>
          <w:rFonts w:ascii="Garamond" w:hAnsi="Garamond"/>
          <w:color w:val="333333"/>
          <w:sz w:val="24"/>
          <w:szCs w:val="24"/>
          <w:shd w:val="clear" w:color="auto" w:fill="FFFFFF"/>
        </w:rPr>
        <w:t xml:space="preserve"> </w:t>
      </w:r>
      <w:r w:rsidR="00444117" w:rsidRPr="007915F2">
        <w:rPr>
          <w:rFonts w:ascii="Garamond" w:hAnsi="Garamond"/>
          <w:color w:val="333333"/>
          <w:sz w:val="24"/>
          <w:szCs w:val="24"/>
          <w:shd w:val="clear" w:color="auto" w:fill="FFFFFF"/>
        </w:rPr>
        <w:t xml:space="preserve">networks, or it is focused on utilizing </w:t>
      </w:r>
      <w:r w:rsidR="000324C6" w:rsidRPr="007915F2">
        <w:rPr>
          <w:rFonts w:ascii="Garamond" w:hAnsi="Garamond"/>
          <w:color w:val="333333"/>
          <w:sz w:val="24"/>
          <w:szCs w:val="24"/>
          <w:shd w:val="clear" w:color="auto" w:fill="FFFFFF"/>
        </w:rPr>
        <w:t xml:space="preserve">the </w:t>
      </w:r>
      <w:r w:rsidR="00444117" w:rsidRPr="007915F2">
        <w:rPr>
          <w:rFonts w:ascii="Garamond" w:hAnsi="Garamond"/>
          <w:i/>
          <w:color w:val="333333"/>
          <w:sz w:val="24"/>
          <w:szCs w:val="24"/>
          <w:shd w:val="clear" w:color="auto" w:fill="FFFFFF"/>
        </w:rPr>
        <w:t xml:space="preserve">network science </w:t>
      </w:r>
      <w:r w:rsidR="00444117" w:rsidRPr="007915F2">
        <w:rPr>
          <w:rFonts w:ascii="Garamond" w:hAnsi="Garamond"/>
          <w:color w:val="333333"/>
          <w:sz w:val="24"/>
          <w:szCs w:val="24"/>
          <w:shd w:val="clear" w:color="auto" w:fill="FFFFFF"/>
        </w:rPr>
        <w:t>approach (Li, Zobel, Seref</w:t>
      </w:r>
      <w:r w:rsidR="000324C6" w:rsidRPr="007915F2">
        <w:rPr>
          <w:rFonts w:ascii="Garamond" w:hAnsi="Garamond"/>
          <w:color w:val="333333"/>
          <w:sz w:val="24"/>
          <w:szCs w:val="24"/>
          <w:shd w:val="clear" w:color="auto" w:fill="FFFFFF"/>
        </w:rPr>
        <w:t>,</w:t>
      </w:r>
      <w:r w:rsidR="00444117" w:rsidRPr="007915F2">
        <w:rPr>
          <w:rFonts w:ascii="Garamond" w:hAnsi="Garamond"/>
          <w:color w:val="333333"/>
          <w:sz w:val="24"/>
          <w:szCs w:val="24"/>
          <w:shd w:val="clear" w:color="auto" w:fill="FFFFFF"/>
        </w:rPr>
        <w:t xml:space="preserve"> and Chatfield, 2020).</w:t>
      </w:r>
      <w:r w:rsidR="00393247" w:rsidRPr="007915F2">
        <w:rPr>
          <w:rFonts w:ascii="Garamond" w:hAnsi="Garamond"/>
          <w:color w:val="333333"/>
          <w:sz w:val="24"/>
          <w:szCs w:val="24"/>
          <w:shd w:val="clear" w:color="auto" w:fill="FFFFFF"/>
        </w:rPr>
        <w:t xml:space="preserve"> We utilized two primary tools from a network science view namely centrality to </w:t>
      </w:r>
      <w:r w:rsidR="0055198F" w:rsidRPr="007915F2">
        <w:rPr>
          <w:rFonts w:ascii="Garamond" w:hAnsi="Garamond"/>
          <w:color w:val="333333"/>
          <w:sz w:val="24"/>
          <w:szCs w:val="24"/>
          <w:shd w:val="clear" w:color="auto" w:fill="FFFFFF"/>
        </w:rPr>
        <w:t xml:space="preserve">the </w:t>
      </w:r>
      <w:r w:rsidR="00393247" w:rsidRPr="007915F2">
        <w:rPr>
          <w:rFonts w:ascii="Garamond" w:hAnsi="Garamond"/>
          <w:color w:val="333333"/>
          <w:sz w:val="24"/>
          <w:szCs w:val="24"/>
          <w:shd w:val="clear" w:color="auto" w:fill="FFFFFF"/>
        </w:rPr>
        <w:t xml:space="preserve">measurement of firms’ importance and influence, and clustering to assess the membership of firms to </w:t>
      </w:r>
      <w:r w:rsidR="0055198F" w:rsidRPr="007915F2">
        <w:rPr>
          <w:rFonts w:ascii="Garamond" w:hAnsi="Garamond"/>
          <w:color w:val="333333"/>
          <w:sz w:val="24"/>
          <w:szCs w:val="24"/>
          <w:shd w:val="clear" w:color="auto" w:fill="FFFFFF"/>
        </w:rPr>
        <w:t xml:space="preserve">a </w:t>
      </w:r>
      <w:r w:rsidR="00393247" w:rsidRPr="007915F2">
        <w:rPr>
          <w:rFonts w:ascii="Garamond" w:hAnsi="Garamond"/>
          <w:color w:val="333333"/>
          <w:sz w:val="24"/>
          <w:szCs w:val="24"/>
          <w:shd w:val="clear" w:color="auto" w:fill="FFFFFF"/>
        </w:rPr>
        <w:t>group of closely related firms</w:t>
      </w:r>
      <w:r w:rsidR="00B975AE" w:rsidRPr="007915F2">
        <w:rPr>
          <w:rFonts w:ascii="Garamond" w:hAnsi="Garamond"/>
          <w:color w:val="333333"/>
          <w:sz w:val="24"/>
          <w:szCs w:val="24"/>
          <w:shd w:val="clear" w:color="auto" w:fill="FFFFFF"/>
        </w:rPr>
        <w:t>. In this study</w:t>
      </w:r>
      <w:r w:rsidR="000324C6" w:rsidRPr="007915F2">
        <w:rPr>
          <w:rFonts w:ascii="Garamond" w:hAnsi="Garamond"/>
          <w:color w:val="333333"/>
          <w:sz w:val="24"/>
          <w:szCs w:val="24"/>
          <w:shd w:val="clear" w:color="auto" w:fill="FFFFFF"/>
        </w:rPr>
        <w:t>,</w:t>
      </w:r>
      <w:r w:rsidR="00B975AE" w:rsidRPr="007915F2">
        <w:rPr>
          <w:rFonts w:ascii="Garamond" w:hAnsi="Garamond"/>
          <w:color w:val="333333"/>
          <w:sz w:val="24"/>
          <w:szCs w:val="24"/>
          <w:shd w:val="clear" w:color="auto" w:fill="FFFFFF"/>
        </w:rPr>
        <w:t xml:space="preserve"> we used </w:t>
      </w:r>
      <w:r w:rsidR="003742CC" w:rsidRPr="007915F2">
        <w:rPr>
          <w:rFonts w:ascii="Garamond" w:hAnsi="Garamond"/>
          <w:color w:val="333333"/>
          <w:sz w:val="24"/>
          <w:szCs w:val="24"/>
          <w:shd w:val="clear" w:color="auto" w:fill="FFFFFF"/>
        </w:rPr>
        <w:t xml:space="preserve">nine </w:t>
      </w:r>
      <w:r w:rsidR="00B975AE" w:rsidRPr="007915F2">
        <w:rPr>
          <w:rFonts w:ascii="Garamond" w:hAnsi="Garamond"/>
          <w:color w:val="333333"/>
          <w:sz w:val="24"/>
          <w:szCs w:val="24"/>
          <w:shd w:val="clear" w:color="auto" w:fill="FFFFFF"/>
        </w:rPr>
        <w:t xml:space="preserve">measures of centrality, namely: </w:t>
      </w:r>
      <w:r w:rsidR="00393247" w:rsidRPr="007915F2">
        <w:rPr>
          <w:rFonts w:ascii="Garamond" w:hAnsi="Garamond"/>
          <w:color w:val="333333"/>
          <w:sz w:val="24"/>
          <w:szCs w:val="24"/>
          <w:shd w:val="clear" w:color="auto" w:fill="FFFFFF"/>
        </w:rPr>
        <w:t>i</w:t>
      </w:r>
      <w:r w:rsidR="00B975AE" w:rsidRPr="007915F2">
        <w:rPr>
          <w:rFonts w:ascii="Garamond" w:hAnsi="Garamond"/>
          <w:color w:val="333333"/>
          <w:sz w:val="24"/>
          <w:szCs w:val="24"/>
          <w:shd w:val="clear" w:color="auto" w:fill="FFFFFF"/>
        </w:rPr>
        <w:t xml:space="preserve">ndegree, outdegree, eccentricity, closeness, eigenvector, authority, </w:t>
      </w:r>
      <w:r w:rsidR="003E63C3" w:rsidRPr="007915F2">
        <w:rPr>
          <w:rFonts w:ascii="Garamond" w:hAnsi="Garamond"/>
          <w:color w:val="333333"/>
          <w:sz w:val="24"/>
          <w:szCs w:val="24"/>
          <w:shd w:val="clear" w:color="auto" w:fill="FFFFFF"/>
        </w:rPr>
        <w:t>page-</w:t>
      </w:r>
      <w:r w:rsidR="00B975AE" w:rsidRPr="007915F2">
        <w:rPr>
          <w:rFonts w:ascii="Garamond" w:hAnsi="Garamond"/>
          <w:color w:val="333333"/>
          <w:sz w:val="24"/>
          <w:szCs w:val="24"/>
          <w:shd w:val="clear" w:color="auto" w:fill="FFFFFF"/>
        </w:rPr>
        <w:t>rank, cluster size</w:t>
      </w:r>
      <w:r w:rsidR="000324C6" w:rsidRPr="007915F2">
        <w:rPr>
          <w:rFonts w:ascii="Garamond" w:hAnsi="Garamond"/>
          <w:color w:val="333333"/>
          <w:sz w:val="24"/>
          <w:szCs w:val="24"/>
          <w:shd w:val="clear" w:color="auto" w:fill="FFFFFF"/>
        </w:rPr>
        <w:t>,</w:t>
      </w:r>
      <w:r w:rsidR="00B975AE" w:rsidRPr="007915F2">
        <w:rPr>
          <w:rFonts w:ascii="Garamond" w:hAnsi="Garamond"/>
          <w:color w:val="333333"/>
          <w:sz w:val="24"/>
          <w:szCs w:val="24"/>
          <w:shd w:val="clear" w:color="auto" w:fill="FFFFFF"/>
        </w:rPr>
        <w:t xml:space="preserve"> and clustering coefficient. The networks can be either directed or undirected. Some networks are undirected, such as the network of strategic alliances of the firms, or network of friendships. However, in the case of </w:t>
      </w:r>
      <w:r w:rsidR="000324C6" w:rsidRPr="007915F2">
        <w:rPr>
          <w:rFonts w:ascii="Garamond" w:hAnsi="Garamond"/>
          <w:color w:val="333333"/>
          <w:sz w:val="24"/>
          <w:szCs w:val="24"/>
          <w:shd w:val="clear" w:color="auto" w:fill="FFFFFF"/>
        </w:rPr>
        <w:t xml:space="preserve">the </w:t>
      </w:r>
      <w:r w:rsidR="00B975AE" w:rsidRPr="007915F2">
        <w:rPr>
          <w:rFonts w:ascii="Garamond" w:hAnsi="Garamond"/>
          <w:color w:val="333333"/>
          <w:sz w:val="24"/>
          <w:szCs w:val="24"/>
          <w:shd w:val="clear" w:color="auto" w:fill="FFFFFF"/>
        </w:rPr>
        <w:t>supply chain</w:t>
      </w:r>
      <w:r w:rsidR="000324C6" w:rsidRPr="007915F2">
        <w:rPr>
          <w:rFonts w:ascii="Garamond" w:hAnsi="Garamond"/>
          <w:color w:val="333333"/>
          <w:sz w:val="24"/>
          <w:szCs w:val="24"/>
          <w:shd w:val="clear" w:color="auto" w:fill="FFFFFF"/>
        </w:rPr>
        <w:t>,</w:t>
      </w:r>
      <w:r w:rsidR="00B975AE" w:rsidRPr="007915F2">
        <w:rPr>
          <w:rFonts w:ascii="Garamond" w:hAnsi="Garamond"/>
          <w:color w:val="333333"/>
          <w:sz w:val="24"/>
          <w:szCs w:val="24"/>
          <w:shd w:val="clear" w:color="auto" w:fill="FFFFFF"/>
        </w:rPr>
        <w:t xml:space="preserve"> the network is inherently a directed network. The type of network edge </w:t>
      </w:r>
      <w:r w:rsidR="00394013" w:rsidRPr="007915F2">
        <w:rPr>
          <w:rFonts w:ascii="Garamond" w:hAnsi="Garamond"/>
          <w:color w:val="333333"/>
          <w:sz w:val="24"/>
          <w:szCs w:val="24"/>
          <w:shd w:val="clear" w:color="auto" w:fill="FFFFFF"/>
        </w:rPr>
        <w:t xml:space="preserve">(to be directed or undirected) </w:t>
      </w:r>
      <w:r w:rsidR="00B975AE" w:rsidRPr="007915F2">
        <w:rPr>
          <w:rFonts w:ascii="Garamond" w:hAnsi="Garamond"/>
          <w:color w:val="333333"/>
          <w:sz w:val="24"/>
          <w:szCs w:val="24"/>
          <w:shd w:val="clear" w:color="auto" w:fill="FFFFFF"/>
        </w:rPr>
        <w:t xml:space="preserve">affects the calculation of most of the network centrality measures we used in this work. </w:t>
      </w:r>
      <w:r w:rsidR="00845AB5" w:rsidRPr="007915F2">
        <w:rPr>
          <w:rFonts w:ascii="Garamond" w:hAnsi="Garamond"/>
          <w:color w:val="333333"/>
          <w:sz w:val="24"/>
          <w:szCs w:val="24"/>
          <w:shd w:val="clear" w:color="auto" w:fill="FFFFFF"/>
        </w:rPr>
        <w:t>In the following</w:t>
      </w:r>
      <w:r w:rsidR="000324C6" w:rsidRPr="007915F2">
        <w:rPr>
          <w:rFonts w:ascii="Garamond" w:hAnsi="Garamond"/>
          <w:color w:val="333333"/>
          <w:sz w:val="24"/>
          <w:szCs w:val="24"/>
          <w:shd w:val="clear" w:color="auto" w:fill="FFFFFF"/>
        </w:rPr>
        <w:t>,</w:t>
      </w:r>
      <w:r w:rsidR="00845AB5" w:rsidRPr="007915F2">
        <w:rPr>
          <w:rFonts w:ascii="Garamond" w:hAnsi="Garamond"/>
          <w:color w:val="333333"/>
          <w:sz w:val="24"/>
          <w:szCs w:val="24"/>
          <w:shd w:val="clear" w:color="auto" w:fill="FFFFFF"/>
        </w:rPr>
        <w:t xml:space="preserve"> </w:t>
      </w:r>
      <w:r w:rsidR="003742CC" w:rsidRPr="007915F2">
        <w:rPr>
          <w:rFonts w:ascii="Garamond" w:hAnsi="Garamond"/>
          <w:color w:val="333333"/>
          <w:sz w:val="24"/>
          <w:szCs w:val="24"/>
          <w:shd w:val="clear" w:color="auto" w:fill="FFFFFF"/>
        </w:rPr>
        <w:t xml:space="preserve">we </w:t>
      </w:r>
      <w:r w:rsidR="00E21464" w:rsidRPr="007915F2">
        <w:rPr>
          <w:rFonts w:ascii="Garamond" w:hAnsi="Garamond"/>
          <w:color w:val="333333"/>
          <w:sz w:val="24"/>
          <w:szCs w:val="24"/>
          <w:shd w:val="clear" w:color="auto" w:fill="FFFFFF"/>
        </w:rPr>
        <w:t xml:space="preserve">discuss </w:t>
      </w:r>
      <w:r w:rsidR="00845AB5" w:rsidRPr="007915F2">
        <w:rPr>
          <w:rFonts w:ascii="Garamond" w:hAnsi="Garamond"/>
          <w:color w:val="333333"/>
          <w:sz w:val="24"/>
          <w:szCs w:val="24"/>
          <w:shd w:val="clear" w:color="auto" w:fill="FFFFFF"/>
        </w:rPr>
        <w:t>the measures that we used along with their implications in firms’ performance</w:t>
      </w:r>
      <w:r w:rsidR="00E21464" w:rsidRPr="007915F2">
        <w:rPr>
          <w:rFonts w:ascii="Garamond" w:hAnsi="Garamond"/>
          <w:color w:val="333333"/>
          <w:sz w:val="24"/>
          <w:szCs w:val="24"/>
          <w:shd w:val="clear" w:color="auto" w:fill="FFFFFF"/>
        </w:rPr>
        <w:t>.</w:t>
      </w:r>
    </w:p>
    <w:p w14:paraId="3432A4B2" w14:textId="53987E49" w:rsidR="00935BE1" w:rsidRPr="007915F2" w:rsidRDefault="00302921"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lastRenderedPageBreak/>
        <w:t xml:space="preserve">The degree of the firm </w:t>
      </w:r>
      <w:r w:rsidR="00845AB5" w:rsidRPr="007915F2">
        <w:rPr>
          <w:rFonts w:ascii="Garamond" w:hAnsi="Garamond"/>
          <w:color w:val="333333"/>
          <w:sz w:val="24"/>
          <w:szCs w:val="24"/>
          <w:shd w:val="clear" w:color="auto" w:fill="FFFFFF"/>
        </w:rPr>
        <w:t xml:space="preserve">in one of the measures that </w:t>
      </w:r>
      <w:r w:rsidRPr="007915F2">
        <w:rPr>
          <w:rFonts w:ascii="Garamond" w:hAnsi="Garamond"/>
          <w:color w:val="333333"/>
          <w:sz w:val="24"/>
          <w:szCs w:val="24"/>
          <w:shd w:val="clear" w:color="auto" w:fill="FFFFFF"/>
        </w:rPr>
        <w:t xml:space="preserve">indicate the level of emergence of the firm in the supply chain. The in-degree and out-degree can illustrate the level of interdependencies of the firm. In general firms with </w:t>
      </w:r>
      <w:r w:rsidR="000324C6" w:rsidRPr="007915F2">
        <w:rPr>
          <w:rFonts w:ascii="Garamond" w:hAnsi="Garamond"/>
          <w:color w:val="333333"/>
          <w:sz w:val="24"/>
          <w:szCs w:val="24"/>
          <w:shd w:val="clear" w:color="auto" w:fill="FFFFFF"/>
        </w:rPr>
        <w:t xml:space="preserve">a </w:t>
      </w:r>
      <w:r w:rsidRPr="007915F2">
        <w:rPr>
          <w:rFonts w:ascii="Garamond" w:hAnsi="Garamond"/>
          <w:color w:val="333333"/>
          <w:sz w:val="24"/>
          <w:szCs w:val="24"/>
          <w:shd w:val="clear" w:color="auto" w:fill="FFFFFF"/>
        </w:rPr>
        <w:t xml:space="preserve">higher number of suppliers and customers will be able to better protect themselves against </w:t>
      </w:r>
      <w:r w:rsidR="007843EA" w:rsidRPr="007915F2">
        <w:rPr>
          <w:rFonts w:ascii="Garamond" w:hAnsi="Garamond"/>
          <w:color w:val="333333"/>
          <w:sz w:val="24"/>
          <w:szCs w:val="24"/>
          <w:shd w:val="clear" w:color="auto" w:fill="FFFFFF"/>
        </w:rPr>
        <w:t>opportunistic behaviors of few actor</w:t>
      </w:r>
      <w:r w:rsidR="00763FFE">
        <w:rPr>
          <w:rFonts w:ascii="Garamond" w:hAnsi="Garamond"/>
          <w:color w:val="333333"/>
          <w:sz w:val="24"/>
          <w:szCs w:val="24"/>
          <w:shd w:val="clear" w:color="auto" w:fill="FFFFFF"/>
        </w:rPr>
        <w:t>s</w:t>
      </w:r>
      <w:r w:rsidR="007843EA" w:rsidRPr="007915F2">
        <w:rPr>
          <w:rFonts w:ascii="Garamond" w:hAnsi="Garamond"/>
          <w:color w:val="333333"/>
          <w:sz w:val="24"/>
          <w:szCs w:val="24"/>
          <w:shd w:val="clear" w:color="auto" w:fill="FFFFFF"/>
        </w:rPr>
        <w:t>, due to the availability of alternative suppliers and customer</w:t>
      </w:r>
      <w:r w:rsidR="00763FFE">
        <w:rPr>
          <w:rFonts w:ascii="Garamond" w:hAnsi="Garamond"/>
          <w:color w:val="333333"/>
          <w:sz w:val="24"/>
          <w:szCs w:val="24"/>
          <w:shd w:val="clear" w:color="auto" w:fill="FFFFFF"/>
        </w:rPr>
        <w:t>s</w:t>
      </w:r>
      <w:r w:rsidRPr="007915F2">
        <w:rPr>
          <w:rFonts w:ascii="Garamond" w:hAnsi="Garamond"/>
          <w:color w:val="333333"/>
          <w:sz w:val="24"/>
          <w:szCs w:val="24"/>
          <w:shd w:val="clear" w:color="auto" w:fill="FFFFFF"/>
        </w:rPr>
        <w:t xml:space="preserve">. These firms may have less exposure to risks and interruptions, which can lead to higher financial performance. Firms with </w:t>
      </w:r>
      <w:r w:rsidR="000324C6" w:rsidRPr="007915F2">
        <w:rPr>
          <w:rFonts w:ascii="Garamond" w:hAnsi="Garamond"/>
          <w:color w:val="333333"/>
          <w:sz w:val="24"/>
          <w:szCs w:val="24"/>
          <w:shd w:val="clear" w:color="auto" w:fill="FFFFFF"/>
        </w:rPr>
        <w:t xml:space="preserve">a </w:t>
      </w:r>
      <w:r w:rsidRPr="007915F2">
        <w:rPr>
          <w:rFonts w:ascii="Garamond" w:hAnsi="Garamond"/>
          <w:color w:val="333333"/>
          <w:sz w:val="24"/>
          <w:szCs w:val="24"/>
          <w:shd w:val="clear" w:color="auto" w:fill="FFFFFF"/>
        </w:rPr>
        <w:t>higher number of suppliers (higher in</w:t>
      </w:r>
      <w:r w:rsidR="00845AB5"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 xml:space="preserve">degree) can substitute specific-purpose assets with general-purpose assets; this can lead to higher financial performance (Dyer and Singh, 1998). Firms with </w:t>
      </w:r>
      <w:r w:rsidR="000324C6" w:rsidRPr="007915F2">
        <w:rPr>
          <w:rFonts w:ascii="Garamond" w:hAnsi="Garamond"/>
          <w:color w:val="333333"/>
          <w:sz w:val="24"/>
          <w:szCs w:val="24"/>
          <w:shd w:val="clear" w:color="auto" w:fill="FFFFFF"/>
        </w:rPr>
        <w:t xml:space="preserve">a </w:t>
      </w:r>
      <w:r w:rsidRPr="007915F2">
        <w:rPr>
          <w:rFonts w:ascii="Garamond" w:hAnsi="Garamond"/>
          <w:color w:val="333333"/>
          <w:sz w:val="24"/>
          <w:szCs w:val="24"/>
          <w:shd w:val="clear" w:color="auto" w:fill="FFFFFF"/>
        </w:rPr>
        <w:t>higher number of customers (higher out</w:t>
      </w:r>
      <w:r w:rsidR="00845AB5"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 xml:space="preserve">degree) may have less specialized products which in turn may lead to </w:t>
      </w:r>
      <w:r w:rsidR="000324C6" w:rsidRPr="007915F2">
        <w:rPr>
          <w:rFonts w:ascii="Garamond" w:hAnsi="Garamond"/>
          <w:color w:val="333333"/>
          <w:sz w:val="24"/>
          <w:szCs w:val="24"/>
          <w:shd w:val="clear" w:color="auto" w:fill="FFFFFF"/>
        </w:rPr>
        <w:t xml:space="preserve">the </w:t>
      </w:r>
      <w:r w:rsidRPr="007915F2">
        <w:rPr>
          <w:rFonts w:ascii="Garamond" w:hAnsi="Garamond"/>
          <w:color w:val="333333"/>
          <w:sz w:val="24"/>
          <w:szCs w:val="24"/>
          <w:shd w:val="clear" w:color="auto" w:fill="FFFFFF"/>
        </w:rPr>
        <w:t xml:space="preserve">expectation of lower profit margin while firms with </w:t>
      </w:r>
      <w:r w:rsidR="000324C6" w:rsidRPr="007915F2">
        <w:rPr>
          <w:rFonts w:ascii="Garamond" w:hAnsi="Garamond"/>
          <w:color w:val="333333"/>
          <w:sz w:val="24"/>
          <w:szCs w:val="24"/>
          <w:shd w:val="clear" w:color="auto" w:fill="FFFFFF"/>
        </w:rPr>
        <w:t xml:space="preserve">a </w:t>
      </w:r>
      <w:r w:rsidRPr="007915F2">
        <w:rPr>
          <w:rFonts w:ascii="Garamond" w:hAnsi="Garamond"/>
          <w:color w:val="333333"/>
          <w:sz w:val="24"/>
          <w:szCs w:val="24"/>
          <w:shd w:val="clear" w:color="auto" w:fill="FFFFFF"/>
        </w:rPr>
        <w:t>hi</w:t>
      </w:r>
      <w:r w:rsidR="00935BE1" w:rsidRPr="007915F2">
        <w:rPr>
          <w:rFonts w:ascii="Garamond" w:hAnsi="Garamond"/>
          <w:color w:val="333333"/>
          <w:sz w:val="24"/>
          <w:szCs w:val="24"/>
          <w:shd w:val="clear" w:color="auto" w:fill="FFFFFF"/>
        </w:rPr>
        <w:t xml:space="preserve">gher number of suppliers may be producing more complex products with </w:t>
      </w:r>
      <w:r w:rsidR="000324C6" w:rsidRPr="007915F2">
        <w:rPr>
          <w:rFonts w:ascii="Garamond" w:hAnsi="Garamond"/>
          <w:color w:val="333333"/>
          <w:sz w:val="24"/>
          <w:szCs w:val="24"/>
          <w:shd w:val="clear" w:color="auto" w:fill="FFFFFF"/>
        </w:rPr>
        <w:t xml:space="preserve">a </w:t>
      </w:r>
      <w:r w:rsidR="00935BE1" w:rsidRPr="007915F2">
        <w:rPr>
          <w:rFonts w:ascii="Garamond" w:hAnsi="Garamond"/>
          <w:color w:val="333333"/>
          <w:sz w:val="24"/>
          <w:szCs w:val="24"/>
          <w:shd w:val="clear" w:color="auto" w:fill="FFFFFF"/>
        </w:rPr>
        <w:t>higher profit margin.</w:t>
      </w:r>
      <w:r w:rsidR="00845AB5" w:rsidRPr="007915F2">
        <w:rPr>
          <w:rFonts w:ascii="Garamond" w:hAnsi="Garamond"/>
          <w:color w:val="333333"/>
          <w:sz w:val="24"/>
          <w:szCs w:val="24"/>
          <w:shd w:val="clear" w:color="auto" w:fill="FFFFFF"/>
        </w:rPr>
        <w:t xml:space="preserve"> Also, f</w:t>
      </w:r>
      <w:r w:rsidR="00935BE1" w:rsidRPr="007915F2">
        <w:rPr>
          <w:rFonts w:ascii="Garamond" w:hAnsi="Garamond"/>
          <w:color w:val="333333"/>
          <w:sz w:val="24"/>
          <w:szCs w:val="24"/>
          <w:shd w:val="clear" w:color="auto" w:fill="FFFFFF"/>
        </w:rPr>
        <w:t xml:space="preserve">irms with higher dependencies in the supply chain may be more influenced as a result of interruptions in the global supply chain. Our simulation of disruption as a result of </w:t>
      </w:r>
      <w:r w:rsidR="000324C6" w:rsidRPr="007915F2">
        <w:rPr>
          <w:rFonts w:ascii="Garamond" w:hAnsi="Garamond"/>
          <w:color w:val="333333"/>
          <w:sz w:val="24"/>
          <w:szCs w:val="24"/>
          <w:shd w:val="clear" w:color="auto" w:fill="FFFFFF"/>
        </w:rPr>
        <w:t xml:space="preserve">the </w:t>
      </w:r>
      <w:r w:rsidR="00935BE1" w:rsidRPr="007915F2">
        <w:rPr>
          <w:rFonts w:ascii="Garamond" w:hAnsi="Garamond"/>
          <w:color w:val="333333"/>
          <w:sz w:val="24"/>
          <w:szCs w:val="24"/>
          <w:shd w:val="clear" w:color="auto" w:fill="FFFFFF"/>
        </w:rPr>
        <w:t xml:space="preserve">elimination of country from the supply chain would provide </w:t>
      </w:r>
      <w:r w:rsidR="000324C6" w:rsidRPr="007915F2">
        <w:rPr>
          <w:rFonts w:ascii="Garamond" w:hAnsi="Garamond"/>
          <w:color w:val="333333"/>
          <w:sz w:val="24"/>
          <w:szCs w:val="24"/>
          <w:shd w:val="clear" w:color="auto" w:fill="FFFFFF"/>
        </w:rPr>
        <w:t xml:space="preserve">an </w:t>
      </w:r>
      <w:r w:rsidR="00935BE1" w:rsidRPr="007915F2">
        <w:rPr>
          <w:rFonts w:ascii="Garamond" w:hAnsi="Garamond"/>
          <w:color w:val="333333"/>
          <w:sz w:val="24"/>
          <w:szCs w:val="24"/>
          <w:shd w:val="clear" w:color="auto" w:fill="FFFFFF"/>
        </w:rPr>
        <w:t xml:space="preserve">important contribution to our understanding of firms’ performance and asset management as </w:t>
      </w:r>
      <w:r w:rsidR="000324C6" w:rsidRPr="007915F2">
        <w:rPr>
          <w:rFonts w:ascii="Garamond" w:hAnsi="Garamond"/>
          <w:color w:val="333333"/>
          <w:sz w:val="24"/>
          <w:szCs w:val="24"/>
          <w:shd w:val="clear" w:color="auto" w:fill="FFFFFF"/>
        </w:rPr>
        <w:t xml:space="preserve">a </w:t>
      </w:r>
      <w:r w:rsidR="00935BE1" w:rsidRPr="007915F2">
        <w:rPr>
          <w:rFonts w:ascii="Garamond" w:hAnsi="Garamond"/>
          <w:color w:val="333333"/>
          <w:sz w:val="24"/>
          <w:szCs w:val="24"/>
          <w:shd w:val="clear" w:color="auto" w:fill="FFFFFF"/>
        </w:rPr>
        <w:t>result of similar large scale interruptions.</w:t>
      </w:r>
      <w:r w:rsidR="00361957" w:rsidRPr="007915F2">
        <w:rPr>
          <w:rFonts w:ascii="Garamond" w:hAnsi="Garamond"/>
          <w:color w:val="333333"/>
          <w:sz w:val="24"/>
          <w:szCs w:val="24"/>
          <w:shd w:val="clear" w:color="auto" w:fill="FFFFFF"/>
        </w:rPr>
        <w:t xml:space="preserve"> In the following</w:t>
      </w:r>
      <w:r w:rsidR="00E21464" w:rsidRPr="007915F2">
        <w:rPr>
          <w:rFonts w:ascii="Garamond" w:hAnsi="Garamond"/>
          <w:color w:val="333333"/>
          <w:sz w:val="24"/>
          <w:szCs w:val="24"/>
          <w:shd w:val="clear" w:color="auto" w:fill="FFFFFF"/>
        </w:rPr>
        <w:t xml:space="preserve"> section</w:t>
      </w:r>
      <w:r w:rsidR="00361957" w:rsidRPr="007915F2">
        <w:rPr>
          <w:rFonts w:ascii="Garamond" w:hAnsi="Garamond"/>
          <w:color w:val="333333"/>
          <w:sz w:val="24"/>
          <w:szCs w:val="24"/>
          <w:shd w:val="clear" w:color="auto" w:fill="FFFFFF"/>
        </w:rPr>
        <w:t>, the measures of centrality and their interpretation</w:t>
      </w:r>
      <w:r w:rsidR="000324C6" w:rsidRPr="007915F2">
        <w:rPr>
          <w:rFonts w:ascii="Garamond" w:hAnsi="Garamond"/>
          <w:color w:val="333333"/>
          <w:sz w:val="24"/>
          <w:szCs w:val="24"/>
          <w:shd w:val="clear" w:color="auto" w:fill="FFFFFF"/>
        </w:rPr>
        <w:t>s</w:t>
      </w:r>
      <w:r w:rsidR="00361957" w:rsidRPr="007915F2">
        <w:rPr>
          <w:rFonts w:ascii="Garamond" w:hAnsi="Garamond"/>
          <w:color w:val="333333"/>
          <w:sz w:val="24"/>
          <w:szCs w:val="24"/>
          <w:shd w:val="clear" w:color="auto" w:fill="FFFFFF"/>
        </w:rPr>
        <w:t xml:space="preserve"> </w:t>
      </w:r>
      <w:r w:rsidR="0055198F" w:rsidRPr="007915F2">
        <w:rPr>
          <w:rFonts w:ascii="Garamond" w:hAnsi="Garamond"/>
          <w:color w:val="333333"/>
          <w:sz w:val="24"/>
          <w:szCs w:val="24"/>
          <w:shd w:val="clear" w:color="auto" w:fill="FFFFFF"/>
        </w:rPr>
        <w:t>of</w:t>
      </w:r>
      <w:r w:rsidR="00361957" w:rsidRPr="007915F2">
        <w:rPr>
          <w:rFonts w:ascii="Garamond" w:hAnsi="Garamond"/>
          <w:color w:val="333333"/>
          <w:sz w:val="24"/>
          <w:szCs w:val="24"/>
          <w:shd w:val="clear" w:color="auto" w:fill="FFFFFF"/>
        </w:rPr>
        <w:t xml:space="preserve"> the study of organizational supply chains are discussed.</w:t>
      </w:r>
    </w:p>
    <w:p w14:paraId="15E51543" w14:textId="1C3199F4" w:rsidR="00B975AE" w:rsidRPr="007915F2" w:rsidRDefault="00C35D8E" w:rsidP="00D61CD6">
      <w:pPr>
        <w:spacing w:after="0" w:line="240" w:lineRule="auto"/>
        <w:jc w:val="both"/>
        <w:rPr>
          <w:rFonts w:ascii="Garamond" w:hAnsi="Garamond"/>
          <w:color w:val="333333"/>
          <w:sz w:val="24"/>
          <w:szCs w:val="24"/>
          <w:shd w:val="clear" w:color="auto" w:fill="FFFFFF"/>
        </w:rPr>
      </w:pPr>
      <w:r w:rsidRPr="007915F2">
        <w:rPr>
          <w:rFonts w:ascii="Garamond" w:hAnsi="Garamond"/>
          <w:b/>
          <w:color w:val="333333"/>
          <w:sz w:val="24"/>
          <w:szCs w:val="24"/>
          <w:shd w:val="clear" w:color="auto" w:fill="FFFFFF"/>
        </w:rPr>
        <w:t>Degree</w:t>
      </w:r>
      <w:r w:rsidR="00845AB5" w:rsidRPr="007915F2">
        <w:rPr>
          <w:rFonts w:ascii="Garamond" w:hAnsi="Garamond"/>
          <w:b/>
          <w:color w:val="333333"/>
          <w:sz w:val="24"/>
          <w:szCs w:val="24"/>
          <w:shd w:val="clear" w:color="auto" w:fill="FFFFFF"/>
        </w:rPr>
        <w:t xml:space="preserve"> (</w:t>
      </w:r>
      <w:r w:rsidRPr="007915F2">
        <w:rPr>
          <w:rFonts w:ascii="Garamond" w:hAnsi="Garamond"/>
          <w:b/>
          <w:color w:val="333333"/>
          <w:sz w:val="24"/>
          <w:szCs w:val="24"/>
          <w:shd w:val="clear" w:color="auto" w:fill="FFFFFF"/>
        </w:rPr>
        <w:t>In-degree &amp; Out-degree</w:t>
      </w:r>
      <w:r w:rsidR="00845AB5" w:rsidRPr="007915F2">
        <w:rPr>
          <w:rFonts w:ascii="Garamond" w:hAnsi="Garamond"/>
          <w:b/>
          <w:color w:val="333333"/>
          <w:sz w:val="24"/>
          <w:szCs w:val="24"/>
          <w:shd w:val="clear" w:color="auto" w:fill="FFFFFF"/>
        </w:rPr>
        <w:t xml:space="preserve">): </w:t>
      </w:r>
      <w:r w:rsidR="00E5297E" w:rsidRPr="007915F2">
        <w:rPr>
          <w:rFonts w:ascii="Garamond" w:hAnsi="Garamond"/>
          <w:color w:val="333333"/>
          <w:sz w:val="24"/>
          <w:szCs w:val="24"/>
          <w:shd w:val="clear" w:color="auto" w:fill="FFFFFF"/>
        </w:rPr>
        <w:t xml:space="preserve">One of the common measures of influence in supply chain networks is </w:t>
      </w:r>
      <w:r w:rsidR="007E11E2" w:rsidRPr="007915F2">
        <w:rPr>
          <w:rFonts w:ascii="Garamond" w:hAnsi="Garamond"/>
          <w:color w:val="333333"/>
          <w:sz w:val="24"/>
          <w:szCs w:val="24"/>
          <w:shd w:val="clear" w:color="auto" w:fill="FFFFFF"/>
        </w:rPr>
        <w:t xml:space="preserve">the </w:t>
      </w:r>
      <w:r w:rsidR="00E5297E" w:rsidRPr="007915F2">
        <w:rPr>
          <w:rFonts w:ascii="Garamond" w:hAnsi="Garamond"/>
          <w:color w:val="333333"/>
          <w:sz w:val="24"/>
          <w:szCs w:val="24"/>
          <w:shd w:val="clear" w:color="auto" w:fill="FFFFFF"/>
        </w:rPr>
        <w:t xml:space="preserve">degree, which is defined as the number of connections a firm has with other firms. </w:t>
      </w:r>
      <w:r w:rsidR="00027646" w:rsidRPr="007915F2">
        <w:rPr>
          <w:rFonts w:ascii="Garamond" w:hAnsi="Garamond"/>
          <w:color w:val="333333"/>
          <w:sz w:val="24"/>
          <w:szCs w:val="24"/>
          <w:shd w:val="clear" w:color="auto" w:fill="FFFFFF"/>
        </w:rPr>
        <w:t>The supply chain network developed in this study is a directed network</w:t>
      </w:r>
      <w:r w:rsidR="00E21464" w:rsidRPr="007915F2">
        <w:rPr>
          <w:rFonts w:ascii="Garamond" w:hAnsi="Garamond"/>
          <w:color w:val="333333"/>
          <w:sz w:val="24"/>
          <w:szCs w:val="24"/>
          <w:shd w:val="clear" w:color="auto" w:fill="FFFFFF"/>
        </w:rPr>
        <w:t>.  C</w:t>
      </w:r>
      <w:r w:rsidR="00027646" w:rsidRPr="007915F2">
        <w:rPr>
          <w:rFonts w:ascii="Garamond" w:hAnsi="Garamond"/>
          <w:color w:val="333333"/>
          <w:sz w:val="24"/>
          <w:szCs w:val="24"/>
          <w:shd w:val="clear" w:color="auto" w:fill="FFFFFF"/>
        </w:rPr>
        <w:t>onsequently</w:t>
      </w:r>
      <w:r w:rsidR="007E11E2" w:rsidRPr="007915F2">
        <w:rPr>
          <w:rFonts w:ascii="Garamond" w:hAnsi="Garamond"/>
          <w:color w:val="333333"/>
          <w:sz w:val="24"/>
          <w:szCs w:val="24"/>
          <w:shd w:val="clear" w:color="auto" w:fill="FFFFFF"/>
        </w:rPr>
        <w:t>,</w:t>
      </w:r>
      <w:r w:rsidR="00027646" w:rsidRPr="007915F2">
        <w:rPr>
          <w:rFonts w:ascii="Garamond" w:hAnsi="Garamond"/>
          <w:color w:val="333333"/>
          <w:sz w:val="24"/>
          <w:szCs w:val="24"/>
          <w:shd w:val="clear" w:color="auto" w:fill="FFFFFF"/>
        </w:rPr>
        <w:t xml:space="preserve"> we </w:t>
      </w:r>
      <w:r w:rsidR="00361957" w:rsidRPr="007915F2">
        <w:rPr>
          <w:rFonts w:ascii="Garamond" w:hAnsi="Garamond"/>
          <w:color w:val="333333"/>
          <w:sz w:val="24"/>
          <w:szCs w:val="24"/>
          <w:shd w:val="clear" w:color="auto" w:fill="FFFFFF"/>
        </w:rPr>
        <w:t>can</w:t>
      </w:r>
      <w:r w:rsidR="00027646" w:rsidRPr="007915F2">
        <w:rPr>
          <w:rFonts w:ascii="Garamond" w:hAnsi="Garamond"/>
          <w:color w:val="333333"/>
          <w:sz w:val="24"/>
          <w:szCs w:val="24"/>
          <w:shd w:val="clear" w:color="auto" w:fill="FFFFFF"/>
        </w:rPr>
        <w:t xml:space="preserve"> </w:t>
      </w:r>
      <w:r w:rsidR="00361957" w:rsidRPr="007915F2">
        <w:rPr>
          <w:rFonts w:ascii="Garamond" w:hAnsi="Garamond"/>
          <w:color w:val="333333"/>
          <w:sz w:val="24"/>
          <w:szCs w:val="24"/>
          <w:shd w:val="clear" w:color="auto" w:fill="FFFFFF"/>
        </w:rPr>
        <w:t xml:space="preserve">have </w:t>
      </w:r>
      <w:r w:rsidR="00027646" w:rsidRPr="007915F2">
        <w:rPr>
          <w:rFonts w:ascii="Garamond" w:hAnsi="Garamond"/>
          <w:color w:val="333333"/>
          <w:sz w:val="24"/>
          <w:szCs w:val="24"/>
          <w:shd w:val="clear" w:color="auto" w:fill="FFFFFF"/>
        </w:rPr>
        <w:t>distinguished measures of degree, which are in-degree and out-degree. In-degree measures the number of notable suppliers that the firm has, while the out-degree measures the number of notable</w:t>
      </w:r>
      <w:r w:rsidR="00E21464" w:rsidRPr="007915F2">
        <w:rPr>
          <w:rFonts w:ascii="Garamond" w:hAnsi="Garamond"/>
          <w:color w:val="333333"/>
          <w:sz w:val="24"/>
          <w:szCs w:val="24"/>
          <w:shd w:val="clear" w:color="auto" w:fill="FFFFFF"/>
        </w:rPr>
        <w:t xml:space="preserve"> customers </w:t>
      </w:r>
      <w:r w:rsidR="00027646" w:rsidRPr="007915F2">
        <w:rPr>
          <w:rFonts w:ascii="Garamond" w:hAnsi="Garamond"/>
          <w:color w:val="333333"/>
          <w:sz w:val="24"/>
          <w:szCs w:val="24"/>
          <w:shd w:val="clear" w:color="auto" w:fill="FFFFFF"/>
        </w:rPr>
        <w:t>that a firm has.</w:t>
      </w:r>
    </w:p>
    <w:p w14:paraId="106D6197" w14:textId="7813BB0A" w:rsidR="00E5297E" w:rsidRPr="007915F2" w:rsidRDefault="00E5297E"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In general, as we move across firms from the industry</w:t>
      </w:r>
      <w:r w:rsidR="007E11E2"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 xml:space="preserve">specific product manufacturer to firms in higher tiers backward supply chain we expect to see </w:t>
      </w:r>
      <w:r w:rsidR="007E11E2" w:rsidRPr="007915F2">
        <w:rPr>
          <w:rFonts w:ascii="Garamond" w:hAnsi="Garamond"/>
          <w:color w:val="333333"/>
          <w:sz w:val="24"/>
          <w:szCs w:val="24"/>
          <w:shd w:val="clear" w:color="auto" w:fill="FFFFFF"/>
        </w:rPr>
        <w:t xml:space="preserve">a </w:t>
      </w:r>
      <w:r w:rsidRPr="007915F2">
        <w:rPr>
          <w:rFonts w:ascii="Garamond" w:hAnsi="Garamond"/>
          <w:color w:val="333333"/>
          <w:sz w:val="24"/>
          <w:szCs w:val="24"/>
          <w:shd w:val="clear" w:color="auto" w:fill="FFFFFF"/>
        </w:rPr>
        <w:t>lower degree. The reason is that higher</w:t>
      </w:r>
      <w:r w:rsidR="007E11E2"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level tiers are generally manufacturing relatively more standardize</w:t>
      </w:r>
      <w:r w:rsidR="00E21464" w:rsidRPr="007915F2">
        <w:rPr>
          <w:rFonts w:ascii="Garamond" w:hAnsi="Garamond"/>
          <w:color w:val="333333"/>
          <w:sz w:val="24"/>
          <w:szCs w:val="24"/>
          <w:shd w:val="clear" w:color="auto" w:fill="FFFFFF"/>
        </w:rPr>
        <w:t>d,</w:t>
      </w:r>
      <w:r w:rsidRPr="007915F2">
        <w:rPr>
          <w:rFonts w:ascii="Garamond" w:hAnsi="Garamond"/>
          <w:color w:val="333333"/>
          <w:sz w:val="24"/>
          <w:szCs w:val="24"/>
          <w:shd w:val="clear" w:color="auto" w:fill="FFFFFF"/>
        </w:rPr>
        <w:t xml:space="preserve"> simple products that go into the more technologically complex product in lower tiers. This means a higher tier suppl</w:t>
      </w:r>
      <w:r w:rsidR="007E11E2" w:rsidRPr="007915F2">
        <w:rPr>
          <w:rFonts w:ascii="Garamond" w:hAnsi="Garamond"/>
          <w:color w:val="333333"/>
          <w:sz w:val="24"/>
          <w:szCs w:val="24"/>
          <w:shd w:val="clear" w:color="auto" w:fill="FFFFFF"/>
        </w:rPr>
        <w:t>i</w:t>
      </w:r>
      <w:r w:rsidRPr="007915F2">
        <w:rPr>
          <w:rFonts w:ascii="Garamond" w:hAnsi="Garamond"/>
          <w:color w:val="333333"/>
          <w:sz w:val="24"/>
          <w:szCs w:val="24"/>
          <w:shd w:val="clear" w:color="auto" w:fill="FFFFFF"/>
        </w:rPr>
        <w:t>er (e.g. the supplier of a plastic tube) will have lower in-degree and out-degree in comparison to a lower</w:t>
      </w:r>
      <w:r w:rsidR="007E11E2"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 xml:space="preserve">tier firm (e.g. the manufacturer of the ventilator) which assembles several parts into one product. Our data also supports this view. </w:t>
      </w:r>
      <w:r w:rsidR="00A05197">
        <w:rPr>
          <w:rFonts w:ascii="Garamond" w:hAnsi="Garamond"/>
          <w:color w:val="333333"/>
          <w:sz w:val="24"/>
          <w:szCs w:val="24"/>
          <w:shd w:val="clear" w:color="auto" w:fill="FFFFFF"/>
        </w:rPr>
        <w:t xml:space="preserve">It is important to note that many firms contribute multiple times to the global supply chain at different tiers; therefore we calculated a measure of </w:t>
      </w:r>
      <w:r w:rsidR="00BD5D22">
        <w:rPr>
          <w:rFonts w:ascii="Garamond" w:hAnsi="Garamond"/>
          <w:color w:val="333333"/>
          <w:sz w:val="24"/>
          <w:szCs w:val="24"/>
          <w:shd w:val="clear" w:color="auto" w:fill="FFFFFF"/>
        </w:rPr>
        <w:t>weighted-</w:t>
      </w:r>
      <w:r w:rsidR="00A05197">
        <w:rPr>
          <w:rFonts w:ascii="Garamond" w:hAnsi="Garamond"/>
          <w:color w:val="333333"/>
          <w:sz w:val="24"/>
          <w:szCs w:val="24"/>
          <w:shd w:val="clear" w:color="auto" w:fill="FFFFFF"/>
        </w:rPr>
        <w:t xml:space="preserve">tier for each firm to represent its </w:t>
      </w:r>
      <w:r w:rsidR="00916E54">
        <w:rPr>
          <w:rFonts w:ascii="Garamond" w:hAnsi="Garamond"/>
          <w:color w:val="333333"/>
          <w:sz w:val="24"/>
          <w:szCs w:val="24"/>
          <w:shd w:val="clear" w:color="auto" w:fill="FFFFFF"/>
        </w:rPr>
        <w:t>role</w:t>
      </w:r>
      <w:r w:rsidR="00A05197">
        <w:rPr>
          <w:rFonts w:ascii="Garamond" w:hAnsi="Garamond"/>
          <w:color w:val="333333"/>
          <w:sz w:val="24"/>
          <w:szCs w:val="24"/>
          <w:shd w:val="clear" w:color="auto" w:fill="FFFFFF"/>
        </w:rPr>
        <w:t xml:space="preserve"> across different tiers of the supply chain</w:t>
      </w:r>
      <w:r w:rsidR="00006FA2">
        <w:rPr>
          <w:rFonts w:ascii="Garamond" w:hAnsi="Garamond"/>
          <w:color w:val="333333"/>
          <w:sz w:val="24"/>
          <w:szCs w:val="24"/>
          <w:shd w:val="clear" w:color="auto" w:fill="FFFFFF"/>
        </w:rPr>
        <w:t xml:space="preserve"> network</w:t>
      </w:r>
      <w:r w:rsidR="00A05197">
        <w:rPr>
          <w:rFonts w:ascii="Garamond" w:hAnsi="Garamond"/>
          <w:color w:val="333333"/>
          <w:sz w:val="24"/>
          <w:szCs w:val="24"/>
          <w:shd w:val="clear" w:color="auto" w:fill="FFFFFF"/>
        </w:rPr>
        <w:t>.</w:t>
      </w:r>
    </w:p>
    <w:p w14:paraId="0B206063" w14:textId="741E725B" w:rsidR="00391D37" w:rsidRPr="007915F2" w:rsidRDefault="00391D37" w:rsidP="00D61CD6">
      <w:pPr>
        <w:spacing w:after="0" w:line="240" w:lineRule="auto"/>
        <w:jc w:val="both"/>
        <w:rPr>
          <w:rFonts w:ascii="Garamond" w:hAnsi="Garamond"/>
          <w:color w:val="333333"/>
          <w:sz w:val="24"/>
          <w:szCs w:val="24"/>
          <w:shd w:val="clear" w:color="auto" w:fill="FFFFFF"/>
        </w:rPr>
      </w:pPr>
    </w:p>
    <w:p w14:paraId="1897FCAA" w14:textId="2B3F61C1" w:rsidR="00391D37" w:rsidRPr="007915F2" w:rsidRDefault="00391D37" w:rsidP="00391D37">
      <w:pPr>
        <w:spacing w:after="0" w:line="240" w:lineRule="auto"/>
        <w:jc w:val="center"/>
        <w:rPr>
          <w:rFonts w:ascii="Garamond" w:hAnsi="Garamond"/>
          <w:b/>
          <w:bCs/>
          <w:iCs/>
          <w:sz w:val="24"/>
          <w:szCs w:val="24"/>
        </w:rPr>
      </w:pPr>
      <w:r w:rsidRPr="007915F2">
        <w:rPr>
          <w:rFonts w:ascii="Garamond" w:hAnsi="Garamond"/>
          <w:b/>
          <w:bCs/>
          <w:iCs/>
          <w:sz w:val="24"/>
          <w:szCs w:val="24"/>
        </w:rPr>
        <w:t>[Insert Table 1 here]</w:t>
      </w:r>
    </w:p>
    <w:p w14:paraId="4F15F655" w14:textId="77777777" w:rsidR="00391D37" w:rsidRPr="007915F2" w:rsidRDefault="00391D37" w:rsidP="00D61CD6">
      <w:pPr>
        <w:spacing w:after="0" w:line="240" w:lineRule="auto"/>
        <w:jc w:val="both"/>
        <w:rPr>
          <w:rFonts w:ascii="Garamond" w:hAnsi="Garamond"/>
          <w:color w:val="333333"/>
          <w:sz w:val="24"/>
          <w:szCs w:val="24"/>
          <w:shd w:val="clear" w:color="auto" w:fill="FFFFFF"/>
        </w:rPr>
      </w:pPr>
    </w:p>
    <w:p w14:paraId="024A8711" w14:textId="0DE9075B" w:rsidR="003D03A3" w:rsidRPr="007915F2" w:rsidRDefault="00F93A16"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 xml:space="preserve">Extant </w:t>
      </w:r>
      <w:r w:rsidR="003D03A3" w:rsidRPr="007915F2">
        <w:rPr>
          <w:rFonts w:ascii="Garamond" w:hAnsi="Garamond"/>
          <w:color w:val="333333"/>
          <w:sz w:val="24"/>
          <w:szCs w:val="24"/>
          <w:shd w:val="clear" w:color="auto" w:fill="FFFFFF"/>
        </w:rPr>
        <w:t xml:space="preserve">literature </w:t>
      </w:r>
      <w:r w:rsidR="005B3B41" w:rsidRPr="007915F2">
        <w:rPr>
          <w:rFonts w:ascii="Garamond" w:hAnsi="Garamond"/>
          <w:color w:val="333333"/>
          <w:sz w:val="24"/>
          <w:szCs w:val="24"/>
          <w:shd w:val="clear" w:color="auto" w:fill="FFFFFF"/>
        </w:rPr>
        <w:t>has examined</w:t>
      </w:r>
      <w:r w:rsidR="003D03A3" w:rsidRPr="007915F2">
        <w:rPr>
          <w:rFonts w:ascii="Garamond" w:hAnsi="Garamond"/>
          <w:color w:val="333333"/>
          <w:sz w:val="24"/>
          <w:szCs w:val="24"/>
          <w:shd w:val="clear" w:color="auto" w:fill="FFFFFF"/>
        </w:rPr>
        <w:t xml:space="preserve"> the role of </w:t>
      </w:r>
      <w:r w:rsidR="007E11E2" w:rsidRPr="007915F2">
        <w:rPr>
          <w:rFonts w:ascii="Garamond" w:hAnsi="Garamond"/>
          <w:color w:val="333333"/>
          <w:sz w:val="24"/>
          <w:szCs w:val="24"/>
          <w:shd w:val="clear" w:color="auto" w:fill="FFFFFF"/>
        </w:rPr>
        <w:t xml:space="preserve">the </w:t>
      </w:r>
      <w:r w:rsidR="003D03A3" w:rsidRPr="007915F2">
        <w:rPr>
          <w:rFonts w:ascii="Garamond" w:hAnsi="Garamond"/>
          <w:color w:val="333333"/>
          <w:sz w:val="24"/>
          <w:szCs w:val="24"/>
          <w:shd w:val="clear" w:color="auto" w:fill="FFFFFF"/>
        </w:rPr>
        <w:t xml:space="preserve">number of suppliers and customers </w:t>
      </w:r>
      <w:r w:rsidRPr="007915F2">
        <w:rPr>
          <w:rFonts w:ascii="Garamond" w:hAnsi="Garamond"/>
          <w:color w:val="333333"/>
          <w:sz w:val="24"/>
          <w:szCs w:val="24"/>
          <w:shd w:val="clear" w:color="auto" w:fill="FFFFFF"/>
        </w:rPr>
        <w:t>in</w:t>
      </w:r>
      <w:r w:rsidR="003D03A3" w:rsidRPr="007915F2">
        <w:rPr>
          <w:rFonts w:ascii="Garamond" w:hAnsi="Garamond"/>
          <w:color w:val="333333"/>
          <w:sz w:val="24"/>
          <w:szCs w:val="24"/>
          <w:shd w:val="clear" w:color="auto" w:fill="FFFFFF"/>
        </w:rPr>
        <w:t xml:space="preserve"> firms’ performance.</w:t>
      </w:r>
      <w:r w:rsidR="00A17419" w:rsidRPr="007915F2">
        <w:rPr>
          <w:rFonts w:ascii="Garamond" w:hAnsi="Garamond"/>
          <w:color w:val="333333"/>
          <w:sz w:val="24"/>
          <w:szCs w:val="24"/>
          <w:shd w:val="clear" w:color="auto" w:fill="FFFFFF"/>
        </w:rPr>
        <w:t xml:space="preserve"> For example, Nuss, Graedel, Alonso</w:t>
      </w:r>
      <w:r w:rsidR="0055198F" w:rsidRPr="007915F2">
        <w:rPr>
          <w:rFonts w:ascii="Garamond" w:hAnsi="Garamond"/>
          <w:color w:val="333333"/>
          <w:sz w:val="24"/>
          <w:szCs w:val="24"/>
          <w:shd w:val="clear" w:color="auto" w:fill="FFFFFF"/>
        </w:rPr>
        <w:t>,</w:t>
      </w:r>
      <w:r w:rsidR="00A17419" w:rsidRPr="007915F2">
        <w:rPr>
          <w:rFonts w:ascii="Garamond" w:hAnsi="Garamond"/>
          <w:color w:val="333333"/>
          <w:sz w:val="24"/>
          <w:szCs w:val="24"/>
          <w:shd w:val="clear" w:color="auto" w:fill="FFFFFF"/>
        </w:rPr>
        <w:t xml:space="preserve"> and Carroll (2016) argue that in-degree is a measure of </w:t>
      </w:r>
      <w:r w:rsidR="0055198F" w:rsidRPr="007915F2">
        <w:rPr>
          <w:rFonts w:ascii="Garamond" w:hAnsi="Garamond"/>
          <w:color w:val="333333"/>
          <w:sz w:val="24"/>
          <w:szCs w:val="24"/>
          <w:shd w:val="clear" w:color="auto" w:fill="FFFFFF"/>
        </w:rPr>
        <w:t xml:space="preserve">the </w:t>
      </w:r>
      <w:r w:rsidR="00A17419" w:rsidRPr="007915F2">
        <w:rPr>
          <w:rFonts w:ascii="Garamond" w:hAnsi="Garamond"/>
          <w:color w:val="333333"/>
          <w:sz w:val="24"/>
          <w:szCs w:val="24"/>
          <w:shd w:val="clear" w:color="auto" w:fill="FFFFFF"/>
        </w:rPr>
        <w:t xml:space="preserve">complexity of the product while out-degree is </w:t>
      </w:r>
      <w:r w:rsidR="003204AF" w:rsidRPr="007915F2">
        <w:rPr>
          <w:rFonts w:ascii="Garamond" w:hAnsi="Garamond"/>
          <w:color w:val="333333"/>
          <w:sz w:val="24"/>
          <w:szCs w:val="24"/>
          <w:shd w:val="clear" w:color="auto" w:fill="FFFFFF"/>
        </w:rPr>
        <w:t xml:space="preserve">a measure of product diversity. </w:t>
      </w:r>
      <w:r w:rsidR="003D03A3" w:rsidRPr="007915F2">
        <w:rPr>
          <w:rFonts w:ascii="Garamond" w:hAnsi="Garamond"/>
          <w:color w:val="333333"/>
          <w:sz w:val="24"/>
          <w:szCs w:val="24"/>
          <w:shd w:val="clear" w:color="auto" w:fill="FFFFFF"/>
        </w:rPr>
        <w:t xml:space="preserve">It is important to note that while the quantity of connections is important so is its quality. </w:t>
      </w:r>
      <w:r w:rsidR="00C35D8E" w:rsidRPr="007915F2">
        <w:rPr>
          <w:rFonts w:ascii="Garamond" w:hAnsi="Garamond"/>
          <w:color w:val="333333"/>
          <w:sz w:val="24"/>
          <w:szCs w:val="24"/>
          <w:shd w:val="clear" w:color="auto" w:fill="FFFFFF"/>
        </w:rPr>
        <w:t xml:space="preserve">Generally higher in-degree (suppliers) and out-degree (customers) provide the firms with less dependency and provides higher bargaining power for the firm. </w:t>
      </w:r>
      <w:r w:rsidR="00260E39" w:rsidRPr="007915F2">
        <w:rPr>
          <w:rFonts w:ascii="Garamond" w:hAnsi="Garamond"/>
          <w:color w:val="333333"/>
          <w:sz w:val="24"/>
          <w:szCs w:val="24"/>
          <w:shd w:val="clear" w:color="auto" w:fill="FFFFFF"/>
        </w:rPr>
        <w:t>A firm with high in-degree may have higher bargaining power and more efficient as a result of having less specialized assets (Dyer and Singh,</w:t>
      </w:r>
      <w:r w:rsidR="000D0D18" w:rsidRPr="007915F2">
        <w:rPr>
          <w:rFonts w:ascii="Garamond" w:hAnsi="Garamond"/>
          <w:color w:val="333333"/>
          <w:sz w:val="24"/>
          <w:szCs w:val="24"/>
          <w:shd w:val="clear" w:color="auto" w:fill="FFFFFF"/>
        </w:rPr>
        <w:t xml:space="preserve"> </w:t>
      </w:r>
      <w:r w:rsidR="00260E39" w:rsidRPr="007915F2">
        <w:rPr>
          <w:rFonts w:ascii="Garamond" w:hAnsi="Garamond"/>
          <w:color w:val="333333"/>
          <w:sz w:val="24"/>
          <w:szCs w:val="24"/>
          <w:shd w:val="clear" w:color="auto" w:fill="FFFFFF"/>
        </w:rPr>
        <w:t>1998)</w:t>
      </w:r>
      <w:r w:rsidRPr="007915F2">
        <w:rPr>
          <w:rFonts w:ascii="Garamond" w:hAnsi="Garamond"/>
          <w:color w:val="333333"/>
          <w:sz w:val="24"/>
          <w:szCs w:val="24"/>
          <w:shd w:val="clear" w:color="auto" w:fill="FFFFFF"/>
        </w:rPr>
        <w:t>.  On</w:t>
      </w:r>
      <w:r w:rsidR="00260E39" w:rsidRPr="007915F2">
        <w:rPr>
          <w:rFonts w:ascii="Garamond" w:hAnsi="Garamond"/>
          <w:color w:val="333333"/>
          <w:sz w:val="24"/>
          <w:szCs w:val="24"/>
          <w:shd w:val="clear" w:color="auto" w:fill="FFFFFF"/>
        </w:rPr>
        <w:t xml:space="preserve"> the other hand</w:t>
      </w:r>
      <w:r w:rsidRPr="007915F2">
        <w:rPr>
          <w:rFonts w:ascii="Garamond" w:hAnsi="Garamond"/>
          <w:color w:val="333333"/>
          <w:sz w:val="24"/>
          <w:szCs w:val="24"/>
          <w:shd w:val="clear" w:color="auto" w:fill="FFFFFF"/>
        </w:rPr>
        <w:t>,</w:t>
      </w:r>
      <w:r w:rsidR="00260E39" w:rsidRPr="007915F2">
        <w:rPr>
          <w:rFonts w:ascii="Garamond" w:hAnsi="Garamond"/>
          <w:color w:val="333333"/>
          <w:sz w:val="24"/>
          <w:szCs w:val="24"/>
          <w:shd w:val="clear" w:color="auto" w:fill="FFFFFF"/>
        </w:rPr>
        <w:t xml:space="preserve"> a firm with high out-degree may have more limited product variety and tooling to manufacture </w:t>
      </w:r>
      <w:r w:rsidR="000324C6" w:rsidRPr="007915F2">
        <w:rPr>
          <w:rFonts w:ascii="Garamond" w:hAnsi="Garamond"/>
          <w:color w:val="333333"/>
          <w:sz w:val="24"/>
          <w:szCs w:val="24"/>
          <w:shd w:val="clear" w:color="auto" w:fill="FFFFFF"/>
        </w:rPr>
        <w:t xml:space="preserve">a </w:t>
      </w:r>
      <w:r w:rsidR="00260E39" w:rsidRPr="007915F2">
        <w:rPr>
          <w:rFonts w:ascii="Garamond" w:hAnsi="Garamond"/>
          <w:color w:val="333333"/>
          <w:sz w:val="24"/>
          <w:szCs w:val="24"/>
          <w:shd w:val="clear" w:color="auto" w:fill="FFFFFF"/>
        </w:rPr>
        <w:t xml:space="preserve">limited number of products at high volume with </w:t>
      </w:r>
      <w:r w:rsidR="00763FFE">
        <w:rPr>
          <w:rFonts w:ascii="Garamond" w:hAnsi="Garamond"/>
          <w:color w:val="333333"/>
          <w:sz w:val="24"/>
          <w:szCs w:val="24"/>
          <w:shd w:val="clear" w:color="auto" w:fill="FFFFFF"/>
        </w:rPr>
        <w:t xml:space="preserve">a </w:t>
      </w:r>
      <w:r w:rsidR="00260E39" w:rsidRPr="007915F2">
        <w:rPr>
          <w:rFonts w:ascii="Garamond" w:hAnsi="Garamond"/>
          <w:color w:val="333333"/>
          <w:sz w:val="24"/>
          <w:szCs w:val="24"/>
          <w:shd w:val="clear" w:color="auto" w:fill="FFFFFF"/>
        </w:rPr>
        <w:t xml:space="preserve">lower profit margin which </w:t>
      </w:r>
      <w:r w:rsidR="00763FFE">
        <w:rPr>
          <w:rFonts w:ascii="Garamond" w:hAnsi="Garamond"/>
          <w:color w:val="333333"/>
          <w:sz w:val="24"/>
          <w:szCs w:val="24"/>
          <w:shd w:val="clear" w:color="auto" w:fill="FFFFFF"/>
        </w:rPr>
        <w:t>is</w:t>
      </w:r>
      <w:r w:rsidR="00260E39" w:rsidRPr="007915F2">
        <w:rPr>
          <w:rFonts w:ascii="Garamond" w:hAnsi="Garamond"/>
          <w:color w:val="333333"/>
          <w:sz w:val="24"/>
          <w:szCs w:val="24"/>
          <w:shd w:val="clear" w:color="auto" w:fill="FFFFFF"/>
        </w:rPr>
        <w:t xml:space="preserve"> more of commodity</w:t>
      </w:r>
      <w:r w:rsidR="000324C6" w:rsidRPr="007915F2">
        <w:rPr>
          <w:rFonts w:ascii="Garamond" w:hAnsi="Garamond"/>
          <w:color w:val="333333"/>
          <w:sz w:val="24"/>
          <w:szCs w:val="24"/>
          <w:shd w:val="clear" w:color="auto" w:fill="FFFFFF"/>
        </w:rPr>
        <w:t>-</w:t>
      </w:r>
      <w:r w:rsidR="00260E39" w:rsidRPr="007915F2">
        <w:rPr>
          <w:rFonts w:ascii="Garamond" w:hAnsi="Garamond"/>
          <w:color w:val="333333"/>
          <w:sz w:val="24"/>
          <w:szCs w:val="24"/>
          <w:shd w:val="clear" w:color="auto" w:fill="FFFFFF"/>
        </w:rPr>
        <w:t>type products.</w:t>
      </w:r>
      <w:r w:rsidR="00EB6EED" w:rsidRPr="007915F2">
        <w:rPr>
          <w:rFonts w:ascii="Garamond" w:hAnsi="Garamond"/>
          <w:color w:val="333333"/>
          <w:sz w:val="24"/>
          <w:szCs w:val="24"/>
          <w:shd w:val="clear" w:color="auto" w:fill="FFFFFF"/>
        </w:rPr>
        <w:t xml:space="preserve"> </w:t>
      </w:r>
      <w:r w:rsidR="003D03A3" w:rsidRPr="007915F2">
        <w:rPr>
          <w:rFonts w:ascii="Garamond" w:hAnsi="Garamond"/>
          <w:color w:val="333333"/>
          <w:sz w:val="24"/>
          <w:szCs w:val="24"/>
          <w:shd w:val="clear" w:color="auto" w:fill="FFFFFF"/>
        </w:rPr>
        <w:t xml:space="preserve">Chen and Paulraj (2004) </w:t>
      </w:r>
      <w:r w:rsidRPr="007915F2">
        <w:rPr>
          <w:rFonts w:ascii="Garamond" w:hAnsi="Garamond"/>
          <w:color w:val="333333"/>
          <w:sz w:val="24"/>
          <w:szCs w:val="24"/>
          <w:shd w:val="clear" w:color="auto" w:fill="FFFFFF"/>
        </w:rPr>
        <w:t xml:space="preserve">posit </w:t>
      </w:r>
      <w:r w:rsidR="003D03A3" w:rsidRPr="007915F2">
        <w:rPr>
          <w:rFonts w:ascii="Garamond" w:hAnsi="Garamond"/>
          <w:color w:val="333333"/>
          <w:sz w:val="24"/>
          <w:szCs w:val="24"/>
          <w:shd w:val="clear" w:color="auto" w:fill="FFFFFF"/>
        </w:rPr>
        <w:t xml:space="preserve">that while </w:t>
      </w:r>
      <w:r w:rsidR="007E11E2" w:rsidRPr="007915F2">
        <w:rPr>
          <w:rFonts w:ascii="Garamond" w:hAnsi="Garamond"/>
          <w:color w:val="333333"/>
          <w:sz w:val="24"/>
          <w:szCs w:val="24"/>
          <w:shd w:val="clear" w:color="auto" w:fill="FFFFFF"/>
        </w:rPr>
        <w:t xml:space="preserve">a </w:t>
      </w:r>
      <w:r w:rsidR="003D03A3" w:rsidRPr="007915F2">
        <w:rPr>
          <w:rFonts w:ascii="Garamond" w:hAnsi="Garamond"/>
          <w:color w:val="333333"/>
          <w:sz w:val="24"/>
          <w:szCs w:val="24"/>
          <w:shd w:val="clear" w:color="auto" w:fill="FFFFFF"/>
        </w:rPr>
        <w:t xml:space="preserve">higher number of suppliers provide </w:t>
      </w:r>
      <w:r w:rsidR="007E11E2" w:rsidRPr="007915F2">
        <w:rPr>
          <w:rFonts w:ascii="Garamond" w:hAnsi="Garamond"/>
          <w:color w:val="333333"/>
          <w:sz w:val="24"/>
          <w:szCs w:val="24"/>
          <w:shd w:val="clear" w:color="auto" w:fill="FFFFFF"/>
        </w:rPr>
        <w:t xml:space="preserve">a </w:t>
      </w:r>
      <w:r w:rsidR="003D03A3" w:rsidRPr="007915F2">
        <w:rPr>
          <w:rFonts w:ascii="Garamond" w:hAnsi="Garamond"/>
          <w:color w:val="333333"/>
          <w:sz w:val="24"/>
          <w:szCs w:val="24"/>
          <w:shd w:val="clear" w:color="auto" w:fill="FFFFFF"/>
        </w:rPr>
        <w:t xml:space="preserve">competitive advantage for the firms, the firms can still gain </w:t>
      </w:r>
      <w:r w:rsidR="007E11E2" w:rsidRPr="007915F2">
        <w:rPr>
          <w:rFonts w:ascii="Garamond" w:hAnsi="Garamond"/>
          <w:color w:val="333333"/>
          <w:sz w:val="24"/>
          <w:szCs w:val="24"/>
          <w:shd w:val="clear" w:color="auto" w:fill="FFFFFF"/>
        </w:rPr>
        <w:t xml:space="preserve">a </w:t>
      </w:r>
      <w:r w:rsidR="003D03A3" w:rsidRPr="007915F2">
        <w:rPr>
          <w:rFonts w:ascii="Garamond" w:hAnsi="Garamond"/>
          <w:color w:val="333333"/>
          <w:sz w:val="24"/>
          <w:szCs w:val="24"/>
          <w:shd w:val="clear" w:color="auto" w:fill="FFFFFF"/>
        </w:rPr>
        <w:t>competitive advantage with lower in-degree should the</w:t>
      </w:r>
      <w:r w:rsidR="007E11E2" w:rsidRPr="007915F2">
        <w:rPr>
          <w:rFonts w:ascii="Garamond" w:hAnsi="Garamond"/>
          <w:color w:val="333333"/>
          <w:sz w:val="24"/>
          <w:szCs w:val="24"/>
          <w:shd w:val="clear" w:color="auto" w:fill="FFFFFF"/>
        </w:rPr>
        <w:t>y</w:t>
      </w:r>
      <w:r w:rsidR="003D03A3" w:rsidRPr="007915F2">
        <w:rPr>
          <w:rFonts w:ascii="Garamond" w:hAnsi="Garamond"/>
          <w:color w:val="333333"/>
          <w:sz w:val="24"/>
          <w:szCs w:val="24"/>
          <w:shd w:val="clear" w:color="auto" w:fill="FFFFFF"/>
        </w:rPr>
        <w:t xml:space="preserve"> be able to build quality strategic relationships. In our data</w:t>
      </w:r>
      <w:r w:rsidR="007E11E2" w:rsidRPr="007915F2">
        <w:rPr>
          <w:rFonts w:ascii="Garamond" w:hAnsi="Garamond"/>
          <w:color w:val="333333"/>
          <w:sz w:val="24"/>
          <w:szCs w:val="24"/>
          <w:shd w:val="clear" w:color="auto" w:fill="FFFFFF"/>
        </w:rPr>
        <w:t>,</w:t>
      </w:r>
      <w:r w:rsidR="003D03A3" w:rsidRPr="007915F2">
        <w:rPr>
          <w:rFonts w:ascii="Garamond" w:hAnsi="Garamond"/>
          <w:color w:val="333333"/>
          <w:sz w:val="24"/>
          <w:szCs w:val="24"/>
          <w:shd w:val="clear" w:color="auto" w:fill="FFFFFF"/>
        </w:rPr>
        <w:t xml:space="preserve"> while all suppliers and customers are notable partners our data does not include the level of strategic partnership. Future </w:t>
      </w:r>
      <w:r w:rsidR="003D03A3" w:rsidRPr="007915F2">
        <w:rPr>
          <w:rFonts w:ascii="Garamond" w:hAnsi="Garamond"/>
          <w:color w:val="333333"/>
          <w:sz w:val="24"/>
          <w:szCs w:val="24"/>
          <w:shd w:val="clear" w:color="auto" w:fill="FFFFFF"/>
        </w:rPr>
        <w:lastRenderedPageBreak/>
        <w:t xml:space="preserve">research </w:t>
      </w:r>
      <w:r w:rsidR="007E11E2" w:rsidRPr="007915F2">
        <w:rPr>
          <w:rFonts w:ascii="Garamond" w:hAnsi="Garamond"/>
          <w:color w:val="333333"/>
          <w:sz w:val="24"/>
          <w:szCs w:val="24"/>
          <w:shd w:val="clear" w:color="auto" w:fill="FFFFFF"/>
        </w:rPr>
        <w:t>is</w:t>
      </w:r>
      <w:r w:rsidR="003D03A3" w:rsidRPr="007915F2">
        <w:rPr>
          <w:rFonts w:ascii="Garamond" w:hAnsi="Garamond"/>
          <w:color w:val="333333"/>
          <w:sz w:val="24"/>
          <w:szCs w:val="24"/>
          <w:shd w:val="clear" w:color="auto" w:fill="FFFFFF"/>
        </w:rPr>
        <w:t xml:space="preserve"> required to conduct </w:t>
      </w:r>
      <w:r w:rsidR="007E11E2" w:rsidRPr="007915F2">
        <w:rPr>
          <w:rFonts w:ascii="Garamond" w:hAnsi="Garamond"/>
          <w:color w:val="333333"/>
          <w:sz w:val="24"/>
          <w:szCs w:val="24"/>
          <w:shd w:val="clear" w:color="auto" w:fill="FFFFFF"/>
        </w:rPr>
        <w:t xml:space="preserve">a </w:t>
      </w:r>
      <w:r w:rsidR="003D03A3" w:rsidRPr="007915F2">
        <w:rPr>
          <w:rFonts w:ascii="Garamond" w:hAnsi="Garamond"/>
          <w:color w:val="333333"/>
          <w:sz w:val="24"/>
          <w:szCs w:val="24"/>
          <w:shd w:val="clear" w:color="auto" w:fill="FFFFFF"/>
        </w:rPr>
        <w:t>multi-layer network of supply chain analysis along with strategic alliance network</w:t>
      </w:r>
      <w:r w:rsidR="00C06847" w:rsidRPr="007915F2">
        <w:rPr>
          <w:rFonts w:ascii="Garamond" w:hAnsi="Garamond"/>
          <w:color w:val="333333"/>
          <w:sz w:val="24"/>
          <w:szCs w:val="24"/>
          <w:shd w:val="clear" w:color="auto" w:fill="FFFFFF"/>
        </w:rPr>
        <w:t>s.</w:t>
      </w:r>
    </w:p>
    <w:p w14:paraId="002C4569" w14:textId="3FCBDD0A" w:rsidR="00D642A3" w:rsidRPr="007915F2" w:rsidRDefault="00C35D8E" w:rsidP="00D61CD6">
      <w:pPr>
        <w:spacing w:after="0" w:line="240" w:lineRule="auto"/>
        <w:jc w:val="both"/>
        <w:rPr>
          <w:rFonts w:ascii="Garamond" w:hAnsi="Garamond"/>
          <w:sz w:val="24"/>
          <w:szCs w:val="24"/>
        </w:rPr>
      </w:pPr>
      <w:r w:rsidRPr="007915F2">
        <w:rPr>
          <w:rFonts w:ascii="Garamond" w:hAnsi="Garamond"/>
          <w:b/>
          <w:color w:val="333333"/>
          <w:sz w:val="24"/>
          <w:szCs w:val="24"/>
          <w:shd w:val="clear" w:color="auto" w:fill="FFFFFF"/>
        </w:rPr>
        <w:t>Eccentricity</w:t>
      </w:r>
      <w:r w:rsidRPr="007915F2">
        <w:rPr>
          <w:rFonts w:ascii="Garamond" w:hAnsi="Garamond"/>
          <w:color w:val="333333"/>
          <w:sz w:val="24"/>
          <w:szCs w:val="24"/>
          <w:shd w:val="clear" w:color="auto" w:fill="FFFFFF"/>
        </w:rPr>
        <w:t>:</w:t>
      </w:r>
      <w:r w:rsidR="00845AB5" w:rsidRPr="007915F2">
        <w:rPr>
          <w:rFonts w:ascii="Garamond" w:hAnsi="Garamond"/>
          <w:color w:val="333333"/>
          <w:sz w:val="24"/>
          <w:szCs w:val="24"/>
          <w:shd w:val="clear" w:color="auto" w:fill="FFFFFF"/>
        </w:rPr>
        <w:t xml:space="preserve"> </w:t>
      </w:r>
      <w:r w:rsidR="007E11E2" w:rsidRPr="007915F2">
        <w:rPr>
          <w:rFonts w:ascii="Garamond" w:hAnsi="Garamond"/>
          <w:color w:val="333333"/>
          <w:sz w:val="24"/>
          <w:szCs w:val="24"/>
          <w:shd w:val="clear" w:color="auto" w:fill="FFFFFF"/>
        </w:rPr>
        <w:t>The e</w:t>
      </w:r>
      <w:r w:rsidR="00EF2299" w:rsidRPr="007915F2">
        <w:rPr>
          <w:rFonts w:ascii="Garamond" w:hAnsi="Garamond"/>
          <w:color w:val="333333"/>
          <w:sz w:val="24"/>
          <w:szCs w:val="24"/>
          <w:shd w:val="clear" w:color="auto" w:fill="FFFFFF"/>
        </w:rPr>
        <w:t xml:space="preserve">ccentricity of each firm is the maximum distance (shortest path distance) of the firm and all other firms. </w:t>
      </w:r>
      <w:r w:rsidRPr="007915F2">
        <w:rPr>
          <w:rFonts w:ascii="Garamond" w:hAnsi="Garamond"/>
          <w:color w:val="333333"/>
          <w:sz w:val="24"/>
          <w:szCs w:val="24"/>
          <w:shd w:val="clear" w:color="auto" w:fill="FFFFFF"/>
        </w:rPr>
        <w:t xml:space="preserve">The eccentricity of a firm in </w:t>
      </w:r>
      <w:r w:rsidR="007E11E2" w:rsidRPr="007915F2">
        <w:rPr>
          <w:rFonts w:ascii="Garamond" w:hAnsi="Garamond"/>
          <w:color w:val="333333"/>
          <w:sz w:val="24"/>
          <w:szCs w:val="24"/>
          <w:shd w:val="clear" w:color="auto" w:fill="FFFFFF"/>
        </w:rPr>
        <w:t xml:space="preserve">the </w:t>
      </w:r>
      <w:r w:rsidRPr="007915F2">
        <w:rPr>
          <w:rFonts w:ascii="Garamond" w:hAnsi="Garamond"/>
          <w:color w:val="333333"/>
          <w:sz w:val="24"/>
          <w:szCs w:val="24"/>
          <w:shd w:val="clear" w:color="auto" w:fill="FFFFFF"/>
        </w:rPr>
        <w:t xml:space="preserve">supply chain network </w:t>
      </w:r>
      <w:r w:rsidR="00D642A3" w:rsidRPr="007915F2">
        <w:rPr>
          <w:rFonts w:ascii="Garamond" w:hAnsi="Garamond"/>
          <w:color w:val="333333"/>
          <w:sz w:val="24"/>
          <w:szCs w:val="24"/>
          <w:shd w:val="clear" w:color="auto" w:fill="FFFFFF"/>
        </w:rPr>
        <w:t xml:space="preserve">is another measure of </w:t>
      </w:r>
      <w:r w:rsidR="007E11E2" w:rsidRPr="007915F2">
        <w:rPr>
          <w:rFonts w:ascii="Garamond" w:hAnsi="Garamond"/>
          <w:color w:val="333333"/>
          <w:sz w:val="24"/>
          <w:szCs w:val="24"/>
          <w:shd w:val="clear" w:color="auto" w:fill="FFFFFF"/>
        </w:rPr>
        <w:t xml:space="preserve">a </w:t>
      </w:r>
      <w:r w:rsidR="00D642A3" w:rsidRPr="007915F2">
        <w:rPr>
          <w:rFonts w:ascii="Garamond" w:hAnsi="Garamond"/>
          <w:color w:val="333333"/>
          <w:sz w:val="24"/>
          <w:szCs w:val="24"/>
          <w:shd w:val="clear" w:color="auto" w:fill="FFFFFF"/>
        </w:rPr>
        <w:t xml:space="preserve">firm’s influence on the supply chain. Firms with higher eccentricity are involved in </w:t>
      </w:r>
      <w:r w:rsidR="007E11E2" w:rsidRPr="007915F2">
        <w:rPr>
          <w:rFonts w:ascii="Garamond" w:hAnsi="Garamond"/>
          <w:color w:val="333333"/>
          <w:sz w:val="24"/>
          <w:szCs w:val="24"/>
          <w:shd w:val="clear" w:color="auto" w:fill="FFFFFF"/>
        </w:rPr>
        <w:t xml:space="preserve">the </w:t>
      </w:r>
      <w:r w:rsidR="00D642A3" w:rsidRPr="007915F2">
        <w:rPr>
          <w:rFonts w:ascii="Garamond" w:hAnsi="Garamond"/>
          <w:color w:val="333333"/>
          <w:sz w:val="24"/>
          <w:szCs w:val="24"/>
          <w:shd w:val="clear" w:color="auto" w:fill="FFFFFF"/>
        </w:rPr>
        <w:t xml:space="preserve">production of products </w:t>
      </w:r>
      <w:r w:rsidR="007E11E2" w:rsidRPr="007915F2">
        <w:rPr>
          <w:rFonts w:ascii="Garamond" w:hAnsi="Garamond"/>
          <w:sz w:val="24"/>
          <w:szCs w:val="24"/>
        </w:rPr>
        <w:t>that</w:t>
      </w:r>
      <w:r w:rsidR="00D642A3" w:rsidRPr="007915F2">
        <w:rPr>
          <w:rFonts w:ascii="Garamond" w:hAnsi="Garamond"/>
          <w:sz w:val="24"/>
          <w:szCs w:val="24"/>
        </w:rPr>
        <w:t xml:space="preserve"> require higher “transformation steps” (Nuss, Graedel, Alonso, Carroll, 2016).</w:t>
      </w:r>
      <w:r w:rsidR="0062520F" w:rsidRPr="007915F2">
        <w:rPr>
          <w:rFonts w:ascii="Garamond" w:hAnsi="Garamond"/>
          <w:sz w:val="24"/>
          <w:szCs w:val="24"/>
        </w:rPr>
        <w:t xml:space="preserve"> We argue that firms with higher eccentricity are mor</w:t>
      </w:r>
      <w:r w:rsidR="00F93A16" w:rsidRPr="007915F2">
        <w:rPr>
          <w:rFonts w:ascii="Garamond" w:hAnsi="Garamond"/>
          <w:sz w:val="24"/>
          <w:szCs w:val="24"/>
        </w:rPr>
        <w:t xml:space="preserve"> entrenched </w:t>
      </w:r>
      <w:r w:rsidR="00586D4D" w:rsidRPr="007915F2">
        <w:rPr>
          <w:rFonts w:ascii="Garamond" w:hAnsi="Garamond"/>
          <w:sz w:val="24"/>
          <w:szCs w:val="24"/>
        </w:rPr>
        <w:t xml:space="preserve">across </w:t>
      </w:r>
      <w:r w:rsidR="0062520F" w:rsidRPr="007915F2">
        <w:rPr>
          <w:rFonts w:ascii="Garamond" w:hAnsi="Garamond"/>
          <w:sz w:val="24"/>
          <w:szCs w:val="24"/>
        </w:rPr>
        <w:t>the industry</w:t>
      </w:r>
      <w:r w:rsidR="00586D4D" w:rsidRPr="007915F2">
        <w:rPr>
          <w:rFonts w:ascii="Garamond" w:hAnsi="Garamond"/>
          <w:sz w:val="24"/>
          <w:szCs w:val="24"/>
        </w:rPr>
        <w:t xml:space="preserve"> as a whole</w:t>
      </w:r>
      <w:r w:rsidR="0062520F" w:rsidRPr="007915F2">
        <w:rPr>
          <w:rFonts w:ascii="Garamond" w:hAnsi="Garamond"/>
          <w:sz w:val="24"/>
          <w:szCs w:val="24"/>
        </w:rPr>
        <w:t xml:space="preserve">. </w:t>
      </w:r>
      <w:r w:rsidR="009B4373" w:rsidRPr="007915F2">
        <w:rPr>
          <w:rFonts w:ascii="Garamond" w:hAnsi="Garamond"/>
          <w:color w:val="333333"/>
          <w:sz w:val="24"/>
          <w:szCs w:val="24"/>
          <w:shd w:val="clear" w:color="auto" w:fill="FFFFFF"/>
        </w:rPr>
        <w:t>Eccentricity is distinguished from other centrality measures used in this work as it is the only measure that we utilize in this work which is a representative of distance in network science.</w:t>
      </w:r>
      <w:r w:rsidR="00586D4D" w:rsidRPr="007915F2">
        <w:rPr>
          <w:rFonts w:ascii="Garamond" w:hAnsi="Garamond"/>
          <w:color w:val="333333"/>
          <w:sz w:val="24"/>
          <w:szCs w:val="24"/>
          <w:shd w:val="clear" w:color="auto" w:fill="FFFFFF"/>
        </w:rPr>
        <w:t xml:space="preserve"> </w:t>
      </w:r>
    </w:p>
    <w:p w14:paraId="3D6F8365" w14:textId="77777777" w:rsidR="005D3154" w:rsidRPr="007915F2" w:rsidRDefault="00EF2299" w:rsidP="00D61CD6">
      <w:pPr>
        <w:spacing w:after="0" w:line="240" w:lineRule="auto"/>
        <w:jc w:val="both"/>
        <w:rPr>
          <w:rFonts w:ascii="Garamond" w:hAnsi="Garamond"/>
          <w:sz w:val="24"/>
          <w:szCs w:val="24"/>
        </w:rPr>
      </w:pPr>
      <w:r w:rsidRPr="007915F2">
        <w:rPr>
          <w:rFonts w:ascii="Garamond" w:hAnsi="Garamond"/>
          <w:b/>
          <w:color w:val="333333"/>
          <w:sz w:val="24"/>
          <w:szCs w:val="24"/>
          <w:shd w:val="clear" w:color="auto" w:fill="FFFFFF"/>
        </w:rPr>
        <w:t>C</w:t>
      </w:r>
      <w:r w:rsidR="00C35D8E" w:rsidRPr="007915F2">
        <w:rPr>
          <w:rFonts w:ascii="Garamond" w:hAnsi="Garamond"/>
          <w:b/>
          <w:color w:val="333333"/>
          <w:sz w:val="24"/>
          <w:szCs w:val="24"/>
          <w:shd w:val="clear" w:color="auto" w:fill="FFFFFF"/>
        </w:rPr>
        <w:t>loseness</w:t>
      </w:r>
      <w:r w:rsidRPr="007915F2">
        <w:rPr>
          <w:rFonts w:ascii="Garamond" w:hAnsi="Garamond"/>
          <w:b/>
          <w:color w:val="333333"/>
          <w:sz w:val="24"/>
          <w:szCs w:val="24"/>
          <w:shd w:val="clear" w:color="auto" w:fill="FFFFFF"/>
        </w:rPr>
        <w:t>:</w:t>
      </w:r>
      <w:r w:rsidR="00845AB5" w:rsidRPr="007915F2">
        <w:rPr>
          <w:rFonts w:ascii="Garamond" w:hAnsi="Garamond"/>
          <w:b/>
          <w:color w:val="333333"/>
          <w:sz w:val="24"/>
          <w:szCs w:val="24"/>
          <w:shd w:val="clear" w:color="auto" w:fill="FFFFFF"/>
        </w:rPr>
        <w:t xml:space="preserve"> </w:t>
      </w:r>
      <w:r w:rsidR="005D3154" w:rsidRPr="007915F2">
        <w:rPr>
          <w:rFonts w:ascii="Garamond" w:hAnsi="Garamond"/>
          <w:color w:val="333333"/>
          <w:sz w:val="24"/>
          <w:szCs w:val="24"/>
          <w:shd w:val="clear" w:color="auto" w:fill="FFFFFF"/>
        </w:rPr>
        <w:t>Closeness centrality measures the “average supply-chain length”</w:t>
      </w:r>
      <w:r w:rsidR="005D3154" w:rsidRPr="007915F2">
        <w:rPr>
          <w:rFonts w:ascii="Garamond" w:hAnsi="Garamond"/>
          <w:sz w:val="24"/>
          <w:szCs w:val="24"/>
        </w:rPr>
        <w:t>; It “measures the length of the average shortest path between the” firm and all other firms in the supply chain network</w:t>
      </w:r>
      <w:r w:rsidR="00446264" w:rsidRPr="007915F2">
        <w:rPr>
          <w:rFonts w:ascii="Garamond" w:hAnsi="Garamond"/>
          <w:sz w:val="24"/>
          <w:szCs w:val="24"/>
        </w:rPr>
        <w:t xml:space="preserve"> </w:t>
      </w:r>
      <w:r w:rsidR="005D3154" w:rsidRPr="007915F2">
        <w:rPr>
          <w:rFonts w:ascii="Garamond" w:hAnsi="Garamond"/>
          <w:color w:val="333333"/>
          <w:sz w:val="24"/>
          <w:szCs w:val="24"/>
          <w:shd w:val="clear" w:color="auto" w:fill="FFFFFF"/>
        </w:rPr>
        <w:t>(</w:t>
      </w:r>
      <w:r w:rsidR="00446264" w:rsidRPr="007915F2">
        <w:rPr>
          <w:rFonts w:ascii="Garamond" w:hAnsi="Garamond"/>
          <w:color w:val="333333"/>
          <w:sz w:val="24"/>
          <w:szCs w:val="24"/>
          <w:shd w:val="clear" w:color="auto" w:fill="FFFFFF"/>
        </w:rPr>
        <w:t>Nuss, Graedel, Alonso and Carroll, 2016</w:t>
      </w:r>
      <w:r w:rsidR="005D3154" w:rsidRPr="007915F2">
        <w:rPr>
          <w:rFonts w:ascii="Garamond" w:hAnsi="Garamond"/>
          <w:sz w:val="24"/>
          <w:szCs w:val="24"/>
        </w:rPr>
        <w:t>). Firms with lower closeness “are connected to shorter supply chains”, are “less likely to encounter distortion”, “their supply chains are at lower risk” (Nuss</w:t>
      </w:r>
      <w:r w:rsidR="00A17419" w:rsidRPr="007915F2">
        <w:rPr>
          <w:rFonts w:ascii="Garamond" w:hAnsi="Garamond"/>
          <w:sz w:val="24"/>
          <w:szCs w:val="24"/>
        </w:rPr>
        <w:t xml:space="preserve"> et al.</w:t>
      </w:r>
      <w:r w:rsidR="005D3154" w:rsidRPr="007915F2">
        <w:rPr>
          <w:rFonts w:ascii="Garamond" w:hAnsi="Garamond"/>
          <w:sz w:val="24"/>
          <w:szCs w:val="24"/>
        </w:rPr>
        <w:t>, 2016) and have higher “distance [from] all other” firms (Li, Zobel, Seref and Chatfield, 2020). Li et al. (2020) describe that increased closeness can be a sign of a disruption taking place across the supply chain.</w:t>
      </w:r>
    </w:p>
    <w:p w14:paraId="7A1097A5" w14:textId="77777777" w:rsidR="00393247" w:rsidRPr="007915F2" w:rsidRDefault="005D3154" w:rsidP="00D61CD6">
      <w:pPr>
        <w:spacing w:after="0" w:line="240" w:lineRule="auto"/>
        <w:jc w:val="both"/>
        <w:rPr>
          <w:rFonts w:ascii="Garamond" w:hAnsi="Garamond"/>
          <w:b/>
          <w:color w:val="333333"/>
          <w:sz w:val="24"/>
          <w:szCs w:val="24"/>
          <w:shd w:val="clear" w:color="auto" w:fill="FFFFFF"/>
        </w:rPr>
      </w:pPr>
      <w:r w:rsidRPr="007915F2">
        <w:rPr>
          <w:rFonts w:ascii="Garamond" w:hAnsi="Garamond"/>
          <w:b/>
          <w:color w:val="333333"/>
          <w:sz w:val="24"/>
          <w:szCs w:val="24"/>
          <w:shd w:val="clear" w:color="auto" w:fill="FFFFFF"/>
        </w:rPr>
        <w:t>E</w:t>
      </w:r>
      <w:r w:rsidR="00C35D8E" w:rsidRPr="007915F2">
        <w:rPr>
          <w:rFonts w:ascii="Garamond" w:hAnsi="Garamond"/>
          <w:b/>
          <w:color w:val="333333"/>
          <w:sz w:val="24"/>
          <w:szCs w:val="24"/>
          <w:shd w:val="clear" w:color="auto" w:fill="FFFFFF"/>
        </w:rPr>
        <w:t>igenvector</w:t>
      </w:r>
      <w:r w:rsidRPr="007915F2">
        <w:rPr>
          <w:rFonts w:ascii="Garamond" w:hAnsi="Garamond"/>
          <w:b/>
          <w:color w:val="333333"/>
          <w:sz w:val="24"/>
          <w:szCs w:val="24"/>
          <w:shd w:val="clear" w:color="auto" w:fill="FFFFFF"/>
        </w:rPr>
        <w:t>:</w:t>
      </w:r>
      <w:r w:rsidR="00393247" w:rsidRPr="007915F2">
        <w:rPr>
          <w:rFonts w:ascii="Garamond" w:hAnsi="Garamond"/>
          <w:b/>
          <w:color w:val="333333"/>
          <w:sz w:val="24"/>
          <w:szCs w:val="24"/>
          <w:shd w:val="clear" w:color="auto" w:fill="FFFFFF"/>
        </w:rPr>
        <w:t xml:space="preserve"> </w:t>
      </w:r>
      <w:r w:rsidR="00393247" w:rsidRPr="007915F2">
        <w:rPr>
          <w:rFonts w:ascii="Garamond" w:hAnsi="Garamond"/>
          <w:color w:val="333333"/>
          <w:sz w:val="24"/>
          <w:szCs w:val="24"/>
          <w:shd w:val="clear" w:color="auto" w:fill="FFFFFF"/>
        </w:rPr>
        <w:t>Eigenvector centrality is</w:t>
      </w:r>
      <w:r w:rsidR="00393247" w:rsidRPr="007915F2">
        <w:rPr>
          <w:rFonts w:ascii="Garamond" w:hAnsi="Garamond"/>
          <w:b/>
          <w:color w:val="333333"/>
          <w:sz w:val="24"/>
          <w:szCs w:val="24"/>
          <w:shd w:val="clear" w:color="auto" w:fill="FFFFFF"/>
        </w:rPr>
        <w:t xml:space="preserve"> </w:t>
      </w:r>
      <w:r w:rsidR="00BE42CF" w:rsidRPr="007915F2">
        <w:rPr>
          <w:rFonts w:ascii="Garamond" w:hAnsi="Garamond"/>
          <w:color w:val="333333"/>
          <w:sz w:val="24"/>
          <w:szCs w:val="24"/>
          <w:shd w:val="clear" w:color="auto" w:fill="FFFFFF"/>
        </w:rPr>
        <w:t xml:space="preserve">one of the most commonly used global measures of </w:t>
      </w:r>
      <w:r w:rsidR="0055198F" w:rsidRPr="007915F2">
        <w:rPr>
          <w:rFonts w:ascii="Garamond" w:hAnsi="Garamond"/>
          <w:color w:val="333333"/>
          <w:sz w:val="24"/>
          <w:szCs w:val="24"/>
          <w:shd w:val="clear" w:color="auto" w:fill="FFFFFF"/>
        </w:rPr>
        <w:t xml:space="preserve">the </w:t>
      </w:r>
      <w:r w:rsidR="00BE42CF" w:rsidRPr="007915F2">
        <w:rPr>
          <w:rFonts w:ascii="Garamond" w:hAnsi="Garamond"/>
          <w:color w:val="333333"/>
          <w:sz w:val="24"/>
          <w:szCs w:val="24"/>
          <w:shd w:val="clear" w:color="auto" w:fill="FFFFFF"/>
        </w:rPr>
        <w:t>importance of a node in the network</w:t>
      </w:r>
      <w:r w:rsidR="00BE42CF" w:rsidRPr="007915F2">
        <w:rPr>
          <w:rFonts w:ascii="Garamond" w:hAnsi="Garamond"/>
          <w:b/>
          <w:color w:val="333333"/>
          <w:sz w:val="24"/>
          <w:szCs w:val="24"/>
          <w:shd w:val="clear" w:color="auto" w:fill="FFFFFF"/>
        </w:rPr>
        <w:t xml:space="preserve"> </w:t>
      </w:r>
      <w:r w:rsidR="00BE42CF" w:rsidRPr="007915F2">
        <w:rPr>
          <w:rFonts w:ascii="Garamond" w:hAnsi="Garamond"/>
          <w:color w:val="333333"/>
          <w:sz w:val="24"/>
          <w:szCs w:val="24"/>
          <w:shd w:val="clear" w:color="auto" w:fill="FFFFFF"/>
        </w:rPr>
        <w:t>(Li et al. 2020). “Global</w:t>
      </w:r>
      <w:r w:rsidR="007A3D25" w:rsidRPr="007915F2">
        <w:rPr>
          <w:rFonts w:ascii="Garamond" w:hAnsi="Garamond"/>
          <w:color w:val="333333"/>
          <w:sz w:val="24"/>
          <w:szCs w:val="24"/>
          <w:shd w:val="clear" w:color="auto" w:fill="FFFFFF"/>
        </w:rPr>
        <w:t>”</w:t>
      </w:r>
      <w:r w:rsidR="00BE42CF" w:rsidRPr="007915F2">
        <w:rPr>
          <w:rFonts w:ascii="Garamond" w:hAnsi="Garamond"/>
          <w:color w:val="333333"/>
          <w:sz w:val="24"/>
          <w:szCs w:val="24"/>
          <w:shd w:val="clear" w:color="auto" w:fill="FFFFFF"/>
        </w:rPr>
        <w:t xml:space="preserve"> measure</w:t>
      </w:r>
      <w:r w:rsidR="007A3D25" w:rsidRPr="007915F2">
        <w:rPr>
          <w:rFonts w:ascii="Garamond" w:hAnsi="Garamond"/>
          <w:color w:val="333333"/>
          <w:sz w:val="24"/>
          <w:szCs w:val="24"/>
          <w:shd w:val="clear" w:color="auto" w:fill="FFFFFF"/>
        </w:rPr>
        <w:t xml:space="preserve"> here</w:t>
      </w:r>
      <w:r w:rsidR="00BE42CF" w:rsidRPr="007915F2">
        <w:rPr>
          <w:rFonts w:ascii="Garamond" w:hAnsi="Garamond"/>
          <w:color w:val="333333"/>
          <w:sz w:val="24"/>
          <w:szCs w:val="24"/>
          <w:shd w:val="clear" w:color="auto" w:fill="FFFFFF"/>
        </w:rPr>
        <w:t xml:space="preserve"> is defined as </w:t>
      </w:r>
      <w:r w:rsidR="0055198F" w:rsidRPr="007915F2">
        <w:rPr>
          <w:rFonts w:ascii="Garamond" w:hAnsi="Garamond"/>
          <w:color w:val="333333"/>
          <w:sz w:val="24"/>
          <w:szCs w:val="24"/>
          <w:shd w:val="clear" w:color="auto" w:fill="FFFFFF"/>
        </w:rPr>
        <w:t>o</w:t>
      </w:r>
      <w:r w:rsidR="00BE42CF" w:rsidRPr="007915F2">
        <w:rPr>
          <w:rFonts w:ascii="Garamond" w:hAnsi="Garamond"/>
          <w:color w:val="333333"/>
          <w:sz w:val="24"/>
          <w:szCs w:val="24"/>
          <w:shd w:val="clear" w:color="auto" w:fill="FFFFFF"/>
        </w:rPr>
        <w:t>pposed to a “local”</w:t>
      </w:r>
      <w:r w:rsidR="007A3D25" w:rsidRPr="007915F2">
        <w:rPr>
          <w:rFonts w:ascii="Garamond" w:hAnsi="Garamond"/>
          <w:color w:val="333333"/>
          <w:sz w:val="24"/>
          <w:szCs w:val="24"/>
          <w:shd w:val="clear" w:color="auto" w:fill="FFFFFF"/>
        </w:rPr>
        <w:t xml:space="preserve"> measure. A global measure takes into account the whole connected network to measure the importance of a node (Besri and Boulmakoul, 2017). For example, in the case of eigenvector centrality, all the nodes in the network are given a score and the importance </w:t>
      </w:r>
      <w:r w:rsidR="0055198F" w:rsidRPr="007915F2">
        <w:rPr>
          <w:rFonts w:ascii="Garamond" w:hAnsi="Garamond"/>
          <w:color w:val="333333"/>
          <w:sz w:val="24"/>
          <w:szCs w:val="24"/>
          <w:shd w:val="clear" w:color="auto" w:fill="FFFFFF"/>
        </w:rPr>
        <w:t>o</w:t>
      </w:r>
      <w:r w:rsidR="007A3D25" w:rsidRPr="007915F2">
        <w:rPr>
          <w:rFonts w:ascii="Garamond" w:hAnsi="Garamond"/>
          <w:color w:val="333333"/>
          <w:sz w:val="24"/>
          <w:szCs w:val="24"/>
          <w:shd w:val="clear" w:color="auto" w:fill="FFFFFF"/>
        </w:rPr>
        <w:t>f each node is measured based</w:t>
      </w:r>
      <w:r w:rsidR="0055198F" w:rsidRPr="007915F2">
        <w:rPr>
          <w:rFonts w:ascii="Garamond" w:hAnsi="Garamond"/>
          <w:color w:val="333333"/>
          <w:sz w:val="24"/>
          <w:szCs w:val="24"/>
          <w:shd w:val="clear" w:color="auto" w:fill="FFFFFF"/>
        </w:rPr>
        <w:t xml:space="preserve"> on the importance</w:t>
      </w:r>
      <w:r w:rsidR="007A3D25" w:rsidRPr="007915F2">
        <w:rPr>
          <w:rFonts w:ascii="Garamond" w:hAnsi="Garamond"/>
          <w:color w:val="333333"/>
          <w:sz w:val="24"/>
          <w:szCs w:val="24"/>
          <w:shd w:val="clear" w:color="auto" w:fill="FFFFFF"/>
        </w:rPr>
        <w:t xml:space="preserve"> </w:t>
      </w:r>
      <w:r w:rsidR="0055198F" w:rsidRPr="007915F2">
        <w:rPr>
          <w:rFonts w:ascii="Garamond" w:hAnsi="Garamond"/>
          <w:color w:val="333333"/>
          <w:sz w:val="24"/>
          <w:szCs w:val="24"/>
          <w:shd w:val="clear" w:color="auto" w:fill="FFFFFF"/>
        </w:rPr>
        <w:t xml:space="preserve">of </w:t>
      </w:r>
      <w:r w:rsidR="007A3D25" w:rsidRPr="007915F2">
        <w:rPr>
          <w:rFonts w:ascii="Garamond" w:hAnsi="Garamond"/>
          <w:color w:val="333333"/>
          <w:sz w:val="24"/>
          <w:szCs w:val="24"/>
          <w:shd w:val="clear" w:color="auto" w:fill="FFFFFF"/>
        </w:rPr>
        <w:t>its forward and backward connections. However, in-degree and out-degree are considered local measures since the importance of each node is based in immediate backward and forward connections.</w:t>
      </w:r>
    </w:p>
    <w:p w14:paraId="69967C57" w14:textId="77777777" w:rsidR="006817DE" w:rsidRPr="007915F2" w:rsidRDefault="002E066C"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We hypothesis that f</w:t>
      </w:r>
      <w:r w:rsidR="006817DE" w:rsidRPr="007915F2">
        <w:rPr>
          <w:rFonts w:ascii="Garamond" w:hAnsi="Garamond"/>
          <w:color w:val="333333"/>
          <w:sz w:val="24"/>
          <w:szCs w:val="24"/>
          <w:shd w:val="clear" w:color="auto" w:fill="FFFFFF"/>
        </w:rPr>
        <w:t>irms with higher eigenvector are expected to be able to capture more value and could ha</w:t>
      </w:r>
      <w:r w:rsidRPr="007915F2">
        <w:rPr>
          <w:rFonts w:ascii="Garamond" w:hAnsi="Garamond"/>
          <w:color w:val="333333"/>
          <w:sz w:val="24"/>
          <w:szCs w:val="24"/>
          <w:shd w:val="clear" w:color="auto" w:fill="FFFFFF"/>
        </w:rPr>
        <w:t xml:space="preserve">ve better financial performance in comparison to their industry </w:t>
      </w:r>
      <w:r w:rsidR="006D13BA" w:rsidRPr="007915F2">
        <w:rPr>
          <w:rFonts w:ascii="Garamond" w:hAnsi="Garamond"/>
          <w:color w:val="333333"/>
          <w:sz w:val="24"/>
          <w:szCs w:val="24"/>
          <w:shd w:val="clear" w:color="auto" w:fill="FFFFFF"/>
        </w:rPr>
        <w:t>competitors</w:t>
      </w:r>
      <w:r w:rsidRPr="007915F2">
        <w:rPr>
          <w:rFonts w:ascii="Garamond" w:hAnsi="Garamond"/>
          <w:color w:val="333333"/>
          <w:sz w:val="24"/>
          <w:szCs w:val="24"/>
          <w:shd w:val="clear" w:color="auto" w:fill="FFFFFF"/>
        </w:rPr>
        <w:t>.</w:t>
      </w:r>
      <w:r w:rsidR="007A3D25" w:rsidRPr="007915F2">
        <w:rPr>
          <w:rFonts w:ascii="Garamond" w:hAnsi="Garamond"/>
          <w:color w:val="333333"/>
          <w:sz w:val="24"/>
          <w:szCs w:val="24"/>
          <w:shd w:val="clear" w:color="auto" w:fill="FFFFFF"/>
        </w:rPr>
        <w:t xml:space="preserve"> </w:t>
      </w:r>
    </w:p>
    <w:p w14:paraId="4D2D08EB" w14:textId="2C73D247" w:rsidR="00FE33BD" w:rsidRPr="007915F2" w:rsidRDefault="00E52C47" w:rsidP="00D61CD6">
      <w:pPr>
        <w:spacing w:after="0" w:line="240" w:lineRule="auto"/>
        <w:jc w:val="both"/>
        <w:rPr>
          <w:rFonts w:ascii="Garamond" w:hAnsi="Garamond"/>
          <w:color w:val="333333"/>
          <w:sz w:val="24"/>
          <w:szCs w:val="24"/>
          <w:shd w:val="clear" w:color="auto" w:fill="FFFFFF"/>
        </w:rPr>
      </w:pPr>
      <w:r w:rsidRPr="007915F2">
        <w:rPr>
          <w:rFonts w:ascii="Garamond" w:hAnsi="Garamond"/>
          <w:b/>
          <w:color w:val="333333"/>
          <w:sz w:val="24"/>
          <w:szCs w:val="24"/>
          <w:shd w:val="clear" w:color="auto" w:fill="FFFFFF"/>
        </w:rPr>
        <w:t>A</w:t>
      </w:r>
      <w:r w:rsidR="00C35D8E" w:rsidRPr="007915F2">
        <w:rPr>
          <w:rFonts w:ascii="Garamond" w:hAnsi="Garamond"/>
          <w:b/>
          <w:color w:val="333333"/>
          <w:sz w:val="24"/>
          <w:szCs w:val="24"/>
          <w:shd w:val="clear" w:color="auto" w:fill="FFFFFF"/>
        </w:rPr>
        <w:t>uthority</w:t>
      </w:r>
      <w:r w:rsidRPr="007915F2">
        <w:rPr>
          <w:rFonts w:ascii="Garamond" w:hAnsi="Garamond"/>
          <w:color w:val="333333"/>
          <w:sz w:val="24"/>
          <w:szCs w:val="24"/>
          <w:shd w:val="clear" w:color="auto" w:fill="FFFFFF"/>
        </w:rPr>
        <w:t xml:space="preserve">: </w:t>
      </w:r>
      <w:r w:rsidR="00F93A16" w:rsidRPr="007915F2">
        <w:rPr>
          <w:rFonts w:ascii="Garamond" w:hAnsi="Garamond"/>
          <w:color w:val="333333"/>
          <w:sz w:val="24"/>
          <w:szCs w:val="24"/>
          <w:shd w:val="clear" w:color="auto" w:fill="FFFFFF"/>
        </w:rPr>
        <w:t xml:space="preserve">According to </w:t>
      </w:r>
      <w:r w:rsidR="00FE33BD" w:rsidRPr="007915F2">
        <w:rPr>
          <w:rFonts w:ascii="Garamond" w:hAnsi="Garamond"/>
          <w:color w:val="333333"/>
          <w:sz w:val="24"/>
          <w:szCs w:val="24"/>
          <w:shd w:val="clear" w:color="auto" w:fill="FFFFFF"/>
        </w:rPr>
        <w:t xml:space="preserve">Kleinberg (1999) </w:t>
      </w:r>
      <w:r w:rsidR="00F93A16" w:rsidRPr="007915F2">
        <w:rPr>
          <w:rFonts w:ascii="Garamond" w:hAnsi="Garamond"/>
          <w:color w:val="333333"/>
          <w:sz w:val="24"/>
          <w:szCs w:val="24"/>
          <w:shd w:val="clear" w:color="auto" w:fill="FFFFFF"/>
        </w:rPr>
        <w:t xml:space="preserve">‘Authority’ </w:t>
      </w:r>
      <w:r w:rsidR="00FE33BD" w:rsidRPr="007915F2">
        <w:rPr>
          <w:rFonts w:ascii="Garamond" w:hAnsi="Garamond"/>
          <w:color w:val="333333"/>
          <w:sz w:val="24"/>
          <w:szCs w:val="24"/>
          <w:shd w:val="clear" w:color="auto" w:fill="FFFFFF"/>
        </w:rPr>
        <w:t>refers to the “most often” or “most prominent” node in the network</w:t>
      </w:r>
      <w:r w:rsidR="00F93A16" w:rsidRPr="007915F2">
        <w:rPr>
          <w:rFonts w:ascii="Garamond" w:hAnsi="Garamond"/>
          <w:color w:val="333333"/>
          <w:sz w:val="24"/>
          <w:szCs w:val="24"/>
          <w:shd w:val="clear" w:color="auto" w:fill="FFFFFF"/>
        </w:rPr>
        <w:t>.</w:t>
      </w:r>
      <w:r w:rsidR="00FE33BD" w:rsidRPr="007915F2">
        <w:rPr>
          <w:rFonts w:ascii="Garamond" w:hAnsi="Garamond"/>
          <w:color w:val="333333"/>
          <w:sz w:val="24"/>
          <w:szCs w:val="24"/>
          <w:shd w:val="clear" w:color="auto" w:fill="FFFFFF"/>
        </w:rPr>
        <w:t xml:space="preserve"> As authority uses direct network and hubs to identify </w:t>
      </w:r>
      <w:r w:rsidR="007E11E2" w:rsidRPr="007915F2">
        <w:rPr>
          <w:rFonts w:ascii="Garamond" w:hAnsi="Garamond"/>
          <w:color w:val="333333"/>
          <w:sz w:val="24"/>
          <w:szCs w:val="24"/>
          <w:shd w:val="clear" w:color="auto" w:fill="FFFFFF"/>
        </w:rPr>
        <w:t xml:space="preserve">the </w:t>
      </w:r>
      <w:r w:rsidR="00FE33BD" w:rsidRPr="007915F2">
        <w:rPr>
          <w:rFonts w:ascii="Garamond" w:hAnsi="Garamond"/>
          <w:color w:val="333333"/>
          <w:sz w:val="24"/>
          <w:szCs w:val="24"/>
          <w:shd w:val="clear" w:color="auto" w:fill="FFFFFF"/>
        </w:rPr>
        <w:t>utilization of a node in a network. “</w:t>
      </w:r>
      <w:r w:rsidR="00FE33BD" w:rsidRPr="007915F2">
        <w:rPr>
          <w:rFonts w:ascii="Garamond" w:hAnsi="Garamond"/>
          <w:sz w:val="24"/>
          <w:szCs w:val="24"/>
        </w:rPr>
        <w:t>Hubs are nodes which point to many nodes of the type considered important [and] authorities are these important nodes” (</w:t>
      </w:r>
      <w:r w:rsidR="007B0E51" w:rsidRPr="007915F2">
        <w:rPr>
          <w:rFonts w:ascii="Garamond" w:hAnsi="Garamond"/>
          <w:color w:val="333333"/>
          <w:sz w:val="24"/>
          <w:szCs w:val="24"/>
          <w:shd w:val="clear" w:color="auto" w:fill="FFFFFF"/>
        </w:rPr>
        <w:t>Benzi, Estrada and Klymko, 2013</w:t>
      </w:r>
      <w:r w:rsidR="00FE33BD" w:rsidRPr="007915F2">
        <w:rPr>
          <w:rFonts w:ascii="Garamond" w:hAnsi="Garamond"/>
          <w:sz w:val="24"/>
          <w:szCs w:val="24"/>
        </w:rPr>
        <w:t>).</w:t>
      </w:r>
      <w:r w:rsidR="00FE33BD" w:rsidRPr="007915F2">
        <w:rPr>
          <w:rFonts w:ascii="Garamond" w:hAnsi="Garamond"/>
          <w:color w:val="333333"/>
          <w:sz w:val="24"/>
          <w:szCs w:val="24"/>
          <w:shd w:val="clear" w:color="auto" w:fill="FFFFFF"/>
        </w:rPr>
        <w:t xml:space="preserve"> </w:t>
      </w:r>
      <w:r w:rsidR="007E11E2" w:rsidRPr="007915F2">
        <w:rPr>
          <w:rFonts w:ascii="Garamond" w:hAnsi="Garamond"/>
          <w:color w:val="333333"/>
          <w:sz w:val="24"/>
          <w:szCs w:val="24"/>
          <w:shd w:val="clear" w:color="auto" w:fill="FFFFFF"/>
        </w:rPr>
        <w:t>Firms</w:t>
      </w:r>
      <w:r w:rsidR="00D948E9" w:rsidRPr="007915F2">
        <w:rPr>
          <w:rFonts w:ascii="Garamond" w:hAnsi="Garamond"/>
          <w:color w:val="333333"/>
          <w:sz w:val="24"/>
          <w:szCs w:val="24"/>
          <w:shd w:val="clear" w:color="auto" w:fill="FFFFFF"/>
        </w:rPr>
        <w:t xml:space="preserve"> with higher authority measures “more diverse are its relationships due to flows of different product-types within the network” (Seiler, Papanagnou and Scarf, 2020). These firms have higher negotiation power, their products are more complex, and their profit margins are expected to </w:t>
      </w:r>
      <w:r w:rsidR="00F93A16" w:rsidRPr="007915F2">
        <w:rPr>
          <w:rFonts w:ascii="Garamond" w:hAnsi="Garamond"/>
          <w:color w:val="333333"/>
          <w:sz w:val="24"/>
          <w:szCs w:val="24"/>
          <w:shd w:val="clear" w:color="auto" w:fill="FFFFFF"/>
        </w:rPr>
        <w:t xml:space="preserve">be </w:t>
      </w:r>
      <w:r w:rsidR="00D948E9" w:rsidRPr="007915F2">
        <w:rPr>
          <w:rFonts w:ascii="Garamond" w:hAnsi="Garamond"/>
          <w:color w:val="333333"/>
          <w:sz w:val="24"/>
          <w:szCs w:val="24"/>
          <w:shd w:val="clear" w:color="auto" w:fill="FFFFFF"/>
        </w:rPr>
        <w:t>higher.</w:t>
      </w:r>
    </w:p>
    <w:p w14:paraId="53BC0E1D" w14:textId="58FA38AF" w:rsidR="00370E57" w:rsidRPr="007915F2" w:rsidRDefault="00D948E9" w:rsidP="00D61CD6">
      <w:pPr>
        <w:spacing w:after="0" w:line="240" w:lineRule="auto"/>
        <w:jc w:val="both"/>
        <w:rPr>
          <w:rFonts w:ascii="Garamond" w:hAnsi="Garamond"/>
          <w:b/>
          <w:color w:val="333333"/>
          <w:sz w:val="24"/>
          <w:szCs w:val="24"/>
          <w:shd w:val="clear" w:color="auto" w:fill="FFFFFF"/>
        </w:rPr>
      </w:pPr>
      <w:r w:rsidRPr="007915F2">
        <w:rPr>
          <w:rFonts w:ascii="Garamond" w:hAnsi="Garamond"/>
          <w:b/>
          <w:color w:val="333333"/>
          <w:sz w:val="24"/>
          <w:szCs w:val="24"/>
          <w:shd w:val="clear" w:color="auto" w:fill="FFFFFF"/>
        </w:rPr>
        <w:t xml:space="preserve">Page rank: </w:t>
      </w:r>
      <w:r w:rsidR="00D959D0" w:rsidRPr="007915F2">
        <w:rPr>
          <w:rFonts w:ascii="Garamond" w:hAnsi="Garamond"/>
          <w:color w:val="333333"/>
          <w:sz w:val="24"/>
          <w:szCs w:val="24"/>
          <w:shd w:val="clear" w:color="auto" w:fill="FFFFFF"/>
        </w:rPr>
        <w:t>Page rank identifies</w:t>
      </w:r>
      <w:r w:rsidRPr="007915F2">
        <w:rPr>
          <w:rFonts w:ascii="Garamond" w:hAnsi="Garamond"/>
          <w:color w:val="333333"/>
          <w:sz w:val="24"/>
          <w:szCs w:val="24"/>
          <w:shd w:val="clear" w:color="auto" w:fill="FFFFFF"/>
        </w:rPr>
        <w:t xml:space="preserve"> the </w:t>
      </w:r>
      <w:r w:rsidR="007E6938" w:rsidRPr="007915F2">
        <w:rPr>
          <w:rFonts w:ascii="Garamond" w:hAnsi="Garamond"/>
          <w:color w:val="333333"/>
          <w:sz w:val="24"/>
          <w:szCs w:val="24"/>
          <w:shd w:val="clear" w:color="auto" w:fill="FFFFFF"/>
        </w:rPr>
        <w:t>firms</w:t>
      </w:r>
      <w:r w:rsidR="00D959D0" w:rsidRPr="007915F2">
        <w:rPr>
          <w:rFonts w:ascii="Garamond" w:hAnsi="Garamond"/>
          <w:color w:val="333333"/>
          <w:sz w:val="24"/>
          <w:szCs w:val="24"/>
          <w:shd w:val="clear" w:color="auto" w:fill="FFFFFF"/>
        </w:rPr>
        <w:t xml:space="preserve"> where most of the supply of the network end-up</w:t>
      </w:r>
      <w:r w:rsidR="007E6938" w:rsidRPr="007915F2">
        <w:rPr>
          <w:rFonts w:ascii="Garamond" w:hAnsi="Garamond"/>
          <w:color w:val="333333"/>
          <w:sz w:val="24"/>
          <w:szCs w:val="24"/>
          <w:shd w:val="clear" w:color="auto" w:fill="FFFFFF"/>
        </w:rPr>
        <w:t xml:space="preserve">. Firms with higher </w:t>
      </w:r>
      <w:r w:rsidR="00D959D0" w:rsidRPr="007915F2">
        <w:rPr>
          <w:rFonts w:ascii="Garamond" w:hAnsi="Garamond"/>
          <w:color w:val="333333"/>
          <w:sz w:val="24"/>
          <w:szCs w:val="24"/>
          <w:shd w:val="clear" w:color="auto" w:fill="FFFFFF"/>
        </w:rPr>
        <w:t>page-</w:t>
      </w:r>
      <w:r w:rsidR="007E6938" w:rsidRPr="007915F2">
        <w:rPr>
          <w:rFonts w:ascii="Garamond" w:hAnsi="Garamond"/>
          <w:color w:val="333333"/>
          <w:sz w:val="24"/>
          <w:szCs w:val="24"/>
          <w:shd w:val="clear" w:color="auto" w:fill="FFFFFF"/>
        </w:rPr>
        <w:t xml:space="preserve">rank receive </w:t>
      </w:r>
      <w:r w:rsidR="00D959D0" w:rsidRPr="007915F2">
        <w:rPr>
          <w:rFonts w:ascii="Garamond" w:hAnsi="Garamond"/>
          <w:color w:val="333333"/>
          <w:sz w:val="24"/>
          <w:szCs w:val="24"/>
          <w:shd w:val="clear" w:color="auto" w:fill="FFFFFF"/>
        </w:rPr>
        <w:t>inputs from a</w:t>
      </w:r>
      <w:r w:rsidR="007E6938" w:rsidRPr="007915F2">
        <w:rPr>
          <w:rFonts w:ascii="Garamond" w:hAnsi="Garamond"/>
          <w:color w:val="333333"/>
          <w:sz w:val="24"/>
          <w:szCs w:val="24"/>
          <w:shd w:val="clear" w:color="auto" w:fill="FFFFFF"/>
        </w:rPr>
        <w:t xml:space="preserve"> larger number of firms. This measure is similar to in-degree</w:t>
      </w:r>
      <w:r w:rsidR="00F93A16" w:rsidRPr="007915F2">
        <w:rPr>
          <w:rFonts w:ascii="Garamond" w:hAnsi="Garamond"/>
          <w:color w:val="333333"/>
          <w:sz w:val="24"/>
          <w:szCs w:val="24"/>
          <w:shd w:val="clear" w:color="auto" w:fill="FFFFFF"/>
        </w:rPr>
        <w:t xml:space="preserve">.  </w:t>
      </w:r>
      <w:r w:rsidR="007E6938" w:rsidRPr="007915F2">
        <w:rPr>
          <w:rFonts w:ascii="Garamond" w:hAnsi="Garamond"/>
          <w:color w:val="333333"/>
          <w:sz w:val="24"/>
          <w:szCs w:val="24"/>
          <w:shd w:val="clear" w:color="auto" w:fill="FFFFFF"/>
        </w:rPr>
        <w:t xml:space="preserve"> </w:t>
      </w:r>
      <w:r w:rsidR="00F93A16" w:rsidRPr="007915F2">
        <w:rPr>
          <w:rFonts w:ascii="Garamond" w:hAnsi="Garamond"/>
          <w:color w:val="333333"/>
          <w:sz w:val="24"/>
          <w:szCs w:val="24"/>
          <w:shd w:val="clear" w:color="auto" w:fill="FFFFFF"/>
        </w:rPr>
        <w:t xml:space="preserve"> However, </w:t>
      </w:r>
      <w:r w:rsidR="007E6938" w:rsidRPr="007915F2">
        <w:rPr>
          <w:rFonts w:ascii="Garamond" w:hAnsi="Garamond"/>
          <w:color w:val="333333"/>
          <w:sz w:val="24"/>
          <w:szCs w:val="24"/>
          <w:shd w:val="clear" w:color="auto" w:fill="FFFFFF"/>
        </w:rPr>
        <w:t>while in-degree is a local</w:t>
      </w:r>
      <w:r w:rsidR="00D959D0" w:rsidRPr="007915F2">
        <w:rPr>
          <w:rFonts w:ascii="Garamond" w:hAnsi="Garamond"/>
          <w:color w:val="333333"/>
          <w:sz w:val="24"/>
          <w:szCs w:val="24"/>
          <w:shd w:val="clear" w:color="auto" w:fill="FFFFFF"/>
        </w:rPr>
        <w:t xml:space="preserve"> measure, page-</w:t>
      </w:r>
      <w:r w:rsidR="007E6938" w:rsidRPr="007915F2">
        <w:rPr>
          <w:rFonts w:ascii="Garamond" w:hAnsi="Garamond"/>
          <w:color w:val="333333"/>
          <w:sz w:val="24"/>
          <w:szCs w:val="24"/>
          <w:shd w:val="clear" w:color="auto" w:fill="FFFFFF"/>
        </w:rPr>
        <w:t xml:space="preserve">rank is a global measure, </w:t>
      </w:r>
      <w:r w:rsidR="00F93A16" w:rsidRPr="007915F2">
        <w:rPr>
          <w:rFonts w:ascii="Garamond" w:hAnsi="Garamond"/>
          <w:color w:val="333333"/>
          <w:sz w:val="24"/>
          <w:szCs w:val="24"/>
          <w:shd w:val="clear" w:color="auto" w:fill="FFFFFF"/>
        </w:rPr>
        <w:t xml:space="preserve">and takes </w:t>
      </w:r>
      <w:r w:rsidR="007E6938" w:rsidRPr="007915F2">
        <w:rPr>
          <w:rFonts w:ascii="Garamond" w:hAnsi="Garamond"/>
          <w:color w:val="333333"/>
          <w:sz w:val="24"/>
          <w:szCs w:val="24"/>
          <w:shd w:val="clear" w:color="auto" w:fill="FFFFFF"/>
        </w:rPr>
        <w:t xml:space="preserve">into account the </w:t>
      </w:r>
      <w:r w:rsidR="00F93A16" w:rsidRPr="007915F2">
        <w:rPr>
          <w:rFonts w:ascii="Garamond" w:hAnsi="Garamond"/>
          <w:color w:val="333333"/>
          <w:sz w:val="24"/>
          <w:szCs w:val="24"/>
          <w:shd w:val="clear" w:color="auto" w:fill="FFFFFF"/>
        </w:rPr>
        <w:t xml:space="preserve">entire </w:t>
      </w:r>
      <w:r w:rsidR="007E6938" w:rsidRPr="007915F2">
        <w:rPr>
          <w:rFonts w:ascii="Garamond" w:hAnsi="Garamond"/>
          <w:color w:val="333333"/>
          <w:sz w:val="24"/>
          <w:szCs w:val="24"/>
          <w:shd w:val="clear" w:color="auto" w:fill="FFFFFF"/>
        </w:rPr>
        <w:t xml:space="preserve">network. </w:t>
      </w:r>
      <w:r w:rsidR="00370E57" w:rsidRPr="007915F2">
        <w:rPr>
          <w:rFonts w:ascii="Garamond" w:hAnsi="Garamond"/>
          <w:color w:val="333333"/>
          <w:sz w:val="24"/>
          <w:szCs w:val="24"/>
          <w:shd w:val="clear" w:color="auto" w:fill="FFFFFF"/>
        </w:rPr>
        <w:t xml:space="preserve">It </w:t>
      </w:r>
      <w:r w:rsidR="00F93A16" w:rsidRPr="007915F2">
        <w:rPr>
          <w:rFonts w:ascii="Garamond" w:hAnsi="Garamond"/>
          <w:color w:val="333333"/>
          <w:sz w:val="24"/>
          <w:szCs w:val="24"/>
          <w:shd w:val="clear" w:color="auto" w:fill="FFFFFF"/>
        </w:rPr>
        <w:t>is</w:t>
      </w:r>
      <w:r w:rsidR="00370E57" w:rsidRPr="007915F2">
        <w:rPr>
          <w:rFonts w:ascii="Garamond" w:hAnsi="Garamond"/>
          <w:color w:val="333333"/>
          <w:sz w:val="24"/>
          <w:szCs w:val="24"/>
          <w:shd w:val="clear" w:color="auto" w:fill="FFFFFF"/>
        </w:rPr>
        <w:t xml:space="preserve"> not surprising to see </w:t>
      </w:r>
      <w:r w:rsidR="007E11E2" w:rsidRPr="007915F2">
        <w:rPr>
          <w:rFonts w:ascii="Garamond" w:hAnsi="Garamond"/>
          <w:color w:val="333333"/>
          <w:sz w:val="24"/>
          <w:szCs w:val="24"/>
          <w:shd w:val="clear" w:color="auto" w:fill="FFFFFF"/>
        </w:rPr>
        <w:t xml:space="preserve">a </w:t>
      </w:r>
      <w:r w:rsidR="00D959D0" w:rsidRPr="007915F2">
        <w:rPr>
          <w:rFonts w:ascii="Garamond" w:hAnsi="Garamond"/>
          <w:color w:val="333333"/>
          <w:sz w:val="24"/>
          <w:szCs w:val="24"/>
          <w:shd w:val="clear" w:color="auto" w:fill="FFFFFF"/>
        </w:rPr>
        <w:t>0</w:t>
      </w:r>
      <w:r w:rsidR="00370E57" w:rsidRPr="007915F2">
        <w:rPr>
          <w:rFonts w:ascii="Garamond" w:hAnsi="Garamond"/>
          <w:color w:val="333333"/>
          <w:sz w:val="24"/>
          <w:szCs w:val="24"/>
          <w:shd w:val="clear" w:color="auto" w:fill="FFFFFF"/>
        </w:rPr>
        <w:t>.76 correlation between in-degree and page-rank</w:t>
      </w:r>
      <w:r w:rsidR="00391D37" w:rsidRPr="007915F2">
        <w:rPr>
          <w:rFonts w:ascii="Garamond" w:hAnsi="Garamond"/>
          <w:color w:val="333333"/>
          <w:sz w:val="24"/>
          <w:szCs w:val="24"/>
          <w:shd w:val="clear" w:color="auto" w:fill="FFFFFF"/>
        </w:rPr>
        <w:t xml:space="preserve"> (Table 1)</w:t>
      </w:r>
      <w:r w:rsidR="00370E57" w:rsidRPr="007915F2">
        <w:rPr>
          <w:rFonts w:ascii="Garamond" w:hAnsi="Garamond"/>
          <w:color w:val="333333"/>
          <w:sz w:val="24"/>
          <w:szCs w:val="24"/>
          <w:shd w:val="clear" w:color="auto" w:fill="FFFFFF"/>
        </w:rPr>
        <w:t>.</w:t>
      </w:r>
      <w:r w:rsidR="00D959D0" w:rsidRPr="007915F2">
        <w:rPr>
          <w:rFonts w:ascii="Garamond" w:hAnsi="Garamond"/>
          <w:color w:val="333333"/>
          <w:sz w:val="24"/>
          <w:szCs w:val="24"/>
          <w:shd w:val="clear" w:color="auto" w:fill="FFFFFF"/>
        </w:rPr>
        <w:t xml:space="preserve"> Firms with higher page-rank have operations similar to an OEM that produce a final product or close to the final products. Such firms are producing more complex products and we expect such firms to have higher financial performance. However, since these firms may be more specialized in their field they could be more affected by disruptions in market demand as they may not be able to re-tool their facility easily to enter other markets.</w:t>
      </w:r>
    </w:p>
    <w:p w14:paraId="076F7DC5" w14:textId="0C20F501" w:rsidR="001A413C" w:rsidRPr="007915F2" w:rsidRDefault="00D959D0" w:rsidP="00D61CD6">
      <w:pPr>
        <w:spacing w:after="0" w:line="240" w:lineRule="auto"/>
        <w:jc w:val="both"/>
        <w:rPr>
          <w:rFonts w:ascii="Garamond" w:hAnsi="Garamond"/>
          <w:color w:val="333333"/>
          <w:sz w:val="24"/>
          <w:szCs w:val="24"/>
          <w:shd w:val="clear" w:color="auto" w:fill="FFFFFF"/>
        </w:rPr>
      </w:pPr>
      <w:r w:rsidRPr="007915F2">
        <w:rPr>
          <w:rFonts w:ascii="Garamond" w:hAnsi="Garamond"/>
          <w:b/>
          <w:color w:val="333333"/>
          <w:sz w:val="24"/>
          <w:szCs w:val="24"/>
          <w:shd w:val="clear" w:color="auto" w:fill="FFFFFF"/>
        </w:rPr>
        <w:t>Clustering coefficient</w:t>
      </w:r>
      <w:r w:rsidRPr="007915F2">
        <w:rPr>
          <w:rFonts w:ascii="Garamond" w:hAnsi="Garamond"/>
          <w:color w:val="333333"/>
          <w:sz w:val="24"/>
          <w:szCs w:val="24"/>
          <w:shd w:val="clear" w:color="auto" w:fill="FFFFFF"/>
        </w:rPr>
        <w:t>:</w:t>
      </w:r>
      <w:r w:rsidR="00845AB5" w:rsidRPr="007915F2">
        <w:rPr>
          <w:rFonts w:ascii="Garamond" w:hAnsi="Garamond"/>
          <w:color w:val="333333"/>
          <w:sz w:val="24"/>
          <w:szCs w:val="24"/>
          <w:shd w:val="clear" w:color="auto" w:fill="FFFFFF"/>
        </w:rPr>
        <w:t xml:space="preserve"> </w:t>
      </w:r>
      <w:r w:rsidR="007E11E2" w:rsidRPr="007915F2">
        <w:rPr>
          <w:rFonts w:ascii="Garamond" w:hAnsi="Garamond"/>
          <w:color w:val="333333"/>
          <w:sz w:val="24"/>
          <w:szCs w:val="24"/>
          <w:shd w:val="clear" w:color="auto" w:fill="FFFFFF"/>
        </w:rPr>
        <w:t>The c</w:t>
      </w:r>
      <w:r w:rsidR="00A66E54" w:rsidRPr="007915F2">
        <w:rPr>
          <w:rFonts w:ascii="Garamond" w:hAnsi="Garamond"/>
          <w:color w:val="333333"/>
          <w:sz w:val="24"/>
          <w:szCs w:val="24"/>
          <w:shd w:val="clear" w:color="auto" w:fill="FFFFFF"/>
        </w:rPr>
        <w:t xml:space="preserve">lustering coefficient measures the likelihood of a </w:t>
      </w:r>
      <w:r w:rsidR="001A413C" w:rsidRPr="007915F2">
        <w:rPr>
          <w:rFonts w:ascii="Garamond" w:hAnsi="Garamond"/>
          <w:color w:val="333333"/>
          <w:sz w:val="24"/>
          <w:szCs w:val="24"/>
          <w:shd w:val="clear" w:color="auto" w:fill="FFFFFF"/>
        </w:rPr>
        <w:t xml:space="preserve">firm </w:t>
      </w:r>
      <w:r w:rsidR="007E11E2" w:rsidRPr="007915F2">
        <w:rPr>
          <w:rFonts w:ascii="Garamond" w:hAnsi="Garamond"/>
          <w:color w:val="333333"/>
          <w:sz w:val="24"/>
          <w:szCs w:val="24"/>
          <w:shd w:val="clear" w:color="auto" w:fill="FFFFFF"/>
        </w:rPr>
        <w:t>being</w:t>
      </w:r>
      <w:r w:rsidR="001A413C" w:rsidRPr="007915F2">
        <w:rPr>
          <w:rFonts w:ascii="Garamond" w:hAnsi="Garamond"/>
          <w:color w:val="333333"/>
          <w:sz w:val="24"/>
          <w:szCs w:val="24"/>
          <w:shd w:val="clear" w:color="auto" w:fill="FFFFFF"/>
        </w:rPr>
        <w:t xml:space="preserve"> part of a highly connect</w:t>
      </w:r>
      <w:r w:rsidR="007E11E2" w:rsidRPr="007915F2">
        <w:rPr>
          <w:rFonts w:ascii="Garamond" w:hAnsi="Garamond"/>
          <w:color w:val="333333"/>
          <w:sz w:val="24"/>
          <w:szCs w:val="24"/>
          <w:shd w:val="clear" w:color="auto" w:fill="FFFFFF"/>
        </w:rPr>
        <w:t>ed</w:t>
      </w:r>
      <w:r w:rsidR="001A413C" w:rsidRPr="007915F2">
        <w:rPr>
          <w:rFonts w:ascii="Garamond" w:hAnsi="Garamond"/>
          <w:color w:val="333333"/>
          <w:sz w:val="24"/>
          <w:szCs w:val="24"/>
          <w:shd w:val="clear" w:color="auto" w:fill="FFFFFF"/>
        </w:rPr>
        <w:t xml:space="preserve"> group of firms. A firm with </w:t>
      </w:r>
      <w:r w:rsidR="007E11E2" w:rsidRPr="007915F2">
        <w:rPr>
          <w:rFonts w:ascii="Garamond" w:hAnsi="Garamond"/>
          <w:color w:val="333333"/>
          <w:sz w:val="24"/>
          <w:szCs w:val="24"/>
          <w:shd w:val="clear" w:color="auto" w:fill="FFFFFF"/>
        </w:rPr>
        <w:t xml:space="preserve">a </w:t>
      </w:r>
      <w:r w:rsidR="001A413C" w:rsidRPr="007915F2">
        <w:rPr>
          <w:rFonts w:ascii="Garamond" w:hAnsi="Garamond"/>
          <w:color w:val="333333"/>
          <w:sz w:val="24"/>
          <w:szCs w:val="24"/>
          <w:shd w:val="clear" w:color="auto" w:fill="FFFFFF"/>
        </w:rPr>
        <w:t>higher clustering coefficient is more embedded with its customers and suppliers. These firms are expected to operate closely with firms i</w:t>
      </w:r>
      <w:r w:rsidR="007E11E2" w:rsidRPr="007915F2">
        <w:rPr>
          <w:rFonts w:ascii="Garamond" w:hAnsi="Garamond"/>
          <w:color w:val="333333"/>
          <w:sz w:val="24"/>
          <w:szCs w:val="24"/>
          <w:shd w:val="clear" w:color="auto" w:fill="FFFFFF"/>
        </w:rPr>
        <w:t>n</w:t>
      </w:r>
      <w:r w:rsidR="001A413C" w:rsidRPr="007915F2">
        <w:rPr>
          <w:rFonts w:ascii="Garamond" w:hAnsi="Garamond"/>
          <w:color w:val="333333"/>
          <w:sz w:val="24"/>
          <w:szCs w:val="24"/>
          <w:shd w:val="clear" w:color="auto" w:fill="FFFFFF"/>
        </w:rPr>
        <w:t xml:space="preserve"> a similar industry. A high degree of product, information</w:t>
      </w:r>
      <w:r w:rsidR="007E11E2" w:rsidRPr="007915F2">
        <w:rPr>
          <w:rFonts w:ascii="Garamond" w:hAnsi="Garamond"/>
          <w:color w:val="333333"/>
          <w:sz w:val="24"/>
          <w:szCs w:val="24"/>
          <w:shd w:val="clear" w:color="auto" w:fill="FFFFFF"/>
        </w:rPr>
        <w:t>,</w:t>
      </w:r>
      <w:r w:rsidR="001A413C" w:rsidRPr="007915F2">
        <w:rPr>
          <w:rFonts w:ascii="Garamond" w:hAnsi="Garamond"/>
          <w:color w:val="333333"/>
          <w:sz w:val="24"/>
          <w:szCs w:val="24"/>
          <w:shd w:val="clear" w:color="auto" w:fill="FFFFFF"/>
        </w:rPr>
        <w:t xml:space="preserve"> and technology sharing is expected from firms with higher degrees of clustering coefficient.</w:t>
      </w:r>
      <w:r w:rsidR="002E066C" w:rsidRPr="007915F2">
        <w:rPr>
          <w:rFonts w:ascii="Garamond" w:hAnsi="Garamond"/>
          <w:color w:val="333333"/>
          <w:sz w:val="24"/>
          <w:szCs w:val="24"/>
          <w:shd w:val="clear" w:color="auto" w:fill="FFFFFF"/>
        </w:rPr>
        <w:t xml:space="preserve"> </w:t>
      </w:r>
      <w:r w:rsidR="001A413C" w:rsidRPr="007915F2">
        <w:rPr>
          <w:rFonts w:ascii="Garamond" w:hAnsi="Garamond"/>
          <w:color w:val="333333"/>
          <w:sz w:val="24"/>
          <w:szCs w:val="24"/>
          <w:shd w:val="clear" w:color="auto" w:fill="FFFFFF"/>
        </w:rPr>
        <w:t xml:space="preserve">A firm with </w:t>
      </w:r>
      <w:r w:rsidR="007E11E2" w:rsidRPr="007915F2">
        <w:rPr>
          <w:rFonts w:ascii="Garamond" w:hAnsi="Garamond"/>
          <w:color w:val="333333"/>
          <w:sz w:val="24"/>
          <w:szCs w:val="24"/>
          <w:shd w:val="clear" w:color="auto" w:fill="FFFFFF"/>
        </w:rPr>
        <w:t xml:space="preserve">a </w:t>
      </w:r>
      <w:r w:rsidR="001A413C" w:rsidRPr="007915F2">
        <w:rPr>
          <w:rFonts w:ascii="Garamond" w:hAnsi="Garamond"/>
          <w:color w:val="333333"/>
          <w:sz w:val="24"/>
          <w:szCs w:val="24"/>
          <w:shd w:val="clear" w:color="auto" w:fill="FFFFFF"/>
        </w:rPr>
        <w:t xml:space="preserve">higher clustering coefficient (unless it is the cluster leader as identified by other centrality measures such as page-rank or eigenvector) is expected to have </w:t>
      </w:r>
      <w:r w:rsidR="001A413C" w:rsidRPr="007915F2">
        <w:rPr>
          <w:rFonts w:ascii="Garamond" w:hAnsi="Garamond"/>
          <w:color w:val="333333"/>
          <w:sz w:val="24"/>
          <w:szCs w:val="24"/>
          <w:shd w:val="clear" w:color="auto" w:fill="FFFFFF"/>
        </w:rPr>
        <w:lastRenderedPageBreak/>
        <w:t xml:space="preserve">moderate financial performance. The firms which have </w:t>
      </w:r>
      <w:r w:rsidR="007E11E2" w:rsidRPr="007915F2">
        <w:rPr>
          <w:rFonts w:ascii="Garamond" w:hAnsi="Garamond"/>
          <w:color w:val="333333"/>
          <w:sz w:val="24"/>
          <w:szCs w:val="24"/>
          <w:shd w:val="clear" w:color="auto" w:fill="FFFFFF"/>
        </w:rPr>
        <w:t xml:space="preserve">a </w:t>
      </w:r>
      <w:r w:rsidR="001A413C" w:rsidRPr="007915F2">
        <w:rPr>
          <w:rFonts w:ascii="Garamond" w:hAnsi="Garamond"/>
          <w:color w:val="333333"/>
          <w:sz w:val="24"/>
          <w:szCs w:val="24"/>
          <w:shd w:val="clear" w:color="auto" w:fill="FFFFFF"/>
        </w:rPr>
        <w:t>high</w:t>
      </w:r>
      <w:r w:rsidR="00635EC3" w:rsidRPr="007915F2">
        <w:rPr>
          <w:rFonts w:ascii="Garamond" w:hAnsi="Garamond"/>
          <w:color w:val="333333"/>
          <w:sz w:val="24"/>
          <w:szCs w:val="24"/>
          <w:shd w:val="clear" w:color="auto" w:fill="FFFFFF"/>
        </w:rPr>
        <w:t>(low)</w:t>
      </w:r>
      <w:r w:rsidR="001A413C" w:rsidRPr="007915F2">
        <w:rPr>
          <w:rFonts w:ascii="Garamond" w:hAnsi="Garamond"/>
          <w:color w:val="333333"/>
          <w:sz w:val="24"/>
          <w:szCs w:val="24"/>
          <w:shd w:val="clear" w:color="auto" w:fill="FFFFFF"/>
        </w:rPr>
        <w:t xml:space="preserve"> clustering coefficient and at the same time are high</w:t>
      </w:r>
      <w:r w:rsidR="00635EC3" w:rsidRPr="007915F2">
        <w:rPr>
          <w:rFonts w:ascii="Garamond" w:hAnsi="Garamond"/>
          <w:color w:val="333333"/>
          <w:sz w:val="24"/>
          <w:szCs w:val="24"/>
          <w:shd w:val="clear" w:color="auto" w:fill="FFFFFF"/>
        </w:rPr>
        <w:t>(low)</w:t>
      </w:r>
      <w:r w:rsidR="001A413C" w:rsidRPr="007915F2">
        <w:rPr>
          <w:rFonts w:ascii="Garamond" w:hAnsi="Garamond"/>
          <w:color w:val="333333"/>
          <w:sz w:val="24"/>
          <w:szCs w:val="24"/>
          <w:shd w:val="clear" w:color="auto" w:fill="FFFFFF"/>
        </w:rPr>
        <w:t xml:space="preserve"> central</w:t>
      </w:r>
      <w:r w:rsidR="00635EC3" w:rsidRPr="007915F2">
        <w:rPr>
          <w:rFonts w:ascii="Garamond" w:hAnsi="Garamond"/>
          <w:color w:val="333333"/>
          <w:sz w:val="24"/>
          <w:szCs w:val="24"/>
          <w:shd w:val="clear" w:color="auto" w:fill="FFFFFF"/>
        </w:rPr>
        <w:t>ity</w:t>
      </w:r>
      <w:r w:rsidR="001A413C" w:rsidRPr="007915F2">
        <w:rPr>
          <w:rFonts w:ascii="Garamond" w:hAnsi="Garamond"/>
          <w:color w:val="333333"/>
          <w:sz w:val="24"/>
          <w:szCs w:val="24"/>
          <w:shd w:val="clear" w:color="auto" w:fill="FFFFFF"/>
        </w:rPr>
        <w:t xml:space="preserve"> are expected to be best</w:t>
      </w:r>
      <w:r w:rsidR="00635EC3" w:rsidRPr="007915F2">
        <w:rPr>
          <w:rFonts w:ascii="Garamond" w:hAnsi="Garamond"/>
          <w:color w:val="333333"/>
          <w:sz w:val="24"/>
          <w:szCs w:val="24"/>
          <w:shd w:val="clear" w:color="auto" w:fill="FFFFFF"/>
        </w:rPr>
        <w:t xml:space="preserve"> (worst)</w:t>
      </w:r>
      <w:r w:rsidR="001A413C" w:rsidRPr="007915F2">
        <w:rPr>
          <w:rFonts w:ascii="Garamond" w:hAnsi="Garamond"/>
          <w:color w:val="333333"/>
          <w:sz w:val="24"/>
          <w:szCs w:val="24"/>
          <w:shd w:val="clear" w:color="auto" w:fill="FFFFFF"/>
        </w:rPr>
        <w:t xml:space="preserve"> performers. </w:t>
      </w:r>
      <w:r w:rsidR="00F936A7" w:rsidRPr="007915F2">
        <w:rPr>
          <w:rFonts w:ascii="Garamond" w:hAnsi="Garamond"/>
          <w:b/>
          <w:color w:val="333333"/>
          <w:sz w:val="24"/>
          <w:szCs w:val="24"/>
          <w:shd w:val="clear" w:color="auto" w:fill="FFFFFF"/>
        </w:rPr>
        <w:t>Cluster size:</w:t>
      </w:r>
      <w:r w:rsidR="002E066C" w:rsidRPr="007915F2">
        <w:rPr>
          <w:rFonts w:ascii="Garamond" w:hAnsi="Garamond"/>
          <w:b/>
          <w:color w:val="333333"/>
          <w:sz w:val="24"/>
          <w:szCs w:val="24"/>
          <w:shd w:val="clear" w:color="auto" w:fill="FFFFFF"/>
        </w:rPr>
        <w:t xml:space="preserve"> </w:t>
      </w:r>
      <w:r w:rsidR="00F936A7" w:rsidRPr="007915F2">
        <w:rPr>
          <w:rFonts w:ascii="Garamond" w:hAnsi="Garamond"/>
          <w:color w:val="333333"/>
          <w:sz w:val="24"/>
          <w:szCs w:val="24"/>
          <w:shd w:val="clear" w:color="auto" w:fill="FFFFFF"/>
        </w:rPr>
        <w:t xml:space="preserve">Cluster size is </w:t>
      </w:r>
      <w:r w:rsidR="007E11E2" w:rsidRPr="007915F2">
        <w:rPr>
          <w:rFonts w:ascii="Garamond" w:hAnsi="Garamond"/>
          <w:color w:val="333333"/>
          <w:sz w:val="24"/>
          <w:szCs w:val="24"/>
          <w:shd w:val="clear" w:color="auto" w:fill="FFFFFF"/>
        </w:rPr>
        <w:t xml:space="preserve">a </w:t>
      </w:r>
      <w:r w:rsidR="00F936A7" w:rsidRPr="007915F2">
        <w:rPr>
          <w:rFonts w:ascii="Garamond" w:hAnsi="Garamond"/>
          <w:color w:val="333333"/>
          <w:sz w:val="24"/>
          <w:szCs w:val="24"/>
          <w:shd w:val="clear" w:color="auto" w:fill="FFFFFF"/>
        </w:rPr>
        <w:t xml:space="preserve">simple measure that we developed to measure the size of the cluster that firms are </w:t>
      </w:r>
      <w:r w:rsidR="007E11E2" w:rsidRPr="007915F2">
        <w:rPr>
          <w:rFonts w:ascii="Garamond" w:hAnsi="Garamond"/>
          <w:color w:val="333333"/>
          <w:sz w:val="24"/>
          <w:szCs w:val="24"/>
          <w:shd w:val="clear" w:color="auto" w:fill="FFFFFF"/>
        </w:rPr>
        <w:t>a</w:t>
      </w:r>
      <w:r w:rsidR="00F936A7" w:rsidRPr="007915F2">
        <w:rPr>
          <w:rFonts w:ascii="Garamond" w:hAnsi="Garamond"/>
          <w:color w:val="333333"/>
          <w:sz w:val="24"/>
          <w:szCs w:val="24"/>
          <w:shd w:val="clear" w:color="auto" w:fill="FFFFFF"/>
        </w:rPr>
        <w:t xml:space="preserve"> member of it. Firms </w:t>
      </w:r>
      <w:r w:rsidR="007E11E2" w:rsidRPr="007915F2">
        <w:rPr>
          <w:rFonts w:ascii="Garamond" w:hAnsi="Garamond"/>
          <w:color w:val="333333"/>
          <w:sz w:val="24"/>
          <w:szCs w:val="24"/>
          <w:shd w:val="clear" w:color="auto" w:fill="FFFFFF"/>
        </w:rPr>
        <w:t>that</w:t>
      </w:r>
      <w:r w:rsidR="00F936A7" w:rsidRPr="007915F2">
        <w:rPr>
          <w:rFonts w:ascii="Garamond" w:hAnsi="Garamond"/>
          <w:color w:val="333333"/>
          <w:sz w:val="24"/>
          <w:szCs w:val="24"/>
          <w:shd w:val="clear" w:color="auto" w:fill="FFFFFF"/>
        </w:rPr>
        <w:t xml:space="preserve"> are in smaller clusters are expected to lack a significant cluster leader, </w:t>
      </w:r>
      <w:r w:rsidR="00635EC3" w:rsidRPr="007915F2">
        <w:rPr>
          <w:rFonts w:ascii="Garamond" w:hAnsi="Garamond"/>
          <w:color w:val="333333"/>
          <w:sz w:val="24"/>
          <w:szCs w:val="24"/>
          <w:shd w:val="clear" w:color="auto" w:fill="FFFFFF"/>
        </w:rPr>
        <w:t xml:space="preserve"> are</w:t>
      </w:r>
      <w:r w:rsidR="00F936A7" w:rsidRPr="007915F2">
        <w:rPr>
          <w:rFonts w:ascii="Garamond" w:hAnsi="Garamond"/>
          <w:color w:val="333333"/>
          <w:sz w:val="24"/>
          <w:szCs w:val="24"/>
          <w:shd w:val="clear" w:color="auto" w:fill="FFFFFF"/>
        </w:rPr>
        <w:t xml:space="preserve"> exposed to supply chain volatility</w:t>
      </w:r>
      <w:r w:rsidR="00763FFE">
        <w:rPr>
          <w:rFonts w:ascii="Garamond" w:hAnsi="Garamond"/>
          <w:color w:val="333333"/>
          <w:sz w:val="24"/>
          <w:szCs w:val="24"/>
          <w:shd w:val="clear" w:color="auto" w:fill="FFFFFF"/>
        </w:rPr>
        <w:t>,</w:t>
      </w:r>
      <w:r w:rsidR="00F936A7" w:rsidRPr="007915F2">
        <w:rPr>
          <w:rFonts w:ascii="Garamond" w:hAnsi="Garamond"/>
          <w:color w:val="333333"/>
          <w:sz w:val="24"/>
          <w:szCs w:val="24"/>
          <w:shd w:val="clear" w:color="auto" w:fill="FFFFFF"/>
        </w:rPr>
        <w:t xml:space="preserve"> and </w:t>
      </w:r>
      <w:r w:rsidR="00635EC3" w:rsidRPr="007915F2">
        <w:rPr>
          <w:rFonts w:ascii="Garamond" w:hAnsi="Garamond"/>
          <w:color w:val="333333"/>
          <w:sz w:val="24"/>
          <w:szCs w:val="24"/>
          <w:shd w:val="clear" w:color="auto" w:fill="FFFFFF"/>
        </w:rPr>
        <w:t>report</w:t>
      </w:r>
      <w:r w:rsidR="00F936A7" w:rsidRPr="007915F2">
        <w:rPr>
          <w:rFonts w:ascii="Garamond" w:hAnsi="Garamond"/>
          <w:color w:val="333333"/>
          <w:sz w:val="24"/>
          <w:szCs w:val="24"/>
          <w:shd w:val="clear" w:color="auto" w:fill="FFFFFF"/>
        </w:rPr>
        <w:t xml:space="preserve"> lower financial performance.</w:t>
      </w:r>
    </w:p>
    <w:p w14:paraId="5B38B23A" w14:textId="77777777" w:rsidR="001A413C" w:rsidRPr="007915F2" w:rsidRDefault="001A413C" w:rsidP="00D61CD6">
      <w:pPr>
        <w:spacing w:after="0" w:line="240" w:lineRule="auto"/>
        <w:jc w:val="both"/>
        <w:rPr>
          <w:rFonts w:ascii="Garamond" w:hAnsi="Garamond"/>
          <w:color w:val="333333"/>
          <w:sz w:val="24"/>
          <w:szCs w:val="24"/>
          <w:shd w:val="clear" w:color="auto" w:fill="FFFFFF"/>
        </w:rPr>
      </w:pPr>
    </w:p>
    <w:p w14:paraId="291A35BC" w14:textId="77777777" w:rsidR="00E54FC9" w:rsidRPr="007915F2" w:rsidRDefault="00426DAE" w:rsidP="00D61CD6">
      <w:pPr>
        <w:spacing w:after="0" w:line="240" w:lineRule="auto"/>
        <w:jc w:val="both"/>
        <w:rPr>
          <w:rFonts w:ascii="Garamond" w:hAnsi="Garamond"/>
          <w:b/>
          <w:color w:val="333333"/>
          <w:sz w:val="24"/>
          <w:szCs w:val="24"/>
          <w:shd w:val="clear" w:color="auto" w:fill="FFFFFF"/>
        </w:rPr>
      </w:pPr>
      <w:r w:rsidRPr="007915F2">
        <w:rPr>
          <w:rFonts w:ascii="Garamond" w:hAnsi="Garamond"/>
          <w:b/>
          <w:color w:val="333333"/>
          <w:sz w:val="24"/>
          <w:szCs w:val="24"/>
          <w:shd w:val="clear" w:color="auto" w:fill="FFFFFF"/>
        </w:rPr>
        <w:t xml:space="preserve">3. </w:t>
      </w:r>
      <w:r w:rsidR="00361957" w:rsidRPr="007915F2">
        <w:rPr>
          <w:rFonts w:ascii="Garamond" w:hAnsi="Garamond"/>
          <w:b/>
          <w:color w:val="333333"/>
          <w:sz w:val="24"/>
          <w:szCs w:val="24"/>
          <w:shd w:val="clear" w:color="auto" w:fill="FFFFFF"/>
        </w:rPr>
        <w:t>Hypotheses</w:t>
      </w:r>
    </w:p>
    <w:p w14:paraId="6D8C3EE4" w14:textId="18E6DB31" w:rsidR="00E54FC9" w:rsidRPr="007915F2" w:rsidRDefault="00635EC3"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 xml:space="preserve"> There is a </w:t>
      </w:r>
      <w:r w:rsidR="005B3B41" w:rsidRPr="007915F2">
        <w:rPr>
          <w:rFonts w:ascii="Garamond" w:hAnsi="Garamond"/>
          <w:color w:val="333333"/>
          <w:sz w:val="24"/>
          <w:szCs w:val="24"/>
          <w:shd w:val="clear" w:color="auto" w:fill="FFFFFF"/>
        </w:rPr>
        <w:t>paucity of empirical literature</w:t>
      </w:r>
      <w:r w:rsidRPr="007915F2">
        <w:rPr>
          <w:rFonts w:ascii="Garamond" w:hAnsi="Garamond"/>
          <w:color w:val="333333"/>
          <w:sz w:val="24"/>
          <w:szCs w:val="24"/>
          <w:shd w:val="clear" w:color="auto" w:fill="FFFFFF"/>
        </w:rPr>
        <w:t xml:space="preserve"> examining </w:t>
      </w:r>
      <w:r w:rsidR="004B2404" w:rsidRPr="007915F2">
        <w:rPr>
          <w:rFonts w:ascii="Garamond" w:hAnsi="Garamond"/>
          <w:color w:val="333333"/>
          <w:sz w:val="24"/>
          <w:szCs w:val="24"/>
          <w:shd w:val="clear" w:color="auto" w:fill="FFFFFF"/>
        </w:rPr>
        <w:t xml:space="preserve">the relationship between </w:t>
      </w:r>
      <w:r w:rsidR="000324C6" w:rsidRPr="007915F2">
        <w:rPr>
          <w:rFonts w:ascii="Garamond" w:hAnsi="Garamond"/>
          <w:color w:val="333333"/>
          <w:sz w:val="24"/>
          <w:szCs w:val="24"/>
          <w:shd w:val="clear" w:color="auto" w:fill="FFFFFF"/>
        </w:rPr>
        <w:t xml:space="preserve">a </w:t>
      </w:r>
      <w:r w:rsidR="004B2404" w:rsidRPr="007915F2">
        <w:rPr>
          <w:rFonts w:ascii="Garamond" w:hAnsi="Garamond"/>
          <w:color w:val="333333"/>
          <w:sz w:val="24"/>
          <w:szCs w:val="24"/>
          <w:shd w:val="clear" w:color="auto" w:fill="FFFFFF"/>
        </w:rPr>
        <w:t xml:space="preserve">firm’s location in the supply chain network and the firms’ performance. One of the few studies in </w:t>
      </w:r>
      <w:r w:rsidR="000324C6" w:rsidRPr="007915F2">
        <w:rPr>
          <w:rFonts w:ascii="Garamond" w:hAnsi="Garamond"/>
          <w:color w:val="333333"/>
          <w:sz w:val="24"/>
          <w:szCs w:val="24"/>
          <w:shd w:val="clear" w:color="auto" w:fill="FFFFFF"/>
        </w:rPr>
        <w:t xml:space="preserve">the </w:t>
      </w:r>
      <w:r w:rsidR="004B2404" w:rsidRPr="007915F2">
        <w:rPr>
          <w:rFonts w:ascii="Garamond" w:hAnsi="Garamond"/>
          <w:color w:val="333333"/>
          <w:sz w:val="24"/>
          <w:szCs w:val="24"/>
          <w:shd w:val="clear" w:color="auto" w:fill="FFFFFF"/>
        </w:rPr>
        <w:t>area was recently published by Seiler, Papanagnou</w:t>
      </w:r>
      <w:r w:rsidR="000324C6" w:rsidRPr="007915F2">
        <w:rPr>
          <w:rFonts w:ascii="Garamond" w:hAnsi="Garamond"/>
          <w:color w:val="333333"/>
          <w:sz w:val="24"/>
          <w:szCs w:val="24"/>
          <w:shd w:val="clear" w:color="auto" w:fill="FFFFFF"/>
        </w:rPr>
        <w:t>,</w:t>
      </w:r>
      <w:r w:rsidR="004B2404" w:rsidRPr="007915F2">
        <w:rPr>
          <w:rFonts w:ascii="Garamond" w:hAnsi="Garamond"/>
          <w:color w:val="333333"/>
          <w:sz w:val="24"/>
          <w:szCs w:val="24"/>
          <w:shd w:val="clear" w:color="auto" w:fill="FFFFFF"/>
        </w:rPr>
        <w:t xml:space="preserve"> and Scarf (2020) using a small sample of firms (15 focal firms). </w:t>
      </w:r>
      <w:r w:rsidR="004D600E" w:rsidRPr="007915F2">
        <w:rPr>
          <w:rFonts w:ascii="Garamond" w:hAnsi="Garamond"/>
          <w:color w:val="333333"/>
          <w:sz w:val="24"/>
          <w:szCs w:val="24"/>
          <w:shd w:val="clear" w:color="auto" w:fill="FFFFFF"/>
        </w:rPr>
        <w:t>A</w:t>
      </w:r>
      <w:r w:rsidR="00E54FC9" w:rsidRPr="007915F2">
        <w:rPr>
          <w:rFonts w:ascii="Garamond" w:hAnsi="Garamond"/>
          <w:color w:val="333333"/>
          <w:sz w:val="24"/>
          <w:szCs w:val="24"/>
          <w:shd w:val="clear" w:color="auto" w:fill="FFFFFF"/>
        </w:rPr>
        <w:t xml:space="preserve">nother study </w:t>
      </w:r>
      <w:r w:rsidR="004D600E" w:rsidRPr="007915F2">
        <w:rPr>
          <w:rFonts w:ascii="Garamond" w:hAnsi="Garamond"/>
          <w:color w:val="333333"/>
          <w:sz w:val="24"/>
          <w:szCs w:val="24"/>
          <w:shd w:val="clear" w:color="auto" w:fill="FFFFFF"/>
        </w:rPr>
        <w:t xml:space="preserve">in this area is conducted by </w:t>
      </w:r>
      <w:r w:rsidR="00E54FC9" w:rsidRPr="007915F2">
        <w:rPr>
          <w:rFonts w:ascii="Garamond" w:hAnsi="Garamond"/>
          <w:color w:val="333333"/>
          <w:sz w:val="24"/>
          <w:szCs w:val="24"/>
          <w:shd w:val="clear" w:color="auto" w:fill="FFFFFF"/>
        </w:rPr>
        <w:t>Su, Kao</w:t>
      </w:r>
      <w:r w:rsidR="000324C6" w:rsidRPr="007915F2">
        <w:rPr>
          <w:rFonts w:ascii="Garamond" w:hAnsi="Garamond"/>
          <w:color w:val="333333"/>
          <w:sz w:val="24"/>
          <w:szCs w:val="24"/>
          <w:shd w:val="clear" w:color="auto" w:fill="FFFFFF"/>
        </w:rPr>
        <w:t>,</w:t>
      </w:r>
      <w:r w:rsidR="00E54FC9" w:rsidRPr="007915F2">
        <w:rPr>
          <w:rFonts w:ascii="Garamond" w:hAnsi="Garamond"/>
          <w:color w:val="333333"/>
          <w:sz w:val="24"/>
          <w:szCs w:val="24"/>
          <w:shd w:val="clear" w:color="auto" w:fill="FFFFFF"/>
        </w:rPr>
        <w:t xml:space="preserve"> and Linderman (2020) </w:t>
      </w:r>
      <w:r w:rsidR="004D600E" w:rsidRPr="007915F2">
        <w:rPr>
          <w:rFonts w:ascii="Garamond" w:hAnsi="Garamond"/>
          <w:color w:val="333333"/>
          <w:sz w:val="24"/>
          <w:szCs w:val="24"/>
          <w:shd w:val="clear" w:color="auto" w:fill="FFFFFF"/>
        </w:rPr>
        <w:t xml:space="preserve">where the authors </w:t>
      </w:r>
      <w:r w:rsidR="00E54FC9" w:rsidRPr="007915F2">
        <w:rPr>
          <w:rFonts w:ascii="Garamond" w:hAnsi="Garamond"/>
          <w:color w:val="333333"/>
          <w:sz w:val="24"/>
          <w:szCs w:val="24"/>
          <w:shd w:val="clear" w:color="auto" w:fill="FFFFFF"/>
        </w:rPr>
        <w:t>argue that firms’ position in the supply chain network affect</w:t>
      </w:r>
      <w:r w:rsidR="000324C6" w:rsidRPr="007915F2">
        <w:rPr>
          <w:rFonts w:ascii="Garamond" w:hAnsi="Garamond"/>
          <w:color w:val="333333"/>
          <w:sz w:val="24"/>
          <w:szCs w:val="24"/>
          <w:shd w:val="clear" w:color="auto" w:fill="FFFFFF"/>
        </w:rPr>
        <w:t>s</w:t>
      </w:r>
      <w:r w:rsidR="00E54FC9" w:rsidRPr="007915F2">
        <w:rPr>
          <w:rFonts w:ascii="Garamond" w:hAnsi="Garamond"/>
          <w:color w:val="333333"/>
          <w:sz w:val="24"/>
          <w:szCs w:val="24"/>
          <w:shd w:val="clear" w:color="auto" w:fill="FFFFFF"/>
        </w:rPr>
        <w:t xml:space="preserve"> the firms’</w:t>
      </w:r>
      <w:r w:rsidR="004D2D2D" w:rsidRPr="007915F2">
        <w:rPr>
          <w:rFonts w:ascii="Garamond" w:hAnsi="Garamond"/>
          <w:color w:val="333333"/>
          <w:sz w:val="24"/>
          <w:szCs w:val="24"/>
          <w:shd w:val="clear" w:color="auto" w:fill="FFFFFF"/>
        </w:rPr>
        <w:t xml:space="preserve"> compet</w:t>
      </w:r>
      <w:r w:rsidR="004D600E" w:rsidRPr="007915F2">
        <w:rPr>
          <w:rFonts w:ascii="Garamond" w:hAnsi="Garamond"/>
          <w:color w:val="333333"/>
          <w:sz w:val="24"/>
          <w:szCs w:val="24"/>
          <w:shd w:val="clear" w:color="auto" w:fill="FFFFFF"/>
        </w:rPr>
        <w:t>itiveness. They provided evidence that f</w:t>
      </w:r>
      <w:r w:rsidR="004D2D2D" w:rsidRPr="007915F2">
        <w:rPr>
          <w:rFonts w:ascii="Garamond" w:hAnsi="Garamond"/>
          <w:color w:val="333333"/>
          <w:sz w:val="24"/>
          <w:szCs w:val="24"/>
          <w:shd w:val="clear" w:color="auto" w:fill="FFFFFF"/>
        </w:rPr>
        <w:t xml:space="preserve">irms </w:t>
      </w:r>
      <w:r w:rsidR="000324C6" w:rsidRPr="007915F2">
        <w:rPr>
          <w:rFonts w:ascii="Garamond" w:hAnsi="Garamond"/>
          <w:color w:val="333333"/>
          <w:sz w:val="24"/>
          <w:szCs w:val="24"/>
          <w:shd w:val="clear" w:color="auto" w:fill="FFFFFF"/>
        </w:rPr>
        <w:t>that</w:t>
      </w:r>
      <w:r w:rsidR="004D2D2D" w:rsidRPr="007915F2">
        <w:rPr>
          <w:rFonts w:ascii="Garamond" w:hAnsi="Garamond"/>
          <w:color w:val="333333"/>
          <w:sz w:val="24"/>
          <w:szCs w:val="24"/>
          <w:shd w:val="clear" w:color="auto" w:fill="FFFFFF"/>
        </w:rPr>
        <w:t xml:space="preserve"> are more central in the supply chain benefit more from process management programs. </w:t>
      </w:r>
      <w:r w:rsidR="007D1029" w:rsidRPr="007915F2">
        <w:rPr>
          <w:rFonts w:ascii="Garamond" w:hAnsi="Garamond"/>
          <w:color w:val="333333"/>
          <w:sz w:val="24"/>
          <w:szCs w:val="24"/>
          <w:shd w:val="clear" w:color="auto" w:fill="FFFFFF"/>
        </w:rPr>
        <w:t xml:space="preserve">Su et al.’s (2020) </w:t>
      </w:r>
      <w:r w:rsidR="004D2D2D" w:rsidRPr="007915F2">
        <w:rPr>
          <w:rFonts w:ascii="Garamond" w:hAnsi="Garamond"/>
          <w:color w:val="333333"/>
          <w:sz w:val="24"/>
          <w:szCs w:val="24"/>
          <w:shd w:val="clear" w:color="auto" w:fill="FFFFFF"/>
        </w:rPr>
        <w:t xml:space="preserve">work was conducted using </w:t>
      </w:r>
      <w:r w:rsidR="0096264C" w:rsidRPr="007915F2">
        <w:rPr>
          <w:rFonts w:ascii="Garamond" w:hAnsi="Garamond"/>
          <w:color w:val="333333"/>
          <w:sz w:val="24"/>
          <w:szCs w:val="24"/>
          <w:shd w:val="clear" w:color="auto" w:fill="FFFFFF"/>
        </w:rPr>
        <w:t>a</w:t>
      </w:r>
      <w:r w:rsidR="004D2D2D" w:rsidRPr="007915F2">
        <w:rPr>
          <w:rFonts w:ascii="Garamond" w:hAnsi="Garamond"/>
          <w:color w:val="333333"/>
          <w:sz w:val="24"/>
          <w:szCs w:val="24"/>
          <w:shd w:val="clear" w:color="auto" w:fill="FFFFFF"/>
        </w:rPr>
        <w:t xml:space="preserve"> sample of firms from 1998-2005 an</w:t>
      </w:r>
      <w:r w:rsidR="007D1029" w:rsidRPr="007915F2">
        <w:rPr>
          <w:rFonts w:ascii="Garamond" w:hAnsi="Garamond"/>
          <w:color w:val="333333"/>
          <w:sz w:val="24"/>
          <w:szCs w:val="24"/>
          <w:shd w:val="clear" w:color="auto" w:fill="FFFFFF"/>
        </w:rPr>
        <w:t>d it is</w:t>
      </w:r>
      <w:r w:rsidR="004D600E" w:rsidRPr="007915F2">
        <w:rPr>
          <w:rFonts w:ascii="Garamond" w:hAnsi="Garamond"/>
          <w:color w:val="333333"/>
          <w:sz w:val="24"/>
          <w:szCs w:val="24"/>
          <w:shd w:val="clear" w:color="auto" w:fill="FFFFFF"/>
        </w:rPr>
        <w:t xml:space="preserve"> not clear if</w:t>
      </w:r>
      <w:r w:rsidR="007D1029" w:rsidRPr="007915F2">
        <w:rPr>
          <w:rFonts w:ascii="Garamond" w:hAnsi="Garamond"/>
          <w:color w:val="333333"/>
          <w:sz w:val="24"/>
          <w:szCs w:val="24"/>
          <w:shd w:val="clear" w:color="auto" w:fill="FFFFFF"/>
        </w:rPr>
        <w:t xml:space="preserve"> the network is focus</w:t>
      </w:r>
      <w:r w:rsidR="004D600E" w:rsidRPr="007915F2">
        <w:rPr>
          <w:rFonts w:ascii="Garamond" w:hAnsi="Garamond"/>
          <w:color w:val="333333"/>
          <w:sz w:val="24"/>
          <w:szCs w:val="24"/>
          <w:shd w:val="clear" w:color="auto" w:fill="FFFFFF"/>
        </w:rPr>
        <w:t>ed</w:t>
      </w:r>
      <w:r w:rsidR="007D1029" w:rsidRPr="007915F2">
        <w:rPr>
          <w:rFonts w:ascii="Garamond" w:hAnsi="Garamond"/>
          <w:color w:val="333333"/>
          <w:sz w:val="24"/>
          <w:szCs w:val="24"/>
          <w:shd w:val="clear" w:color="auto" w:fill="FFFFFF"/>
        </w:rPr>
        <w:t xml:space="preserve"> </w:t>
      </w:r>
      <w:r w:rsidR="004D600E" w:rsidRPr="007915F2">
        <w:rPr>
          <w:rFonts w:ascii="Garamond" w:hAnsi="Garamond"/>
          <w:color w:val="333333"/>
          <w:sz w:val="24"/>
          <w:szCs w:val="24"/>
          <w:shd w:val="clear" w:color="auto" w:fill="FFFFFF"/>
        </w:rPr>
        <w:t xml:space="preserve">only </w:t>
      </w:r>
      <w:r w:rsidR="007D1029" w:rsidRPr="007915F2">
        <w:rPr>
          <w:rFonts w:ascii="Garamond" w:hAnsi="Garamond"/>
          <w:color w:val="333333"/>
          <w:sz w:val="24"/>
          <w:szCs w:val="24"/>
          <w:shd w:val="clear" w:color="auto" w:fill="FFFFFF"/>
        </w:rPr>
        <w:t>on a particular type of supplier</w:t>
      </w:r>
      <w:r w:rsidR="004D600E" w:rsidRPr="007915F2">
        <w:rPr>
          <w:rFonts w:ascii="Garamond" w:hAnsi="Garamond"/>
          <w:color w:val="333333"/>
          <w:sz w:val="24"/>
          <w:szCs w:val="24"/>
          <w:shd w:val="clear" w:color="auto" w:fill="FFFFFF"/>
        </w:rPr>
        <w:t>/customers</w:t>
      </w:r>
      <w:r w:rsidR="007D1029" w:rsidRPr="007915F2">
        <w:rPr>
          <w:rFonts w:ascii="Garamond" w:hAnsi="Garamond"/>
          <w:color w:val="333333"/>
          <w:sz w:val="24"/>
          <w:szCs w:val="24"/>
          <w:shd w:val="clear" w:color="auto" w:fill="FFFFFF"/>
        </w:rPr>
        <w:t xml:space="preserve"> </w:t>
      </w:r>
      <w:r w:rsidR="004D600E" w:rsidRPr="007915F2">
        <w:rPr>
          <w:rFonts w:ascii="Garamond" w:hAnsi="Garamond"/>
          <w:color w:val="333333"/>
          <w:sz w:val="24"/>
          <w:szCs w:val="24"/>
          <w:shd w:val="clear" w:color="auto" w:fill="FFFFFF"/>
        </w:rPr>
        <w:t xml:space="preserve">or it includes all types of relationships </w:t>
      </w:r>
      <w:r w:rsidR="007D1029" w:rsidRPr="007915F2">
        <w:rPr>
          <w:rFonts w:ascii="Garamond" w:hAnsi="Garamond"/>
          <w:color w:val="333333"/>
          <w:sz w:val="24"/>
          <w:szCs w:val="24"/>
          <w:shd w:val="clear" w:color="auto" w:fill="FFFFFF"/>
        </w:rPr>
        <w:t>(e.g. suppl</w:t>
      </w:r>
      <w:r w:rsidR="000324C6" w:rsidRPr="007915F2">
        <w:rPr>
          <w:rFonts w:ascii="Garamond" w:hAnsi="Garamond"/>
          <w:color w:val="333333"/>
          <w:sz w:val="24"/>
          <w:szCs w:val="24"/>
          <w:shd w:val="clear" w:color="auto" w:fill="FFFFFF"/>
        </w:rPr>
        <w:t>i</w:t>
      </w:r>
      <w:r w:rsidR="007D1029" w:rsidRPr="007915F2">
        <w:rPr>
          <w:rFonts w:ascii="Garamond" w:hAnsi="Garamond"/>
          <w:color w:val="333333"/>
          <w:sz w:val="24"/>
          <w:szCs w:val="24"/>
          <w:shd w:val="clear" w:color="auto" w:fill="FFFFFF"/>
        </w:rPr>
        <w:t xml:space="preserve">er of parts/service </w:t>
      </w:r>
      <w:r w:rsidR="004D600E" w:rsidRPr="007915F2">
        <w:rPr>
          <w:rFonts w:ascii="Garamond" w:hAnsi="Garamond"/>
          <w:color w:val="333333"/>
          <w:sz w:val="24"/>
          <w:szCs w:val="24"/>
          <w:shd w:val="clear" w:color="auto" w:fill="FFFFFF"/>
        </w:rPr>
        <w:t xml:space="preserve">to the firm </w:t>
      </w:r>
      <w:r w:rsidR="007D1029" w:rsidRPr="007915F2">
        <w:rPr>
          <w:rFonts w:ascii="Garamond" w:hAnsi="Garamond"/>
          <w:color w:val="333333"/>
          <w:sz w:val="24"/>
          <w:szCs w:val="24"/>
          <w:shd w:val="clear" w:color="auto" w:fill="FFFFFF"/>
        </w:rPr>
        <w:t>vs. landlord, banks, license providers</w:t>
      </w:r>
      <w:r w:rsidR="000324C6" w:rsidRPr="007915F2">
        <w:rPr>
          <w:rFonts w:ascii="Garamond" w:hAnsi="Garamond"/>
          <w:color w:val="333333"/>
          <w:sz w:val="24"/>
          <w:szCs w:val="24"/>
          <w:shd w:val="clear" w:color="auto" w:fill="FFFFFF"/>
        </w:rPr>
        <w:t>,</w:t>
      </w:r>
      <w:r w:rsidR="007D1029" w:rsidRPr="007915F2">
        <w:rPr>
          <w:rFonts w:ascii="Garamond" w:hAnsi="Garamond"/>
          <w:color w:val="333333"/>
          <w:sz w:val="24"/>
          <w:szCs w:val="24"/>
          <w:shd w:val="clear" w:color="auto" w:fill="FFFFFF"/>
        </w:rPr>
        <w:t xml:space="preserve"> etc.). Also</w:t>
      </w:r>
      <w:r w:rsidR="000324C6" w:rsidRPr="007915F2">
        <w:rPr>
          <w:rFonts w:ascii="Garamond" w:hAnsi="Garamond"/>
          <w:color w:val="333333"/>
          <w:sz w:val="24"/>
          <w:szCs w:val="24"/>
          <w:shd w:val="clear" w:color="auto" w:fill="FFFFFF"/>
        </w:rPr>
        <w:t>,</w:t>
      </w:r>
      <w:r w:rsidR="007D1029" w:rsidRPr="007915F2">
        <w:rPr>
          <w:rFonts w:ascii="Garamond" w:hAnsi="Garamond"/>
          <w:color w:val="333333"/>
          <w:sz w:val="24"/>
          <w:szCs w:val="24"/>
          <w:shd w:val="clear" w:color="auto" w:fill="FFFFFF"/>
        </w:rPr>
        <w:t xml:space="preserve"> it seems the data is collected from a single tier o</w:t>
      </w:r>
      <w:r w:rsidR="004D600E" w:rsidRPr="007915F2">
        <w:rPr>
          <w:rFonts w:ascii="Garamond" w:hAnsi="Garamond"/>
          <w:color w:val="333333"/>
          <w:sz w:val="24"/>
          <w:szCs w:val="24"/>
          <w:shd w:val="clear" w:color="auto" w:fill="FFFFFF"/>
        </w:rPr>
        <w:t>f</w:t>
      </w:r>
      <w:r w:rsidR="007D1029" w:rsidRPr="007915F2">
        <w:rPr>
          <w:rFonts w:ascii="Garamond" w:hAnsi="Garamond"/>
          <w:color w:val="333333"/>
          <w:sz w:val="24"/>
          <w:szCs w:val="24"/>
          <w:shd w:val="clear" w:color="auto" w:fill="FFFFFF"/>
        </w:rPr>
        <w:t xml:space="preserve"> </w:t>
      </w:r>
      <w:r w:rsidR="000324C6" w:rsidRPr="007915F2">
        <w:rPr>
          <w:rFonts w:ascii="Garamond" w:hAnsi="Garamond"/>
          <w:color w:val="333333"/>
          <w:sz w:val="24"/>
          <w:szCs w:val="24"/>
          <w:shd w:val="clear" w:color="auto" w:fill="FFFFFF"/>
        </w:rPr>
        <w:t xml:space="preserve">the </w:t>
      </w:r>
      <w:r w:rsidR="007D1029" w:rsidRPr="007915F2">
        <w:rPr>
          <w:rFonts w:ascii="Garamond" w:hAnsi="Garamond"/>
          <w:color w:val="333333"/>
          <w:sz w:val="24"/>
          <w:szCs w:val="24"/>
          <w:shd w:val="clear" w:color="auto" w:fill="FFFFFF"/>
        </w:rPr>
        <w:t>supply ch</w:t>
      </w:r>
      <w:r w:rsidR="00DF52F2" w:rsidRPr="007915F2">
        <w:rPr>
          <w:rFonts w:ascii="Garamond" w:hAnsi="Garamond"/>
          <w:color w:val="333333"/>
          <w:sz w:val="24"/>
          <w:szCs w:val="24"/>
          <w:shd w:val="clear" w:color="auto" w:fill="FFFFFF"/>
        </w:rPr>
        <w:t>ain across different industries an</w:t>
      </w:r>
      <w:r w:rsidR="00845AB5" w:rsidRPr="007915F2">
        <w:rPr>
          <w:rFonts w:ascii="Garamond" w:hAnsi="Garamond"/>
          <w:color w:val="333333"/>
          <w:sz w:val="24"/>
          <w:szCs w:val="24"/>
          <w:shd w:val="clear" w:color="auto" w:fill="FFFFFF"/>
        </w:rPr>
        <w:t>d</w:t>
      </w:r>
      <w:r w:rsidR="00DF52F2" w:rsidRPr="007915F2">
        <w:rPr>
          <w:rFonts w:ascii="Garamond" w:hAnsi="Garamond"/>
          <w:color w:val="333333"/>
          <w:sz w:val="24"/>
          <w:szCs w:val="24"/>
          <w:shd w:val="clear" w:color="auto" w:fill="FFFFFF"/>
        </w:rPr>
        <w:t xml:space="preserve"> no systematic effort is made to track the supply chain tier by tier. As a result</w:t>
      </w:r>
      <w:r w:rsidR="000324C6" w:rsidRPr="007915F2">
        <w:rPr>
          <w:rFonts w:ascii="Garamond" w:hAnsi="Garamond"/>
          <w:color w:val="333333"/>
          <w:sz w:val="24"/>
          <w:szCs w:val="24"/>
          <w:shd w:val="clear" w:color="auto" w:fill="FFFFFF"/>
        </w:rPr>
        <w:t>,</w:t>
      </w:r>
      <w:r w:rsidR="00DF52F2" w:rsidRPr="007915F2">
        <w:rPr>
          <w:rFonts w:ascii="Garamond" w:hAnsi="Garamond"/>
          <w:color w:val="333333"/>
          <w:sz w:val="24"/>
          <w:szCs w:val="24"/>
          <w:shd w:val="clear" w:color="auto" w:fill="FFFFFF"/>
        </w:rPr>
        <w:t xml:space="preserve"> the</w:t>
      </w:r>
      <w:r w:rsidR="005B3B41" w:rsidRPr="007915F2">
        <w:rPr>
          <w:rFonts w:ascii="Garamond" w:hAnsi="Garamond"/>
          <w:color w:val="333333"/>
          <w:sz w:val="24"/>
          <w:szCs w:val="24"/>
          <w:shd w:val="clear" w:color="auto" w:fill="FFFFFF"/>
        </w:rPr>
        <w:t>ir results cannot directly be</w:t>
      </w:r>
      <w:r w:rsidR="00DF52F2" w:rsidRPr="007915F2">
        <w:rPr>
          <w:rFonts w:ascii="Garamond" w:hAnsi="Garamond"/>
          <w:color w:val="333333"/>
          <w:sz w:val="24"/>
          <w:szCs w:val="24"/>
          <w:shd w:val="clear" w:color="auto" w:fill="FFFFFF"/>
        </w:rPr>
        <w:t xml:space="preserve"> generaliz</w:t>
      </w:r>
      <w:r w:rsidRPr="007915F2">
        <w:rPr>
          <w:rFonts w:ascii="Garamond" w:hAnsi="Garamond"/>
          <w:color w:val="333333"/>
          <w:sz w:val="24"/>
          <w:szCs w:val="24"/>
          <w:shd w:val="clear" w:color="auto" w:fill="FFFFFF"/>
        </w:rPr>
        <w:t>ed</w:t>
      </w:r>
      <w:r w:rsidR="00DF52F2" w:rsidRPr="007915F2">
        <w:rPr>
          <w:rFonts w:ascii="Garamond" w:hAnsi="Garamond"/>
          <w:color w:val="333333"/>
          <w:sz w:val="24"/>
          <w:szCs w:val="24"/>
          <w:shd w:val="clear" w:color="auto" w:fill="FFFFFF"/>
        </w:rPr>
        <w:t xml:space="preserve">. </w:t>
      </w:r>
    </w:p>
    <w:p w14:paraId="3855A99D" w14:textId="5053AEE8" w:rsidR="00B64EBE" w:rsidRPr="007915F2" w:rsidRDefault="004B2404"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 xml:space="preserve">Our work is the first </w:t>
      </w:r>
      <w:r w:rsidR="0057341E" w:rsidRPr="007915F2">
        <w:rPr>
          <w:rFonts w:ascii="Garamond" w:hAnsi="Garamond"/>
          <w:color w:val="333333"/>
          <w:sz w:val="24"/>
          <w:szCs w:val="24"/>
          <w:shd w:val="clear" w:color="auto" w:fill="FFFFFF"/>
        </w:rPr>
        <w:t xml:space="preserve">comprehensive </w:t>
      </w:r>
      <w:r w:rsidRPr="007915F2">
        <w:rPr>
          <w:rFonts w:ascii="Garamond" w:hAnsi="Garamond"/>
          <w:color w:val="333333"/>
          <w:sz w:val="24"/>
          <w:szCs w:val="24"/>
          <w:shd w:val="clear" w:color="auto" w:fill="FFFFFF"/>
        </w:rPr>
        <w:t xml:space="preserve">large scale study that </w:t>
      </w:r>
      <w:r w:rsidR="00DF52F2" w:rsidRPr="007915F2">
        <w:rPr>
          <w:rFonts w:ascii="Garamond" w:hAnsi="Garamond"/>
          <w:color w:val="333333"/>
          <w:sz w:val="24"/>
          <w:szCs w:val="24"/>
          <w:shd w:val="clear" w:color="auto" w:fill="FFFFFF"/>
        </w:rPr>
        <w:t xml:space="preserve">systematically </w:t>
      </w:r>
      <w:r w:rsidRPr="007915F2">
        <w:rPr>
          <w:rFonts w:ascii="Garamond" w:hAnsi="Garamond"/>
          <w:color w:val="333333"/>
          <w:sz w:val="24"/>
          <w:szCs w:val="24"/>
          <w:shd w:val="clear" w:color="auto" w:fill="FFFFFF"/>
        </w:rPr>
        <w:t>investigate</w:t>
      </w:r>
      <w:r w:rsidR="000324C6" w:rsidRPr="007915F2">
        <w:rPr>
          <w:rFonts w:ascii="Garamond" w:hAnsi="Garamond"/>
          <w:color w:val="333333"/>
          <w:sz w:val="24"/>
          <w:szCs w:val="24"/>
          <w:shd w:val="clear" w:color="auto" w:fill="FFFFFF"/>
        </w:rPr>
        <w:t>s</w:t>
      </w:r>
      <w:r w:rsidRPr="007915F2">
        <w:rPr>
          <w:rFonts w:ascii="Garamond" w:hAnsi="Garamond"/>
          <w:color w:val="333333"/>
          <w:sz w:val="24"/>
          <w:szCs w:val="24"/>
          <w:shd w:val="clear" w:color="auto" w:fill="FFFFFF"/>
        </w:rPr>
        <w:t xml:space="preserve"> </w:t>
      </w:r>
      <w:r w:rsidR="000324C6" w:rsidRPr="007915F2">
        <w:rPr>
          <w:rFonts w:ascii="Garamond" w:hAnsi="Garamond"/>
          <w:color w:val="333333"/>
          <w:sz w:val="24"/>
          <w:szCs w:val="24"/>
          <w:shd w:val="clear" w:color="auto" w:fill="FFFFFF"/>
        </w:rPr>
        <w:t xml:space="preserve">the </w:t>
      </w:r>
      <w:r w:rsidRPr="007915F2">
        <w:rPr>
          <w:rFonts w:ascii="Garamond" w:hAnsi="Garamond"/>
          <w:color w:val="333333"/>
          <w:sz w:val="24"/>
          <w:szCs w:val="24"/>
          <w:shd w:val="clear" w:color="auto" w:fill="FFFFFF"/>
        </w:rPr>
        <w:t>supply chain of one focal industry</w:t>
      </w:r>
      <w:r w:rsidR="0057341E" w:rsidRPr="007915F2">
        <w:rPr>
          <w:rFonts w:ascii="Garamond" w:hAnsi="Garamond"/>
          <w:color w:val="333333"/>
          <w:sz w:val="24"/>
          <w:szCs w:val="24"/>
          <w:shd w:val="clear" w:color="auto" w:fill="FFFFFF"/>
        </w:rPr>
        <w:t xml:space="preserve"> (medical equipment)</w:t>
      </w:r>
      <w:r w:rsidRPr="007915F2">
        <w:rPr>
          <w:rFonts w:ascii="Garamond" w:hAnsi="Garamond"/>
          <w:color w:val="333333"/>
          <w:sz w:val="24"/>
          <w:szCs w:val="24"/>
          <w:shd w:val="clear" w:color="auto" w:fill="FFFFFF"/>
        </w:rPr>
        <w:t xml:space="preserve"> across five backward tiers of supply chain expanding throughout the globe.</w:t>
      </w:r>
      <w:r w:rsidR="0057341E" w:rsidRPr="007915F2">
        <w:rPr>
          <w:rFonts w:ascii="Garamond" w:hAnsi="Garamond"/>
          <w:color w:val="333333"/>
          <w:sz w:val="24"/>
          <w:szCs w:val="24"/>
          <w:shd w:val="clear" w:color="auto" w:fill="FFFFFF"/>
        </w:rPr>
        <w:t xml:space="preserve"> Based on the review of </w:t>
      </w:r>
      <w:r w:rsidR="000324C6" w:rsidRPr="007915F2">
        <w:rPr>
          <w:rFonts w:ascii="Garamond" w:hAnsi="Garamond"/>
          <w:color w:val="333333"/>
          <w:sz w:val="24"/>
          <w:szCs w:val="24"/>
          <w:shd w:val="clear" w:color="auto" w:fill="FFFFFF"/>
        </w:rPr>
        <w:t xml:space="preserve">the </w:t>
      </w:r>
      <w:r w:rsidR="0057341E" w:rsidRPr="007915F2">
        <w:rPr>
          <w:rFonts w:ascii="Garamond" w:hAnsi="Garamond"/>
          <w:color w:val="333333"/>
          <w:sz w:val="24"/>
          <w:szCs w:val="24"/>
          <w:shd w:val="clear" w:color="auto" w:fill="FFFFFF"/>
        </w:rPr>
        <w:t>literature discussed in this paper, we hypothesi</w:t>
      </w:r>
      <w:r w:rsidR="00635EC3" w:rsidRPr="007915F2">
        <w:rPr>
          <w:rFonts w:ascii="Garamond" w:hAnsi="Garamond"/>
          <w:color w:val="333333"/>
          <w:sz w:val="24"/>
          <w:szCs w:val="24"/>
          <w:shd w:val="clear" w:color="auto" w:fill="FFFFFF"/>
        </w:rPr>
        <w:t>ze</w:t>
      </w:r>
      <w:r w:rsidR="0057341E" w:rsidRPr="007915F2">
        <w:rPr>
          <w:rFonts w:ascii="Garamond" w:hAnsi="Garamond"/>
          <w:color w:val="333333"/>
          <w:sz w:val="24"/>
          <w:szCs w:val="24"/>
          <w:shd w:val="clear" w:color="auto" w:fill="FFFFFF"/>
        </w:rPr>
        <w:t xml:space="preserve"> that firms</w:t>
      </w:r>
      <w:r w:rsidR="000324C6" w:rsidRPr="007915F2">
        <w:rPr>
          <w:rFonts w:ascii="Garamond" w:hAnsi="Garamond"/>
          <w:color w:val="333333"/>
          <w:sz w:val="24"/>
          <w:szCs w:val="24"/>
          <w:shd w:val="clear" w:color="auto" w:fill="FFFFFF"/>
        </w:rPr>
        <w:t>'</w:t>
      </w:r>
      <w:r w:rsidR="0057341E" w:rsidRPr="007915F2">
        <w:rPr>
          <w:rFonts w:ascii="Garamond" w:hAnsi="Garamond"/>
          <w:color w:val="333333"/>
          <w:sz w:val="24"/>
          <w:szCs w:val="24"/>
          <w:shd w:val="clear" w:color="auto" w:fill="FFFFFF"/>
        </w:rPr>
        <w:t xml:space="preserve"> </w:t>
      </w:r>
      <w:r w:rsidR="00361957" w:rsidRPr="007915F2">
        <w:rPr>
          <w:rFonts w:ascii="Garamond" w:hAnsi="Garamond"/>
          <w:color w:val="333333"/>
          <w:sz w:val="24"/>
          <w:szCs w:val="24"/>
          <w:shd w:val="clear" w:color="auto" w:fill="FFFFFF"/>
        </w:rPr>
        <w:t>degree of</w:t>
      </w:r>
      <w:r w:rsidR="0057341E" w:rsidRPr="007915F2">
        <w:rPr>
          <w:rFonts w:ascii="Garamond" w:hAnsi="Garamond"/>
          <w:color w:val="333333"/>
          <w:sz w:val="24"/>
          <w:szCs w:val="24"/>
          <w:shd w:val="clear" w:color="auto" w:fill="FFFFFF"/>
        </w:rPr>
        <w:t xml:space="preserve"> centrality in the global supply chain network </w:t>
      </w:r>
      <w:r w:rsidR="00361957" w:rsidRPr="007915F2">
        <w:rPr>
          <w:rFonts w:ascii="Garamond" w:hAnsi="Garamond"/>
          <w:color w:val="333333"/>
          <w:sz w:val="24"/>
          <w:szCs w:val="24"/>
          <w:shd w:val="clear" w:color="auto" w:fill="FFFFFF"/>
        </w:rPr>
        <w:t>will affect the firms’</w:t>
      </w:r>
      <w:r w:rsidR="0057341E" w:rsidRPr="007915F2">
        <w:rPr>
          <w:rFonts w:ascii="Garamond" w:hAnsi="Garamond"/>
          <w:color w:val="333333"/>
          <w:sz w:val="24"/>
          <w:szCs w:val="24"/>
          <w:shd w:val="clear" w:color="auto" w:fill="FFFFFF"/>
        </w:rPr>
        <w:t xml:space="preserve"> financial performance.</w:t>
      </w:r>
      <w:r w:rsidR="00845AB5" w:rsidRPr="007915F2">
        <w:rPr>
          <w:rFonts w:ascii="Garamond" w:hAnsi="Garamond"/>
          <w:color w:val="333333"/>
          <w:sz w:val="24"/>
          <w:szCs w:val="24"/>
          <w:shd w:val="clear" w:color="auto" w:fill="FFFFFF"/>
        </w:rPr>
        <w:t xml:space="preserve"> Based on the discussions presented in </w:t>
      </w:r>
      <w:r w:rsidR="000324C6" w:rsidRPr="007915F2">
        <w:rPr>
          <w:rFonts w:ascii="Garamond" w:hAnsi="Garamond"/>
          <w:color w:val="333333"/>
          <w:sz w:val="24"/>
          <w:szCs w:val="24"/>
          <w:shd w:val="clear" w:color="auto" w:fill="FFFFFF"/>
        </w:rPr>
        <w:t xml:space="preserve">the </w:t>
      </w:r>
      <w:r w:rsidR="00845AB5" w:rsidRPr="007915F2">
        <w:rPr>
          <w:rFonts w:ascii="Garamond" w:hAnsi="Garamond"/>
          <w:color w:val="333333"/>
          <w:sz w:val="24"/>
          <w:szCs w:val="24"/>
          <w:shd w:val="clear" w:color="auto" w:fill="FFFFFF"/>
        </w:rPr>
        <w:t>previous section on the relationship of centrality measures and fi</w:t>
      </w:r>
      <w:r w:rsidR="00B64EBE" w:rsidRPr="007915F2">
        <w:rPr>
          <w:rFonts w:ascii="Garamond" w:hAnsi="Garamond"/>
          <w:color w:val="333333"/>
          <w:sz w:val="24"/>
          <w:szCs w:val="24"/>
          <w:shd w:val="clear" w:color="auto" w:fill="FFFFFF"/>
        </w:rPr>
        <w:t xml:space="preserve">rms’ performance we propose four </w:t>
      </w:r>
      <w:r w:rsidR="003E63C3" w:rsidRPr="007915F2">
        <w:rPr>
          <w:rFonts w:ascii="Garamond" w:hAnsi="Garamond"/>
          <w:color w:val="333333"/>
          <w:sz w:val="24"/>
          <w:szCs w:val="24"/>
          <w:shd w:val="clear" w:color="auto" w:fill="FFFFFF"/>
        </w:rPr>
        <w:t xml:space="preserve">hypotheses that </w:t>
      </w:r>
      <w:r w:rsidR="00361957" w:rsidRPr="007915F2">
        <w:rPr>
          <w:rFonts w:ascii="Garamond" w:hAnsi="Garamond"/>
          <w:color w:val="333333"/>
          <w:sz w:val="24"/>
          <w:szCs w:val="24"/>
          <w:shd w:val="clear" w:color="auto" w:fill="FFFFFF"/>
        </w:rPr>
        <w:t>suggest</w:t>
      </w:r>
      <w:r w:rsidR="003E63C3" w:rsidRPr="007915F2">
        <w:rPr>
          <w:rFonts w:ascii="Garamond" w:hAnsi="Garamond"/>
          <w:color w:val="333333"/>
          <w:sz w:val="24"/>
          <w:szCs w:val="24"/>
          <w:shd w:val="clear" w:color="auto" w:fill="FFFFFF"/>
        </w:rPr>
        <w:t xml:space="preserve"> </w:t>
      </w:r>
      <w:r w:rsidR="00361957" w:rsidRPr="007915F2">
        <w:rPr>
          <w:rFonts w:ascii="Garamond" w:hAnsi="Garamond"/>
          <w:color w:val="333333"/>
          <w:sz w:val="24"/>
          <w:szCs w:val="24"/>
          <w:shd w:val="clear" w:color="auto" w:fill="FFFFFF"/>
        </w:rPr>
        <w:t xml:space="preserve">firms’ position on the supply chain tier and </w:t>
      </w:r>
      <w:r w:rsidR="003E63C3" w:rsidRPr="007915F2">
        <w:rPr>
          <w:rFonts w:ascii="Garamond" w:hAnsi="Garamond"/>
          <w:color w:val="333333"/>
          <w:sz w:val="24"/>
          <w:szCs w:val="24"/>
          <w:shd w:val="clear" w:color="auto" w:fill="FFFFFF"/>
        </w:rPr>
        <w:t xml:space="preserve">measures of centrality </w:t>
      </w:r>
      <w:r w:rsidR="00361957" w:rsidRPr="007915F2">
        <w:rPr>
          <w:rFonts w:ascii="Garamond" w:hAnsi="Garamond"/>
          <w:color w:val="333333"/>
          <w:sz w:val="24"/>
          <w:szCs w:val="24"/>
          <w:shd w:val="clear" w:color="auto" w:fill="FFFFFF"/>
        </w:rPr>
        <w:t>influence</w:t>
      </w:r>
      <w:r w:rsidR="003E63C3" w:rsidRPr="007915F2">
        <w:rPr>
          <w:rFonts w:ascii="Garamond" w:hAnsi="Garamond"/>
          <w:color w:val="333333"/>
          <w:sz w:val="24"/>
          <w:szCs w:val="24"/>
          <w:shd w:val="clear" w:color="auto" w:fill="FFFFFF"/>
        </w:rPr>
        <w:t xml:space="preserve"> two measures of firms’ </w:t>
      </w:r>
      <w:r w:rsidR="00635EC3" w:rsidRPr="007915F2">
        <w:rPr>
          <w:rFonts w:ascii="Garamond" w:hAnsi="Garamond"/>
          <w:color w:val="333333"/>
          <w:sz w:val="24"/>
          <w:szCs w:val="24"/>
          <w:shd w:val="clear" w:color="auto" w:fill="FFFFFF"/>
        </w:rPr>
        <w:t xml:space="preserve">accounting and market </w:t>
      </w:r>
      <w:r w:rsidR="003E63C3" w:rsidRPr="007915F2">
        <w:rPr>
          <w:rFonts w:ascii="Garamond" w:hAnsi="Garamond"/>
          <w:color w:val="333333"/>
          <w:sz w:val="24"/>
          <w:szCs w:val="24"/>
          <w:shd w:val="clear" w:color="auto" w:fill="FFFFFF"/>
        </w:rPr>
        <w:t>performance</w:t>
      </w:r>
      <w:r w:rsidR="00635EC3" w:rsidRPr="007915F2">
        <w:rPr>
          <w:rFonts w:ascii="Garamond" w:hAnsi="Garamond"/>
          <w:color w:val="333333"/>
          <w:sz w:val="24"/>
          <w:szCs w:val="24"/>
          <w:shd w:val="clear" w:color="auto" w:fill="FFFFFF"/>
        </w:rPr>
        <w:t>.</w:t>
      </w:r>
      <w:r w:rsidR="00B64EBE" w:rsidRPr="007915F2">
        <w:rPr>
          <w:rFonts w:ascii="Garamond" w:hAnsi="Garamond"/>
          <w:color w:val="333333"/>
          <w:sz w:val="24"/>
          <w:szCs w:val="24"/>
          <w:shd w:val="clear" w:color="auto" w:fill="FFFFFF"/>
        </w:rPr>
        <w:t xml:space="preserve"> Particularly we hypothesi</w:t>
      </w:r>
      <w:r w:rsidR="00635EC3" w:rsidRPr="007915F2">
        <w:rPr>
          <w:rFonts w:ascii="Garamond" w:hAnsi="Garamond"/>
          <w:color w:val="333333"/>
          <w:sz w:val="24"/>
          <w:szCs w:val="24"/>
          <w:shd w:val="clear" w:color="auto" w:fill="FFFFFF"/>
        </w:rPr>
        <w:t>ze</w:t>
      </w:r>
      <w:r w:rsidR="00B64EBE" w:rsidRPr="007915F2">
        <w:rPr>
          <w:rFonts w:ascii="Garamond" w:hAnsi="Garamond"/>
          <w:color w:val="333333"/>
          <w:sz w:val="24"/>
          <w:szCs w:val="24"/>
          <w:shd w:val="clear" w:color="auto" w:fill="FFFFFF"/>
        </w:rPr>
        <w:t xml:space="preserve"> that various measures of the centrality discussed in section 2 will impact firms’ financial performance as measured by </w:t>
      </w:r>
      <w:r w:rsidR="00635EC3" w:rsidRPr="007915F2">
        <w:rPr>
          <w:rFonts w:ascii="Garamond" w:hAnsi="Garamond"/>
          <w:color w:val="333333"/>
          <w:sz w:val="24"/>
          <w:szCs w:val="24"/>
          <w:shd w:val="clear" w:color="auto" w:fill="FFFFFF"/>
        </w:rPr>
        <w:t>return on assets (</w:t>
      </w:r>
      <w:r w:rsidR="00B64EBE" w:rsidRPr="007915F2">
        <w:rPr>
          <w:rFonts w:ascii="Garamond" w:hAnsi="Garamond"/>
          <w:color w:val="333333"/>
          <w:sz w:val="24"/>
          <w:szCs w:val="24"/>
          <w:shd w:val="clear" w:color="auto" w:fill="FFFFFF"/>
        </w:rPr>
        <w:t>ROA</w:t>
      </w:r>
      <w:r w:rsidR="00635EC3" w:rsidRPr="007915F2">
        <w:rPr>
          <w:rFonts w:ascii="Garamond" w:hAnsi="Garamond"/>
          <w:color w:val="333333"/>
          <w:sz w:val="24"/>
          <w:szCs w:val="24"/>
          <w:shd w:val="clear" w:color="auto" w:fill="FFFFFF"/>
        </w:rPr>
        <w:t>)</w:t>
      </w:r>
      <w:r w:rsidR="00B64EBE" w:rsidRPr="007915F2">
        <w:rPr>
          <w:rFonts w:ascii="Garamond" w:hAnsi="Garamond"/>
          <w:color w:val="333333"/>
          <w:sz w:val="24"/>
          <w:szCs w:val="24"/>
          <w:shd w:val="clear" w:color="auto" w:fill="FFFFFF"/>
        </w:rPr>
        <w:t xml:space="preserve"> (H1), and </w:t>
      </w:r>
      <w:r w:rsidR="00635EC3" w:rsidRPr="007915F2">
        <w:rPr>
          <w:rFonts w:ascii="Garamond" w:hAnsi="Garamond"/>
          <w:color w:val="333333"/>
          <w:sz w:val="24"/>
          <w:szCs w:val="24"/>
          <w:shd w:val="clear" w:color="auto" w:fill="FFFFFF"/>
        </w:rPr>
        <w:t>Tobin’s-q</w:t>
      </w:r>
      <w:r w:rsidR="00B64EBE" w:rsidRPr="007915F2">
        <w:rPr>
          <w:rFonts w:ascii="Garamond" w:hAnsi="Garamond"/>
          <w:color w:val="333333"/>
          <w:sz w:val="24"/>
          <w:szCs w:val="24"/>
          <w:shd w:val="clear" w:color="auto" w:fill="FFFFFF"/>
        </w:rPr>
        <w:t xml:space="preserve"> </w:t>
      </w:r>
      <w:r w:rsidR="00635EC3" w:rsidRPr="007915F2">
        <w:rPr>
          <w:rFonts w:ascii="Garamond" w:hAnsi="Garamond"/>
          <w:color w:val="333333"/>
          <w:sz w:val="24"/>
          <w:szCs w:val="24"/>
          <w:shd w:val="clear" w:color="auto" w:fill="FFFFFF"/>
        </w:rPr>
        <w:t>(Q-Ratio)</w:t>
      </w:r>
      <w:r w:rsidR="00B64EBE" w:rsidRPr="007915F2">
        <w:rPr>
          <w:rFonts w:ascii="Garamond" w:hAnsi="Garamond"/>
          <w:color w:val="333333"/>
          <w:sz w:val="24"/>
          <w:szCs w:val="24"/>
          <w:shd w:val="clear" w:color="auto" w:fill="FFFFFF"/>
        </w:rPr>
        <w:t>(H2). We also hypothesi</w:t>
      </w:r>
      <w:r w:rsidR="002A6029" w:rsidRPr="007915F2">
        <w:rPr>
          <w:rFonts w:ascii="Garamond" w:hAnsi="Garamond"/>
          <w:color w:val="333333"/>
          <w:sz w:val="24"/>
          <w:szCs w:val="24"/>
          <w:shd w:val="clear" w:color="auto" w:fill="FFFFFF"/>
        </w:rPr>
        <w:t>ze</w:t>
      </w:r>
      <w:r w:rsidR="00B64EBE" w:rsidRPr="007915F2">
        <w:rPr>
          <w:rFonts w:ascii="Garamond" w:hAnsi="Garamond"/>
          <w:color w:val="333333"/>
          <w:sz w:val="24"/>
          <w:szCs w:val="24"/>
          <w:shd w:val="clear" w:color="auto" w:fill="FFFFFF"/>
        </w:rPr>
        <w:t xml:space="preserve"> that firms’ location</w:t>
      </w:r>
      <w:r w:rsidR="002A6029" w:rsidRPr="007915F2">
        <w:rPr>
          <w:rFonts w:ascii="Garamond" w:hAnsi="Garamond"/>
          <w:color w:val="333333"/>
          <w:sz w:val="24"/>
          <w:szCs w:val="24"/>
          <w:shd w:val="clear" w:color="auto" w:fill="FFFFFF"/>
        </w:rPr>
        <w:t>s</w:t>
      </w:r>
      <w:r w:rsidR="00B64EBE" w:rsidRPr="007915F2">
        <w:rPr>
          <w:rFonts w:ascii="Garamond" w:hAnsi="Garamond"/>
          <w:color w:val="333333"/>
          <w:sz w:val="24"/>
          <w:szCs w:val="24"/>
          <w:shd w:val="clear" w:color="auto" w:fill="FFFFFF"/>
        </w:rPr>
        <w:t xml:space="preserve"> across the five tiers of </w:t>
      </w:r>
      <w:r w:rsidR="002A6029" w:rsidRPr="007915F2">
        <w:rPr>
          <w:rFonts w:ascii="Garamond" w:hAnsi="Garamond"/>
          <w:color w:val="333333"/>
          <w:sz w:val="24"/>
          <w:szCs w:val="24"/>
          <w:shd w:val="clear" w:color="auto" w:fill="FFFFFF"/>
        </w:rPr>
        <w:t xml:space="preserve">the </w:t>
      </w:r>
      <w:r w:rsidR="00B64EBE" w:rsidRPr="007915F2">
        <w:rPr>
          <w:rFonts w:ascii="Garamond" w:hAnsi="Garamond"/>
          <w:color w:val="333333"/>
          <w:sz w:val="24"/>
          <w:szCs w:val="24"/>
          <w:shd w:val="clear" w:color="auto" w:fill="FFFFFF"/>
        </w:rPr>
        <w:t xml:space="preserve">backward supply chain will impact their ROA (H3), and </w:t>
      </w:r>
      <w:r w:rsidR="00635EC3" w:rsidRPr="007915F2">
        <w:rPr>
          <w:rFonts w:ascii="Garamond" w:hAnsi="Garamond"/>
          <w:color w:val="333333"/>
          <w:sz w:val="24"/>
          <w:szCs w:val="24"/>
          <w:shd w:val="clear" w:color="auto" w:fill="FFFFFF"/>
        </w:rPr>
        <w:t>Q</w:t>
      </w:r>
      <w:r w:rsidR="00B64EBE" w:rsidRPr="007915F2">
        <w:rPr>
          <w:rFonts w:ascii="Garamond" w:hAnsi="Garamond"/>
          <w:color w:val="333333"/>
          <w:sz w:val="24"/>
          <w:szCs w:val="24"/>
          <w:shd w:val="clear" w:color="auto" w:fill="FFFFFF"/>
        </w:rPr>
        <w:t xml:space="preserve"> ratio (H4).</w:t>
      </w:r>
    </w:p>
    <w:p w14:paraId="4958BE62" w14:textId="77777777" w:rsidR="00B64EBE" w:rsidRPr="007915F2" w:rsidRDefault="00B64EBE" w:rsidP="00D61CD6">
      <w:pPr>
        <w:spacing w:after="0" w:line="240" w:lineRule="auto"/>
        <w:jc w:val="both"/>
        <w:rPr>
          <w:rFonts w:ascii="Garamond" w:hAnsi="Garamond"/>
          <w:color w:val="333333"/>
          <w:sz w:val="24"/>
          <w:szCs w:val="24"/>
          <w:shd w:val="clear" w:color="auto" w:fill="FFFFFF"/>
        </w:rPr>
      </w:pPr>
    </w:p>
    <w:p w14:paraId="6C8C80FA" w14:textId="77777777" w:rsidR="00250A38" w:rsidRPr="007915F2" w:rsidRDefault="00A47A8C" w:rsidP="00D61CD6">
      <w:pPr>
        <w:spacing w:after="0" w:line="240" w:lineRule="auto"/>
        <w:jc w:val="both"/>
        <w:rPr>
          <w:rFonts w:ascii="Garamond" w:hAnsi="Garamond"/>
          <w:b/>
          <w:sz w:val="24"/>
          <w:szCs w:val="24"/>
        </w:rPr>
      </w:pPr>
      <w:r w:rsidRPr="007915F2">
        <w:rPr>
          <w:rFonts w:ascii="Garamond" w:hAnsi="Garamond"/>
          <w:b/>
          <w:sz w:val="24"/>
          <w:szCs w:val="24"/>
        </w:rPr>
        <w:t>4</w:t>
      </w:r>
      <w:r w:rsidR="00250A38" w:rsidRPr="007915F2">
        <w:rPr>
          <w:rFonts w:ascii="Garamond" w:hAnsi="Garamond"/>
          <w:b/>
          <w:sz w:val="24"/>
          <w:szCs w:val="24"/>
        </w:rPr>
        <w:t>.  Research Design</w:t>
      </w:r>
    </w:p>
    <w:p w14:paraId="653CECAE" w14:textId="77777777" w:rsidR="00250A38" w:rsidRPr="007915F2" w:rsidRDefault="00A47A8C" w:rsidP="00D61CD6">
      <w:pPr>
        <w:tabs>
          <w:tab w:val="left" w:pos="360"/>
          <w:tab w:val="left" w:pos="1080"/>
        </w:tabs>
        <w:spacing w:after="0" w:line="240" w:lineRule="auto"/>
        <w:jc w:val="both"/>
        <w:rPr>
          <w:rFonts w:ascii="Garamond" w:hAnsi="Garamond"/>
          <w:i/>
          <w:sz w:val="24"/>
          <w:szCs w:val="24"/>
        </w:rPr>
      </w:pPr>
      <w:r w:rsidRPr="007915F2">
        <w:rPr>
          <w:rFonts w:ascii="Garamond" w:hAnsi="Garamond"/>
          <w:i/>
          <w:sz w:val="24"/>
          <w:szCs w:val="24"/>
        </w:rPr>
        <w:t>4</w:t>
      </w:r>
      <w:r w:rsidR="00250A38" w:rsidRPr="007915F2">
        <w:rPr>
          <w:rFonts w:ascii="Garamond" w:hAnsi="Garamond"/>
          <w:i/>
          <w:sz w:val="24"/>
          <w:szCs w:val="24"/>
        </w:rPr>
        <w:t>.1</w:t>
      </w:r>
      <w:r w:rsidR="00250A38" w:rsidRPr="007915F2">
        <w:rPr>
          <w:rFonts w:ascii="Garamond" w:hAnsi="Garamond"/>
          <w:i/>
          <w:sz w:val="24"/>
          <w:szCs w:val="24"/>
        </w:rPr>
        <w:tab/>
        <w:t>Sample</w:t>
      </w:r>
    </w:p>
    <w:p w14:paraId="6D50C4C5" w14:textId="39836B2E" w:rsidR="0006489F" w:rsidRPr="007915F2" w:rsidRDefault="005972F0" w:rsidP="00D61CD6">
      <w:pPr>
        <w:spacing w:after="0" w:line="240" w:lineRule="auto"/>
        <w:jc w:val="both"/>
        <w:rPr>
          <w:rFonts w:ascii="Garamond" w:hAnsi="Garamond"/>
          <w:sz w:val="24"/>
          <w:szCs w:val="24"/>
        </w:rPr>
      </w:pPr>
      <w:r w:rsidRPr="007915F2">
        <w:rPr>
          <w:rFonts w:ascii="Garamond" w:hAnsi="Garamond"/>
          <w:sz w:val="24"/>
          <w:szCs w:val="24"/>
        </w:rPr>
        <w:t>The data was</w:t>
      </w:r>
      <w:r w:rsidR="00CC075E" w:rsidRPr="007915F2">
        <w:rPr>
          <w:rFonts w:ascii="Garamond" w:hAnsi="Garamond"/>
          <w:sz w:val="24"/>
          <w:szCs w:val="24"/>
        </w:rPr>
        <w:t xml:space="preserve"> </w:t>
      </w:r>
      <w:r w:rsidR="00F67D38">
        <w:rPr>
          <w:rFonts w:ascii="Garamond" w:hAnsi="Garamond"/>
          <w:sz w:val="24"/>
          <w:szCs w:val="24"/>
        </w:rPr>
        <w:t xml:space="preserve">mined and </w:t>
      </w:r>
      <w:r w:rsidR="00CC075E" w:rsidRPr="007915F2">
        <w:rPr>
          <w:rFonts w:ascii="Garamond" w:hAnsi="Garamond"/>
          <w:sz w:val="24"/>
          <w:szCs w:val="24"/>
        </w:rPr>
        <w:t xml:space="preserve">compiled </w:t>
      </w:r>
      <w:r w:rsidRPr="007915F2">
        <w:rPr>
          <w:rFonts w:ascii="Garamond" w:hAnsi="Garamond"/>
          <w:sz w:val="24"/>
          <w:szCs w:val="24"/>
        </w:rPr>
        <w:t xml:space="preserve">from </w:t>
      </w:r>
      <w:r w:rsidR="00763FFE">
        <w:rPr>
          <w:rFonts w:ascii="Garamond" w:hAnsi="Garamond"/>
          <w:sz w:val="24"/>
          <w:szCs w:val="24"/>
        </w:rPr>
        <w:t xml:space="preserve">the </w:t>
      </w:r>
      <w:r w:rsidR="00F67D38">
        <w:rPr>
          <w:rFonts w:ascii="Garamond" w:hAnsi="Garamond"/>
          <w:sz w:val="24"/>
          <w:szCs w:val="24"/>
        </w:rPr>
        <w:t>financial records</w:t>
      </w:r>
      <w:r w:rsidR="00CC075E" w:rsidRPr="007915F2">
        <w:rPr>
          <w:rFonts w:ascii="Garamond" w:hAnsi="Garamond"/>
          <w:sz w:val="24"/>
          <w:szCs w:val="24"/>
        </w:rPr>
        <w:t xml:space="preserve"> </w:t>
      </w:r>
      <w:r w:rsidR="00763FFE">
        <w:rPr>
          <w:rFonts w:ascii="Garamond" w:hAnsi="Garamond"/>
          <w:sz w:val="24"/>
          <w:szCs w:val="24"/>
        </w:rPr>
        <w:t>through several rounds of data</w:t>
      </w:r>
      <w:r w:rsidRPr="007915F2">
        <w:rPr>
          <w:rFonts w:ascii="Garamond" w:hAnsi="Garamond"/>
          <w:sz w:val="24"/>
          <w:szCs w:val="24"/>
        </w:rPr>
        <w:t xml:space="preserve"> collection</w:t>
      </w:r>
      <w:r w:rsidR="00763FFE">
        <w:rPr>
          <w:rFonts w:ascii="Garamond" w:hAnsi="Garamond"/>
          <w:sz w:val="24"/>
          <w:szCs w:val="24"/>
        </w:rPr>
        <w:t xml:space="preserve"> and data </w:t>
      </w:r>
      <w:r w:rsidR="00763FFE" w:rsidRPr="007915F2">
        <w:rPr>
          <w:rFonts w:ascii="Garamond" w:hAnsi="Garamond"/>
          <w:sz w:val="24"/>
          <w:szCs w:val="24"/>
        </w:rPr>
        <w:t>preparation</w:t>
      </w:r>
      <w:r w:rsidRPr="007915F2">
        <w:rPr>
          <w:rFonts w:ascii="Garamond" w:hAnsi="Garamond"/>
          <w:sz w:val="24"/>
          <w:szCs w:val="24"/>
        </w:rPr>
        <w:t xml:space="preserve"> for each supply chain tier.  </w:t>
      </w:r>
      <w:r w:rsidR="00F04570" w:rsidRPr="007915F2">
        <w:rPr>
          <w:rFonts w:ascii="Garamond" w:hAnsi="Garamond"/>
          <w:sz w:val="24"/>
          <w:szCs w:val="24"/>
        </w:rPr>
        <w:t>The starting point for data collection was the professional and commercial medical equipment and supplies classified under standard industry code (SIC) 5047. SIC</w:t>
      </w:r>
      <w:r w:rsidR="0040750D" w:rsidRPr="007915F2">
        <w:rPr>
          <w:rFonts w:ascii="Garamond" w:hAnsi="Garamond"/>
          <w:sz w:val="24"/>
          <w:szCs w:val="24"/>
        </w:rPr>
        <w:t xml:space="preserve"> </w:t>
      </w:r>
      <w:r w:rsidR="00F04570" w:rsidRPr="007915F2">
        <w:rPr>
          <w:rFonts w:ascii="Garamond" w:hAnsi="Garamond"/>
          <w:sz w:val="24"/>
          <w:szCs w:val="24"/>
        </w:rPr>
        <w:t xml:space="preserve">5047 is described as medical, dental, and hospital equipment and supplies. After identifying 324 firms in SIC5047 we </w:t>
      </w:r>
      <w:r w:rsidR="00CC075E" w:rsidRPr="007915F2">
        <w:rPr>
          <w:rFonts w:ascii="Garamond" w:hAnsi="Garamond"/>
          <w:sz w:val="24"/>
          <w:szCs w:val="24"/>
        </w:rPr>
        <w:t xml:space="preserve">extracted </w:t>
      </w:r>
      <w:r w:rsidR="00F04570" w:rsidRPr="007915F2">
        <w:rPr>
          <w:rFonts w:ascii="Garamond" w:hAnsi="Garamond"/>
          <w:sz w:val="24"/>
          <w:szCs w:val="24"/>
        </w:rPr>
        <w:t xml:space="preserve">data </w:t>
      </w:r>
      <w:r w:rsidR="00A51EA8" w:rsidRPr="007915F2">
        <w:rPr>
          <w:rFonts w:ascii="Garamond" w:hAnsi="Garamond"/>
          <w:sz w:val="24"/>
          <w:szCs w:val="24"/>
        </w:rPr>
        <w:t xml:space="preserve">about their backward </w:t>
      </w:r>
      <w:r w:rsidRPr="007915F2">
        <w:rPr>
          <w:rFonts w:ascii="Garamond" w:hAnsi="Garamond"/>
          <w:sz w:val="24"/>
          <w:szCs w:val="24"/>
        </w:rPr>
        <w:t xml:space="preserve">supply chain </w:t>
      </w:r>
      <w:r w:rsidR="00A51EA8" w:rsidRPr="007915F2">
        <w:rPr>
          <w:rFonts w:ascii="Garamond" w:hAnsi="Garamond"/>
          <w:sz w:val="24"/>
          <w:szCs w:val="24"/>
        </w:rPr>
        <w:t xml:space="preserve">connections over five tiers. We identified 1175, 4464, 21775, </w:t>
      </w:r>
      <w:r w:rsidR="0055198F" w:rsidRPr="007915F2">
        <w:rPr>
          <w:rFonts w:ascii="Garamond" w:hAnsi="Garamond"/>
          <w:sz w:val="24"/>
          <w:szCs w:val="24"/>
        </w:rPr>
        <w:t>32</w:t>
      </w:r>
      <w:r w:rsidR="004845E4" w:rsidRPr="007915F2">
        <w:rPr>
          <w:rFonts w:ascii="Garamond" w:hAnsi="Garamond"/>
          <w:sz w:val="24"/>
          <w:szCs w:val="24"/>
        </w:rPr>
        <w:t>243</w:t>
      </w:r>
      <w:r w:rsidR="00D62404" w:rsidRPr="007915F2">
        <w:rPr>
          <w:rFonts w:ascii="Garamond" w:hAnsi="Garamond"/>
          <w:sz w:val="24"/>
          <w:szCs w:val="24"/>
        </w:rPr>
        <w:t>,</w:t>
      </w:r>
      <w:r w:rsidR="0055198F" w:rsidRPr="007915F2">
        <w:rPr>
          <w:rFonts w:ascii="Garamond" w:hAnsi="Garamond"/>
          <w:sz w:val="24"/>
          <w:szCs w:val="24"/>
        </w:rPr>
        <w:t xml:space="preserve"> and 157</w:t>
      </w:r>
      <w:r w:rsidR="00A51EA8" w:rsidRPr="007915F2">
        <w:rPr>
          <w:rFonts w:ascii="Garamond" w:hAnsi="Garamond"/>
          <w:sz w:val="24"/>
          <w:szCs w:val="24"/>
        </w:rPr>
        <w:t>438 backward dyadic connections across tiers one to five in order.</w:t>
      </w:r>
      <w:r w:rsidR="002B7BDB" w:rsidRPr="007915F2">
        <w:rPr>
          <w:rFonts w:ascii="Garamond" w:hAnsi="Garamond"/>
          <w:sz w:val="24"/>
          <w:szCs w:val="24"/>
        </w:rPr>
        <w:t xml:space="preserve"> The backward connections include </w:t>
      </w:r>
      <w:r w:rsidR="00CC075E" w:rsidRPr="007915F2">
        <w:rPr>
          <w:rFonts w:ascii="Garamond" w:hAnsi="Garamond"/>
          <w:sz w:val="24"/>
          <w:szCs w:val="24"/>
        </w:rPr>
        <w:t xml:space="preserve">numerous stakeholders such as </w:t>
      </w:r>
      <w:r w:rsidR="00DD727F" w:rsidRPr="007915F2">
        <w:rPr>
          <w:rFonts w:ascii="Garamond" w:hAnsi="Garamond"/>
          <w:sz w:val="24"/>
          <w:szCs w:val="24"/>
        </w:rPr>
        <w:t>c</w:t>
      </w:r>
      <w:r w:rsidR="002B7BDB" w:rsidRPr="007915F2">
        <w:rPr>
          <w:rFonts w:ascii="Garamond" w:hAnsi="Garamond"/>
          <w:sz w:val="24"/>
          <w:szCs w:val="24"/>
        </w:rPr>
        <w:t>reditor</w:t>
      </w:r>
      <w:r w:rsidRPr="007915F2">
        <w:rPr>
          <w:rFonts w:ascii="Garamond" w:hAnsi="Garamond"/>
          <w:sz w:val="24"/>
          <w:szCs w:val="24"/>
        </w:rPr>
        <w:t>s, landlords, l</w:t>
      </w:r>
      <w:r w:rsidR="00DD727F" w:rsidRPr="007915F2">
        <w:rPr>
          <w:rFonts w:ascii="Garamond" w:hAnsi="Garamond"/>
          <w:sz w:val="24"/>
          <w:szCs w:val="24"/>
        </w:rPr>
        <w:t>essors, licensors, suppliers, transfer agents</w:t>
      </w:r>
      <w:r w:rsidR="000324C6" w:rsidRPr="007915F2">
        <w:rPr>
          <w:rFonts w:ascii="Garamond" w:hAnsi="Garamond"/>
          <w:sz w:val="24"/>
          <w:szCs w:val="24"/>
        </w:rPr>
        <w:t>,</w:t>
      </w:r>
      <w:r w:rsidR="00DD727F" w:rsidRPr="007915F2">
        <w:rPr>
          <w:rFonts w:ascii="Garamond" w:hAnsi="Garamond"/>
          <w:sz w:val="24"/>
          <w:szCs w:val="24"/>
        </w:rPr>
        <w:t xml:space="preserve"> and v</w:t>
      </w:r>
      <w:r w:rsidR="002B7BDB" w:rsidRPr="007915F2">
        <w:rPr>
          <w:rFonts w:ascii="Garamond" w:hAnsi="Garamond"/>
          <w:sz w:val="24"/>
          <w:szCs w:val="24"/>
        </w:rPr>
        <w:t>endor</w:t>
      </w:r>
      <w:r w:rsidR="00DD727F" w:rsidRPr="007915F2">
        <w:rPr>
          <w:rFonts w:ascii="Garamond" w:hAnsi="Garamond"/>
          <w:sz w:val="24"/>
          <w:szCs w:val="24"/>
        </w:rPr>
        <w:t xml:space="preserve">s. </w:t>
      </w:r>
      <w:r w:rsidR="00AA2860" w:rsidRPr="007915F2">
        <w:rPr>
          <w:rFonts w:ascii="Garamond" w:hAnsi="Garamond"/>
          <w:sz w:val="24"/>
          <w:szCs w:val="24"/>
        </w:rPr>
        <w:t>To ensure that our data is focused on the medical equipment</w:t>
      </w:r>
      <w:r w:rsidR="00250A38" w:rsidRPr="007915F2">
        <w:rPr>
          <w:rFonts w:ascii="Garamond" w:hAnsi="Garamond"/>
          <w:sz w:val="24"/>
          <w:szCs w:val="24"/>
        </w:rPr>
        <w:t xml:space="preserve"> supply chain</w:t>
      </w:r>
      <w:r w:rsidR="00AA2860" w:rsidRPr="007915F2">
        <w:rPr>
          <w:rFonts w:ascii="Garamond" w:hAnsi="Garamond"/>
          <w:sz w:val="24"/>
          <w:szCs w:val="24"/>
        </w:rPr>
        <w:t xml:space="preserve">, we </w:t>
      </w:r>
      <w:r w:rsidR="00CC075E" w:rsidRPr="007915F2">
        <w:rPr>
          <w:rFonts w:ascii="Garamond" w:hAnsi="Garamond"/>
          <w:sz w:val="24"/>
          <w:szCs w:val="24"/>
        </w:rPr>
        <w:t xml:space="preserve">progressively eliminated </w:t>
      </w:r>
      <w:r w:rsidR="00AA2860" w:rsidRPr="007915F2">
        <w:rPr>
          <w:rFonts w:ascii="Garamond" w:hAnsi="Garamond"/>
          <w:sz w:val="24"/>
          <w:szCs w:val="24"/>
        </w:rPr>
        <w:t>the firms which were not directly involved in supply chain activities</w:t>
      </w:r>
      <w:r w:rsidR="00CC075E" w:rsidRPr="007915F2">
        <w:rPr>
          <w:rFonts w:ascii="Garamond" w:hAnsi="Garamond"/>
          <w:sz w:val="24"/>
          <w:szCs w:val="24"/>
        </w:rPr>
        <w:t xml:space="preserve"> at each tier</w:t>
      </w:r>
      <w:r w:rsidR="005B3B41" w:rsidRPr="007915F2">
        <w:rPr>
          <w:rFonts w:ascii="Garamond" w:hAnsi="Garamond"/>
          <w:sz w:val="24"/>
          <w:szCs w:val="24"/>
        </w:rPr>
        <w:t xml:space="preserve">. </w:t>
      </w:r>
      <w:r w:rsidR="005A4C6D" w:rsidRPr="007915F2">
        <w:rPr>
          <w:rFonts w:ascii="Garamond" w:hAnsi="Garamond"/>
          <w:sz w:val="24"/>
          <w:szCs w:val="24"/>
        </w:rPr>
        <w:t>A</w:t>
      </w:r>
      <w:r w:rsidR="00AA2860" w:rsidRPr="007915F2">
        <w:rPr>
          <w:rFonts w:ascii="Garamond" w:hAnsi="Garamond"/>
          <w:sz w:val="24"/>
          <w:szCs w:val="24"/>
        </w:rPr>
        <w:t>s a result,</w:t>
      </w:r>
      <w:r w:rsidR="005A4C6D" w:rsidRPr="007915F2">
        <w:rPr>
          <w:rFonts w:ascii="Garamond" w:hAnsi="Garamond"/>
          <w:sz w:val="24"/>
          <w:szCs w:val="24"/>
        </w:rPr>
        <w:t xml:space="preserve"> the </w:t>
      </w:r>
      <w:r w:rsidR="0006489F" w:rsidRPr="007915F2">
        <w:rPr>
          <w:rFonts w:ascii="Garamond" w:hAnsi="Garamond"/>
          <w:sz w:val="24"/>
          <w:szCs w:val="24"/>
        </w:rPr>
        <w:t xml:space="preserve">original </w:t>
      </w:r>
      <w:r w:rsidR="005A4C6D" w:rsidRPr="007915F2">
        <w:rPr>
          <w:rFonts w:ascii="Garamond" w:hAnsi="Garamond"/>
          <w:sz w:val="24"/>
          <w:szCs w:val="24"/>
        </w:rPr>
        <w:t xml:space="preserve">network </w:t>
      </w:r>
      <w:r w:rsidR="0006489F" w:rsidRPr="007915F2">
        <w:rPr>
          <w:rFonts w:ascii="Garamond" w:hAnsi="Garamond"/>
          <w:sz w:val="24"/>
          <w:szCs w:val="24"/>
        </w:rPr>
        <w:t xml:space="preserve">of 266,093 edges </w:t>
      </w:r>
      <w:r w:rsidR="005A4C6D" w:rsidRPr="007915F2">
        <w:rPr>
          <w:rFonts w:ascii="Garamond" w:hAnsi="Garamond"/>
          <w:sz w:val="24"/>
          <w:szCs w:val="24"/>
        </w:rPr>
        <w:t xml:space="preserve">was </w:t>
      </w:r>
      <w:r w:rsidR="0006489F" w:rsidRPr="007915F2">
        <w:rPr>
          <w:rFonts w:ascii="Garamond" w:hAnsi="Garamond"/>
          <w:sz w:val="24"/>
          <w:szCs w:val="24"/>
        </w:rPr>
        <w:t xml:space="preserve">reduced to </w:t>
      </w:r>
      <w:r w:rsidR="00AA2860" w:rsidRPr="007915F2">
        <w:rPr>
          <w:rFonts w:ascii="Garamond" w:hAnsi="Garamond"/>
          <w:sz w:val="24"/>
          <w:szCs w:val="24"/>
        </w:rPr>
        <w:t xml:space="preserve">88,397 edges. The 5-tiers of </w:t>
      </w:r>
      <w:r w:rsidR="000324C6" w:rsidRPr="007915F2">
        <w:rPr>
          <w:rFonts w:ascii="Garamond" w:hAnsi="Garamond"/>
          <w:sz w:val="24"/>
          <w:szCs w:val="24"/>
        </w:rPr>
        <w:t xml:space="preserve">the </w:t>
      </w:r>
      <w:r w:rsidR="00AA2860" w:rsidRPr="007915F2">
        <w:rPr>
          <w:rFonts w:ascii="Garamond" w:hAnsi="Garamond"/>
          <w:sz w:val="24"/>
          <w:szCs w:val="24"/>
        </w:rPr>
        <w:t>backward supply chain include 21,716 unique firms.</w:t>
      </w:r>
      <w:r w:rsidR="00560A88" w:rsidRPr="007915F2">
        <w:rPr>
          <w:rFonts w:ascii="Garamond" w:hAnsi="Garamond"/>
          <w:sz w:val="24"/>
          <w:szCs w:val="24"/>
        </w:rPr>
        <w:t xml:space="preserve"> The availability of financial information is mostly limited to public firms and only available for 3,826 firms. To conduct the comparativ</w:t>
      </w:r>
      <w:r w:rsidR="00250A38" w:rsidRPr="007915F2">
        <w:rPr>
          <w:rFonts w:ascii="Garamond" w:hAnsi="Garamond"/>
          <w:sz w:val="24"/>
          <w:szCs w:val="24"/>
        </w:rPr>
        <w:t>e analysis 637 Chinese (headquartered in</w:t>
      </w:r>
      <w:r w:rsidR="00AB1DE2" w:rsidRPr="007915F2">
        <w:rPr>
          <w:rFonts w:ascii="Garamond" w:hAnsi="Garamond"/>
          <w:sz w:val="24"/>
          <w:szCs w:val="24"/>
        </w:rPr>
        <w:t xml:space="preserve"> China, Hong Kong, Macao</w:t>
      </w:r>
      <w:r w:rsidR="000324C6" w:rsidRPr="007915F2">
        <w:rPr>
          <w:rFonts w:ascii="Garamond" w:hAnsi="Garamond"/>
          <w:sz w:val="24"/>
          <w:szCs w:val="24"/>
        </w:rPr>
        <w:t>,</w:t>
      </w:r>
      <w:r w:rsidR="00AB1DE2" w:rsidRPr="007915F2">
        <w:rPr>
          <w:rFonts w:ascii="Garamond" w:hAnsi="Garamond"/>
          <w:sz w:val="24"/>
          <w:szCs w:val="24"/>
        </w:rPr>
        <w:t xml:space="preserve"> </w:t>
      </w:r>
      <w:r w:rsidR="00560A88" w:rsidRPr="007915F2">
        <w:rPr>
          <w:rFonts w:ascii="Garamond" w:hAnsi="Garamond"/>
          <w:sz w:val="24"/>
          <w:szCs w:val="24"/>
        </w:rPr>
        <w:t xml:space="preserve">and Taiwan) </w:t>
      </w:r>
      <w:r w:rsidR="00CC075E" w:rsidRPr="007915F2">
        <w:rPr>
          <w:rFonts w:ascii="Garamond" w:hAnsi="Garamond"/>
          <w:sz w:val="24"/>
          <w:szCs w:val="24"/>
        </w:rPr>
        <w:t xml:space="preserve">firms </w:t>
      </w:r>
      <w:r w:rsidR="00560A88" w:rsidRPr="007915F2">
        <w:rPr>
          <w:rFonts w:ascii="Garamond" w:hAnsi="Garamond"/>
          <w:sz w:val="24"/>
          <w:szCs w:val="24"/>
        </w:rPr>
        <w:t xml:space="preserve">were removed from the sample. </w:t>
      </w:r>
      <w:r w:rsidR="006C348F" w:rsidRPr="007915F2">
        <w:rPr>
          <w:rFonts w:ascii="Garamond" w:hAnsi="Garamond"/>
          <w:sz w:val="24"/>
          <w:szCs w:val="24"/>
        </w:rPr>
        <w:t xml:space="preserve">The network centrality measures were </w:t>
      </w:r>
      <w:r w:rsidR="006C348F" w:rsidRPr="007915F2">
        <w:rPr>
          <w:rFonts w:ascii="Garamond" w:hAnsi="Garamond"/>
          <w:sz w:val="24"/>
          <w:szCs w:val="24"/>
        </w:rPr>
        <w:lastRenderedPageBreak/>
        <w:t>calculated using the whole network to provide the most accurate measure of the global network characteristics of the firms.</w:t>
      </w:r>
      <w:r w:rsidR="005B6E20" w:rsidRPr="007915F2">
        <w:rPr>
          <w:rFonts w:ascii="Garamond" w:hAnsi="Garamond"/>
          <w:sz w:val="24"/>
          <w:szCs w:val="24"/>
        </w:rPr>
        <w:t xml:space="preserve"> Figure 1 displays the 5-tiers visualization of the supply chain network. </w:t>
      </w:r>
    </w:p>
    <w:p w14:paraId="4E99B98B" w14:textId="35FE6DA7" w:rsidR="005B6E20" w:rsidRDefault="005B6E20" w:rsidP="00D61CD6">
      <w:pPr>
        <w:spacing w:after="0" w:line="240" w:lineRule="auto"/>
        <w:jc w:val="both"/>
        <w:rPr>
          <w:rFonts w:ascii="Garamond" w:hAnsi="Garamond"/>
          <w:sz w:val="24"/>
          <w:szCs w:val="24"/>
        </w:rPr>
      </w:pPr>
    </w:p>
    <w:p w14:paraId="7CC17F0C" w14:textId="2633F855" w:rsidR="00763FFE" w:rsidRDefault="00763FFE" w:rsidP="00D61CD6">
      <w:pPr>
        <w:spacing w:after="0" w:line="240" w:lineRule="auto"/>
        <w:jc w:val="both"/>
        <w:rPr>
          <w:rFonts w:ascii="Garamond" w:hAnsi="Garamond"/>
          <w:sz w:val="24"/>
          <w:szCs w:val="24"/>
        </w:rPr>
      </w:pPr>
    </w:p>
    <w:p w14:paraId="32CA89DB" w14:textId="1F175A25" w:rsidR="00763FFE" w:rsidRDefault="00763FFE" w:rsidP="00D61CD6">
      <w:pPr>
        <w:spacing w:after="0" w:line="240" w:lineRule="auto"/>
        <w:jc w:val="both"/>
        <w:rPr>
          <w:rFonts w:ascii="Garamond" w:hAnsi="Garamond"/>
          <w:sz w:val="24"/>
          <w:szCs w:val="24"/>
        </w:rPr>
      </w:pPr>
    </w:p>
    <w:p w14:paraId="5DEA1123" w14:textId="77A0416E" w:rsidR="00763FFE" w:rsidRDefault="00763FFE" w:rsidP="00D61CD6">
      <w:pPr>
        <w:spacing w:after="0" w:line="240" w:lineRule="auto"/>
        <w:jc w:val="both"/>
        <w:rPr>
          <w:rFonts w:ascii="Garamond" w:hAnsi="Garamond"/>
          <w:sz w:val="24"/>
          <w:szCs w:val="24"/>
        </w:rPr>
      </w:pPr>
    </w:p>
    <w:p w14:paraId="59FB115F" w14:textId="77777777" w:rsidR="00763FFE" w:rsidRPr="007915F2" w:rsidRDefault="00763FFE" w:rsidP="00D61CD6">
      <w:pPr>
        <w:spacing w:after="0" w:line="240" w:lineRule="auto"/>
        <w:jc w:val="both"/>
        <w:rPr>
          <w:rFonts w:ascii="Garamond" w:hAnsi="Garamond"/>
          <w:sz w:val="24"/>
          <w:szCs w:val="24"/>
        </w:rPr>
      </w:pPr>
    </w:p>
    <w:p w14:paraId="7A6FEC9F" w14:textId="77777777" w:rsidR="005B6E20" w:rsidRPr="007915F2" w:rsidRDefault="005B6E20" w:rsidP="00D61CD6">
      <w:pPr>
        <w:spacing w:after="0" w:line="240" w:lineRule="auto"/>
        <w:jc w:val="center"/>
        <w:rPr>
          <w:rFonts w:ascii="Garamond" w:hAnsi="Garamond"/>
          <w:sz w:val="24"/>
          <w:szCs w:val="24"/>
        </w:rPr>
      </w:pPr>
      <w:r w:rsidRPr="007915F2">
        <w:rPr>
          <w:rFonts w:ascii="Garamond" w:hAnsi="Garamond"/>
          <w:sz w:val="24"/>
          <w:szCs w:val="24"/>
        </w:rPr>
        <w:t xml:space="preserve">Figure 1: Visualization of </w:t>
      </w:r>
      <w:r w:rsidR="00B60F8C" w:rsidRPr="007915F2">
        <w:rPr>
          <w:rFonts w:ascii="Garamond" w:hAnsi="Garamond"/>
          <w:sz w:val="24"/>
          <w:szCs w:val="24"/>
        </w:rPr>
        <w:t>the</w:t>
      </w:r>
      <w:r w:rsidRPr="007915F2">
        <w:rPr>
          <w:rFonts w:ascii="Garamond" w:hAnsi="Garamond"/>
          <w:sz w:val="24"/>
          <w:szCs w:val="24"/>
        </w:rPr>
        <w:t xml:space="preserve"> 5-tiers Supply Chain of </w:t>
      </w:r>
      <w:r w:rsidR="00B60F8C" w:rsidRPr="007915F2">
        <w:rPr>
          <w:rFonts w:ascii="Garamond" w:hAnsi="Garamond"/>
          <w:sz w:val="24"/>
          <w:szCs w:val="24"/>
        </w:rPr>
        <w:t>M</w:t>
      </w:r>
      <w:r w:rsidRPr="007915F2">
        <w:rPr>
          <w:rFonts w:ascii="Garamond" w:hAnsi="Garamond"/>
          <w:sz w:val="24"/>
          <w:szCs w:val="24"/>
        </w:rPr>
        <w:t xml:space="preserve">edical </w:t>
      </w:r>
      <w:r w:rsidR="00B60F8C" w:rsidRPr="007915F2">
        <w:rPr>
          <w:rFonts w:ascii="Garamond" w:hAnsi="Garamond"/>
          <w:sz w:val="24"/>
          <w:szCs w:val="24"/>
        </w:rPr>
        <w:t>E</w:t>
      </w:r>
      <w:r w:rsidRPr="007915F2">
        <w:rPr>
          <w:rFonts w:ascii="Garamond" w:hAnsi="Garamond"/>
          <w:sz w:val="24"/>
          <w:szCs w:val="24"/>
        </w:rPr>
        <w:t>quipment</w:t>
      </w:r>
    </w:p>
    <w:p w14:paraId="32D59BE1" w14:textId="77777777" w:rsidR="005B6E20" w:rsidRPr="007915F2" w:rsidRDefault="005B6E20" w:rsidP="00D61CD6">
      <w:pPr>
        <w:spacing w:after="0" w:line="240" w:lineRule="auto"/>
        <w:jc w:val="both"/>
        <w:rPr>
          <w:rFonts w:ascii="Garamond" w:hAnsi="Garamond"/>
          <w:sz w:val="24"/>
          <w:szCs w:val="24"/>
        </w:rPr>
      </w:pPr>
    </w:p>
    <w:p w14:paraId="47C9D3FD" w14:textId="77777777" w:rsidR="00B60F8C" w:rsidRPr="007915F2" w:rsidRDefault="00CE0DB8" w:rsidP="00D61CD6">
      <w:pPr>
        <w:spacing w:after="0" w:line="240" w:lineRule="auto"/>
        <w:jc w:val="center"/>
        <w:rPr>
          <w:rFonts w:ascii="Garamond" w:hAnsi="Garamond"/>
          <w:sz w:val="24"/>
          <w:szCs w:val="24"/>
        </w:rPr>
      </w:pPr>
      <w:r w:rsidRPr="007915F2">
        <w:rPr>
          <w:rFonts w:ascii="Garamond" w:hAnsi="Garamond"/>
          <w:noProof/>
          <w:sz w:val="24"/>
          <w:szCs w:val="24"/>
        </w:rPr>
        <w:drawing>
          <wp:inline distT="0" distB="0" distL="0" distR="0" wp14:anchorId="10A81F59" wp14:editId="7FBBE211">
            <wp:extent cx="3613150" cy="2388694"/>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9608" cy="2406185"/>
                    </a:xfrm>
                    <a:prstGeom prst="rect">
                      <a:avLst/>
                    </a:prstGeom>
                    <a:noFill/>
                    <a:ln>
                      <a:noFill/>
                    </a:ln>
                  </pic:spPr>
                </pic:pic>
              </a:graphicData>
            </a:graphic>
          </wp:inline>
        </w:drawing>
      </w:r>
    </w:p>
    <w:p w14:paraId="24D6752B" w14:textId="294D2C18" w:rsidR="00B60F8C" w:rsidRPr="007915F2" w:rsidRDefault="00B60F8C" w:rsidP="00D61CD6">
      <w:pPr>
        <w:spacing w:after="0" w:line="240" w:lineRule="auto"/>
        <w:jc w:val="both"/>
        <w:rPr>
          <w:rFonts w:ascii="Garamond" w:hAnsi="Garamond"/>
          <w:sz w:val="24"/>
          <w:szCs w:val="24"/>
        </w:rPr>
      </w:pPr>
      <w:r w:rsidRPr="007915F2">
        <w:rPr>
          <w:rFonts w:ascii="Garamond" w:hAnsi="Garamond"/>
          <w:sz w:val="24"/>
          <w:szCs w:val="24"/>
        </w:rPr>
        <w:t>In the visualization presented in Figure 1, node and text sizes represent the firms’ eigenvector centrality. The color</w:t>
      </w:r>
      <w:r w:rsidR="002A6029" w:rsidRPr="007915F2">
        <w:rPr>
          <w:rFonts w:ascii="Garamond" w:hAnsi="Garamond"/>
          <w:sz w:val="24"/>
          <w:szCs w:val="24"/>
        </w:rPr>
        <w:t>s</w:t>
      </w:r>
      <w:r w:rsidRPr="007915F2">
        <w:rPr>
          <w:rFonts w:ascii="Garamond" w:hAnsi="Garamond"/>
          <w:sz w:val="24"/>
          <w:szCs w:val="24"/>
        </w:rPr>
        <w:t xml:space="preserve"> distinguish the clustering using the Blondel, Guillaume, Lambiotte</w:t>
      </w:r>
      <w:r w:rsidR="002A6029" w:rsidRPr="007915F2">
        <w:rPr>
          <w:rFonts w:ascii="Garamond" w:hAnsi="Garamond"/>
          <w:sz w:val="24"/>
          <w:szCs w:val="24"/>
        </w:rPr>
        <w:t>,</w:t>
      </w:r>
      <w:r w:rsidRPr="007915F2">
        <w:rPr>
          <w:rFonts w:ascii="Garamond" w:hAnsi="Garamond"/>
          <w:sz w:val="24"/>
          <w:szCs w:val="24"/>
        </w:rPr>
        <w:t xml:space="preserve"> and Lefebvre (2008) community identification clustering algorithm. At the 5-tiers supply c</w:t>
      </w:r>
      <w:r w:rsidR="002A6029" w:rsidRPr="007915F2">
        <w:rPr>
          <w:rFonts w:ascii="Garamond" w:hAnsi="Garamond"/>
          <w:sz w:val="24"/>
          <w:szCs w:val="24"/>
        </w:rPr>
        <w:t>h</w:t>
      </w:r>
      <w:r w:rsidRPr="007915F2">
        <w:rPr>
          <w:rFonts w:ascii="Garamond" w:hAnsi="Garamond"/>
          <w:sz w:val="24"/>
          <w:szCs w:val="24"/>
        </w:rPr>
        <w:t>ain network</w:t>
      </w:r>
      <w:r w:rsidR="002A6029" w:rsidRPr="007915F2">
        <w:rPr>
          <w:rFonts w:ascii="Garamond" w:hAnsi="Garamond"/>
          <w:sz w:val="24"/>
          <w:szCs w:val="24"/>
        </w:rPr>
        <w:t>,</w:t>
      </w:r>
      <w:r w:rsidRPr="007915F2">
        <w:rPr>
          <w:rFonts w:ascii="Garamond" w:hAnsi="Garamond"/>
          <w:sz w:val="24"/>
          <w:szCs w:val="24"/>
        </w:rPr>
        <w:t xml:space="preserve"> 93 clusters were identified. </w:t>
      </w:r>
      <w:r w:rsidR="002A6029" w:rsidRPr="007915F2">
        <w:rPr>
          <w:rFonts w:ascii="Garamond" w:hAnsi="Garamond"/>
          <w:sz w:val="24"/>
          <w:szCs w:val="24"/>
        </w:rPr>
        <w:t>The d</w:t>
      </w:r>
      <w:r w:rsidRPr="007915F2">
        <w:rPr>
          <w:rFonts w:ascii="Garamond" w:hAnsi="Garamond"/>
          <w:sz w:val="24"/>
          <w:szCs w:val="24"/>
        </w:rPr>
        <w:t xml:space="preserve">istribution of the size of communities </w:t>
      </w:r>
      <w:r w:rsidR="002A6029" w:rsidRPr="007915F2">
        <w:rPr>
          <w:rFonts w:ascii="Garamond" w:hAnsi="Garamond"/>
          <w:sz w:val="24"/>
          <w:szCs w:val="24"/>
        </w:rPr>
        <w:t>is</w:t>
      </w:r>
      <w:r w:rsidRPr="007915F2">
        <w:rPr>
          <w:rFonts w:ascii="Garamond" w:hAnsi="Garamond"/>
          <w:sz w:val="24"/>
          <w:szCs w:val="24"/>
        </w:rPr>
        <w:t xml:space="preserve"> presented in Appendix 1.</w:t>
      </w:r>
      <w:r w:rsidR="00B77050" w:rsidRPr="007915F2">
        <w:rPr>
          <w:rFonts w:ascii="Garamond" w:hAnsi="Garamond"/>
          <w:sz w:val="24"/>
          <w:szCs w:val="24"/>
        </w:rPr>
        <w:t xml:space="preserve"> These firms represent </w:t>
      </w:r>
      <w:r w:rsidR="00D36EC9" w:rsidRPr="007915F2">
        <w:rPr>
          <w:rFonts w:ascii="Garamond" w:hAnsi="Garamond"/>
          <w:sz w:val="24"/>
          <w:szCs w:val="24"/>
        </w:rPr>
        <w:t>844 industries defined within SIC</w:t>
      </w:r>
      <w:r w:rsidR="001904D8" w:rsidRPr="007915F2">
        <w:rPr>
          <w:rFonts w:ascii="Garamond" w:hAnsi="Garamond"/>
          <w:sz w:val="24"/>
          <w:szCs w:val="24"/>
        </w:rPr>
        <w:t xml:space="preserve"> and 138 countries</w:t>
      </w:r>
      <w:r w:rsidR="00D36EC9" w:rsidRPr="007915F2">
        <w:rPr>
          <w:rFonts w:ascii="Garamond" w:hAnsi="Garamond"/>
          <w:sz w:val="24"/>
          <w:szCs w:val="24"/>
        </w:rPr>
        <w:t xml:space="preserve">. The top </w:t>
      </w:r>
      <w:r w:rsidR="00DD45E7" w:rsidRPr="007915F2">
        <w:rPr>
          <w:rFonts w:ascii="Garamond" w:hAnsi="Garamond"/>
          <w:sz w:val="24"/>
          <w:szCs w:val="24"/>
        </w:rPr>
        <w:t>six</w:t>
      </w:r>
      <w:r w:rsidR="00D36EC9" w:rsidRPr="007915F2">
        <w:rPr>
          <w:rFonts w:ascii="Garamond" w:hAnsi="Garamond"/>
          <w:sz w:val="24"/>
          <w:szCs w:val="24"/>
        </w:rPr>
        <w:t xml:space="preserve"> industries</w:t>
      </w:r>
      <w:r w:rsidR="00EE60CB" w:rsidRPr="007915F2">
        <w:rPr>
          <w:rStyle w:val="FootnoteReference"/>
          <w:rFonts w:ascii="Garamond" w:hAnsi="Garamond"/>
          <w:sz w:val="24"/>
          <w:szCs w:val="24"/>
        </w:rPr>
        <w:footnoteReference w:id="1"/>
      </w:r>
      <w:r w:rsidR="00D36EC9" w:rsidRPr="007915F2">
        <w:rPr>
          <w:rFonts w:ascii="Garamond" w:hAnsi="Garamond"/>
          <w:sz w:val="24"/>
          <w:szCs w:val="24"/>
        </w:rPr>
        <w:t xml:space="preserve"> (measure</w:t>
      </w:r>
      <w:r w:rsidR="00CC075E" w:rsidRPr="007915F2">
        <w:rPr>
          <w:rFonts w:ascii="Garamond" w:hAnsi="Garamond"/>
          <w:sz w:val="24"/>
          <w:szCs w:val="24"/>
        </w:rPr>
        <w:t>d</w:t>
      </w:r>
      <w:r w:rsidR="00D36EC9" w:rsidRPr="007915F2">
        <w:rPr>
          <w:rFonts w:ascii="Garamond" w:hAnsi="Garamond"/>
          <w:sz w:val="24"/>
          <w:szCs w:val="24"/>
        </w:rPr>
        <w:t xml:space="preserve"> by the number of firms from those industries) contributing to the global medication equipment are </w:t>
      </w:r>
      <w:r w:rsidR="00A90E0F" w:rsidRPr="007915F2">
        <w:rPr>
          <w:rFonts w:ascii="Garamond" w:hAnsi="Garamond"/>
          <w:sz w:val="24"/>
          <w:szCs w:val="24"/>
        </w:rPr>
        <w:t xml:space="preserve">1. </w:t>
      </w:r>
      <w:r w:rsidR="00D36EC9" w:rsidRPr="007915F2">
        <w:rPr>
          <w:rFonts w:ascii="Garamond" w:hAnsi="Garamond"/>
          <w:sz w:val="24"/>
          <w:szCs w:val="24"/>
        </w:rPr>
        <w:t>Computer programming, data processing, and other computer</w:t>
      </w:r>
      <w:r w:rsidR="00763FFE">
        <w:rPr>
          <w:rFonts w:ascii="Garamond" w:hAnsi="Garamond"/>
          <w:sz w:val="24"/>
          <w:szCs w:val="24"/>
        </w:rPr>
        <w:t>-</w:t>
      </w:r>
      <w:r w:rsidR="00D36EC9" w:rsidRPr="007915F2">
        <w:rPr>
          <w:rFonts w:ascii="Garamond" w:hAnsi="Garamond"/>
          <w:sz w:val="24"/>
          <w:szCs w:val="24"/>
        </w:rPr>
        <w:t xml:space="preserve">related services (10,559 </w:t>
      </w:r>
      <w:r w:rsidR="00EE60CB" w:rsidRPr="007915F2">
        <w:rPr>
          <w:rFonts w:ascii="Garamond" w:hAnsi="Garamond"/>
          <w:sz w:val="24"/>
          <w:szCs w:val="24"/>
        </w:rPr>
        <w:t>edges</w:t>
      </w:r>
      <w:r w:rsidR="00D36EC9" w:rsidRPr="007915F2">
        <w:rPr>
          <w:rFonts w:ascii="Garamond" w:hAnsi="Garamond"/>
          <w:sz w:val="24"/>
          <w:szCs w:val="24"/>
        </w:rPr>
        <w:t xml:space="preserve">), </w:t>
      </w:r>
      <w:r w:rsidR="00A90E0F" w:rsidRPr="007915F2">
        <w:rPr>
          <w:rFonts w:ascii="Garamond" w:hAnsi="Garamond"/>
          <w:sz w:val="24"/>
          <w:szCs w:val="24"/>
        </w:rPr>
        <w:t xml:space="preserve">2. </w:t>
      </w:r>
      <w:r w:rsidR="00D36EC9" w:rsidRPr="007915F2">
        <w:rPr>
          <w:rFonts w:ascii="Garamond" w:hAnsi="Garamond"/>
          <w:sz w:val="24"/>
          <w:szCs w:val="24"/>
        </w:rPr>
        <w:t xml:space="preserve">Motor vehicles and car bodies (9,225 </w:t>
      </w:r>
      <w:r w:rsidR="00EE60CB" w:rsidRPr="007915F2">
        <w:rPr>
          <w:rFonts w:ascii="Garamond" w:hAnsi="Garamond"/>
          <w:sz w:val="24"/>
          <w:szCs w:val="24"/>
        </w:rPr>
        <w:t>edges</w:t>
      </w:r>
      <w:r w:rsidR="00D36EC9" w:rsidRPr="007915F2">
        <w:rPr>
          <w:rFonts w:ascii="Garamond" w:hAnsi="Garamond"/>
          <w:sz w:val="24"/>
          <w:szCs w:val="24"/>
        </w:rPr>
        <w:t xml:space="preserve">), </w:t>
      </w:r>
      <w:r w:rsidR="00A90E0F" w:rsidRPr="007915F2">
        <w:rPr>
          <w:rFonts w:ascii="Garamond" w:hAnsi="Garamond"/>
          <w:sz w:val="24"/>
          <w:szCs w:val="24"/>
        </w:rPr>
        <w:t xml:space="preserve">3. </w:t>
      </w:r>
      <w:r w:rsidR="00D36EC9" w:rsidRPr="007915F2">
        <w:rPr>
          <w:rFonts w:ascii="Garamond" w:hAnsi="Garamond"/>
          <w:sz w:val="24"/>
          <w:szCs w:val="24"/>
        </w:rPr>
        <w:t xml:space="preserve">Semiconductors and related devices (8,740 </w:t>
      </w:r>
      <w:r w:rsidR="00EE60CB" w:rsidRPr="007915F2">
        <w:rPr>
          <w:rFonts w:ascii="Garamond" w:hAnsi="Garamond"/>
          <w:sz w:val="24"/>
          <w:szCs w:val="24"/>
        </w:rPr>
        <w:t>edges</w:t>
      </w:r>
      <w:r w:rsidR="00D36EC9" w:rsidRPr="007915F2">
        <w:rPr>
          <w:rFonts w:ascii="Garamond" w:hAnsi="Garamond"/>
          <w:sz w:val="24"/>
          <w:szCs w:val="24"/>
        </w:rPr>
        <w:t xml:space="preserve">), </w:t>
      </w:r>
      <w:r w:rsidR="00A90E0F" w:rsidRPr="007915F2">
        <w:rPr>
          <w:rFonts w:ascii="Garamond" w:hAnsi="Garamond"/>
          <w:sz w:val="24"/>
          <w:szCs w:val="24"/>
        </w:rPr>
        <w:t xml:space="preserve">4. </w:t>
      </w:r>
      <w:r w:rsidR="00D36EC9" w:rsidRPr="007915F2">
        <w:rPr>
          <w:rFonts w:ascii="Garamond" w:hAnsi="Garamond"/>
          <w:sz w:val="24"/>
          <w:szCs w:val="24"/>
        </w:rPr>
        <w:t xml:space="preserve">Prepackaged software (8,246 </w:t>
      </w:r>
      <w:r w:rsidR="00EE60CB" w:rsidRPr="007915F2">
        <w:rPr>
          <w:rFonts w:ascii="Garamond" w:hAnsi="Garamond"/>
          <w:sz w:val="24"/>
          <w:szCs w:val="24"/>
        </w:rPr>
        <w:t>edges</w:t>
      </w:r>
      <w:r w:rsidR="00D36EC9" w:rsidRPr="007915F2">
        <w:rPr>
          <w:rFonts w:ascii="Garamond" w:hAnsi="Garamond"/>
          <w:sz w:val="24"/>
          <w:szCs w:val="24"/>
        </w:rPr>
        <w:t xml:space="preserve">), </w:t>
      </w:r>
      <w:r w:rsidR="00A90E0F" w:rsidRPr="007915F2">
        <w:rPr>
          <w:rFonts w:ascii="Garamond" w:hAnsi="Garamond"/>
          <w:sz w:val="24"/>
          <w:szCs w:val="24"/>
        </w:rPr>
        <w:t xml:space="preserve">5. </w:t>
      </w:r>
      <w:r w:rsidR="00D36EC9" w:rsidRPr="007915F2">
        <w:rPr>
          <w:rFonts w:ascii="Garamond" w:hAnsi="Garamond"/>
          <w:sz w:val="24"/>
          <w:szCs w:val="24"/>
        </w:rPr>
        <w:t>Motor vehicle parts and accessories (6,</w:t>
      </w:r>
      <w:r w:rsidR="00DD45E7" w:rsidRPr="007915F2">
        <w:rPr>
          <w:rFonts w:ascii="Garamond" w:hAnsi="Garamond"/>
          <w:sz w:val="24"/>
          <w:szCs w:val="24"/>
        </w:rPr>
        <w:t xml:space="preserve">363 </w:t>
      </w:r>
      <w:r w:rsidR="00EE60CB" w:rsidRPr="007915F2">
        <w:rPr>
          <w:rFonts w:ascii="Garamond" w:hAnsi="Garamond"/>
          <w:sz w:val="24"/>
          <w:szCs w:val="24"/>
        </w:rPr>
        <w:t>edges</w:t>
      </w:r>
      <w:r w:rsidR="00DD45E7" w:rsidRPr="007915F2">
        <w:rPr>
          <w:rFonts w:ascii="Garamond" w:hAnsi="Garamond"/>
          <w:sz w:val="24"/>
          <w:szCs w:val="24"/>
        </w:rPr>
        <w:t xml:space="preserve">) and </w:t>
      </w:r>
      <w:r w:rsidR="00A90E0F" w:rsidRPr="007915F2">
        <w:rPr>
          <w:rFonts w:ascii="Garamond" w:hAnsi="Garamond"/>
          <w:sz w:val="24"/>
          <w:szCs w:val="24"/>
        </w:rPr>
        <w:t xml:space="preserve">6. </w:t>
      </w:r>
      <w:r w:rsidR="00DD45E7" w:rsidRPr="007915F2">
        <w:rPr>
          <w:rFonts w:ascii="Garamond" w:hAnsi="Garamond"/>
          <w:sz w:val="24"/>
          <w:szCs w:val="24"/>
        </w:rPr>
        <w:t xml:space="preserve">Pharmaceutical preparations (5,513 </w:t>
      </w:r>
      <w:r w:rsidR="00EE60CB" w:rsidRPr="007915F2">
        <w:rPr>
          <w:rFonts w:ascii="Garamond" w:hAnsi="Garamond"/>
          <w:sz w:val="24"/>
          <w:szCs w:val="24"/>
        </w:rPr>
        <w:t>edges</w:t>
      </w:r>
      <w:r w:rsidR="00DD45E7" w:rsidRPr="007915F2">
        <w:rPr>
          <w:rFonts w:ascii="Garamond" w:hAnsi="Garamond"/>
          <w:sz w:val="24"/>
          <w:szCs w:val="24"/>
        </w:rPr>
        <w:t>).</w:t>
      </w:r>
      <w:r w:rsidR="003A3B74" w:rsidRPr="007915F2">
        <w:rPr>
          <w:rFonts w:ascii="Garamond" w:hAnsi="Garamond"/>
          <w:sz w:val="24"/>
          <w:szCs w:val="24"/>
        </w:rPr>
        <w:t xml:space="preserve"> The top six countries where the firms in this supply chain are headquartered are </w:t>
      </w:r>
      <w:r w:rsidR="00A90E0F" w:rsidRPr="007915F2">
        <w:rPr>
          <w:rFonts w:ascii="Garamond" w:hAnsi="Garamond"/>
          <w:sz w:val="24"/>
          <w:szCs w:val="24"/>
        </w:rPr>
        <w:t xml:space="preserve">1. </w:t>
      </w:r>
      <w:r w:rsidR="003A3B74" w:rsidRPr="007915F2">
        <w:rPr>
          <w:rFonts w:ascii="Garamond" w:hAnsi="Garamond"/>
          <w:sz w:val="24"/>
          <w:szCs w:val="24"/>
        </w:rPr>
        <w:t xml:space="preserve">United States (52,108 </w:t>
      </w:r>
      <w:r w:rsidR="00EE60CB" w:rsidRPr="007915F2">
        <w:rPr>
          <w:rFonts w:ascii="Garamond" w:hAnsi="Garamond"/>
          <w:sz w:val="24"/>
          <w:szCs w:val="24"/>
        </w:rPr>
        <w:t>edges</w:t>
      </w:r>
      <w:r w:rsidR="003A3B74" w:rsidRPr="007915F2">
        <w:rPr>
          <w:rFonts w:ascii="Garamond" w:hAnsi="Garamond"/>
          <w:sz w:val="24"/>
          <w:szCs w:val="24"/>
        </w:rPr>
        <w:t xml:space="preserve">), </w:t>
      </w:r>
      <w:r w:rsidR="00A90E0F" w:rsidRPr="007915F2">
        <w:rPr>
          <w:rFonts w:ascii="Garamond" w:hAnsi="Garamond"/>
          <w:sz w:val="24"/>
          <w:szCs w:val="24"/>
        </w:rPr>
        <w:t xml:space="preserve">2. China (22,752 </w:t>
      </w:r>
      <w:r w:rsidR="00EE60CB" w:rsidRPr="007915F2">
        <w:rPr>
          <w:rFonts w:ascii="Garamond" w:hAnsi="Garamond"/>
          <w:sz w:val="24"/>
          <w:szCs w:val="24"/>
        </w:rPr>
        <w:t>edges</w:t>
      </w:r>
      <w:r w:rsidR="001904D8" w:rsidRPr="007915F2">
        <w:rPr>
          <w:rFonts w:ascii="Garamond" w:hAnsi="Garamond"/>
          <w:sz w:val="24"/>
          <w:szCs w:val="24"/>
        </w:rPr>
        <w:t>; 11,707 edges</w:t>
      </w:r>
      <w:r w:rsidR="00EE60CB" w:rsidRPr="007915F2">
        <w:rPr>
          <w:rFonts w:ascii="Garamond" w:hAnsi="Garamond"/>
          <w:sz w:val="24"/>
          <w:szCs w:val="24"/>
        </w:rPr>
        <w:t xml:space="preserve"> </w:t>
      </w:r>
      <w:r w:rsidR="00A90E0F" w:rsidRPr="007915F2">
        <w:rPr>
          <w:rFonts w:ascii="Garamond" w:hAnsi="Garamond"/>
          <w:sz w:val="24"/>
          <w:szCs w:val="24"/>
        </w:rPr>
        <w:t xml:space="preserve">in mainland China, 9,696 </w:t>
      </w:r>
      <w:r w:rsidR="00EE60CB" w:rsidRPr="007915F2">
        <w:rPr>
          <w:rFonts w:ascii="Garamond" w:hAnsi="Garamond"/>
          <w:sz w:val="24"/>
          <w:szCs w:val="24"/>
        </w:rPr>
        <w:t xml:space="preserve">edges </w:t>
      </w:r>
      <w:r w:rsidR="00A90E0F" w:rsidRPr="007915F2">
        <w:rPr>
          <w:rFonts w:ascii="Garamond" w:hAnsi="Garamond"/>
          <w:sz w:val="24"/>
          <w:szCs w:val="24"/>
        </w:rPr>
        <w:t xml:space="preserve">in Taiwan, and 1,349 </w:t>
      </w:r>
      <w:r w:rsidR="00EE60CB" w:rsidRPr="007915F2">
        <w:rPr>
          <w:rFonts w:ascii="Garamond" w:hAnsi="Garamond"/>
          <w:sz w:val="24"/>
          <w:szCs w:val="24"/>
        </w:rPr>
        <w:t xml:space="preserve">edges </w:t>
      </w:r>
      <w:r w:rsidR="00A90E0F" w:rsidRPr="007915F2">
        <w:rPr>
          <w:rFonts w:ascii="Garamond" w:hAnsi="Garamond"/>
          <w:sz w:val="24"/>
          <w:szCs w:val="24"/>
        </w:rPr>
        <w:t xml:space="preserve">in Hong Kong), 3. Japan (19,709 </w:t>
      </w:r>
      <w:r w:rsidR="00EE60CB" w:rsidRPr="007915F2">
        <w:rPr>
          <w:rFonts w:ascii="Garamond" w:hAnsi="Garamond"/>
          <w:sz w:val="24"/>
          <w:szCs w:val="24"/>
        </w:rPr>
        <w:t>edges</w:t>
      </w:r>
      <w:r w:rsidR="00A90E0F" w:rsidRPr="007915F2">
        <w:rPr>
          <w:rFonts w:ascii="Garamond" w:hAnsi="Garamond"/>
          <w:sz w:val="24"/>
          <w:szCs w:val="24"/>
        </w:rPr>
        <w:t xml:space="preserve">), 4. India (10,844 </w:t>
      </w:r>
      <w:r w:rsidR="00EE60CB" w:rsidRPr="007915F2">
        <w:rPr>
          <w:rFonts w:ascii="Garamond" w:hAnsi="Garamond"/>
          <w:sz w:val="24"/>
          <w:szCs w:val="24"/>
        </w:rPr>
        <w:t>edges</w:t>
      </w:r>
      <w:r w:rsidR="00A90E0F" w:rsidRPr="007915F2">
        <w:rPr>
          <w:rFonts w:ascii="Garamond" w:hAnsi="Garamond"/>
          <w:sz w:val="24"/>
          <w:szCs w:val="24"/>
        </w:rPr>
        <w:t xml:space="preserve">), 5. South Korea (8,112 </w:t>
      </w:r>
      <w:r w:rsidR="00EE60CB" w:rsidRPr="007915F2">
        <w:rPr>
          <w:rFonts w:ascii="Garamond" w:hAnsi="Garamond"/>
          <w:sz w:val="24"/>
          <w:szCs w:val="24"/>
        </w:rPr>
        <w:t>edges</w:t>
      </w:r>
      <w:r w:rsidR="00A90E0F" w:rsidRPr="007915F2">
        <w:rPr>
          <w:rFonts w:ascii="Garamond" w:hAnsi="Garamond"/>
          <w:sz w:val="24"/>
          <w:szCs w:val="24"/>
        </w:rPr>
        <w:t xml:space="preserve">), and 6. Germany (6,992 </w:t>
      </w:r>
      <w:r w:rsidR="00EE60CB" w:rsidRPr="007915F2">
        <w:rPr>
          <w:rFonts w:ascii="Garamond" w:hAnsi="Garamond"/>
          <w:sz w:val="24"/>
          <w:szCs w:val="24"/>
        </w:rPr>
        <w:t>edges</w:t>
      </w:r>
      <w:r w:rsidR="00A90E0F" w:rsidRPr="007915F2">
        <w:rPr>
          <w:rFonts w:ascii="Garamond" w:hAnsi="Garamond"/>
          <w:sz w:val="24"/>
          <w:szCs w:val="24"/>
        </w:rPr>
        <w:t>)</w:t>
      </w:r>
      <w:r w:rsidR="00245E38" w:rsidRPr="007915F2">
        <w:rPr>
          <w:rFonts w:ascii="Garamond" w:hAnsi="Garamond"/>
          <w:sz w:val="24"/>
          <w:szCs w:val="24"/>
        </w:rPr>
        <w:t xml:space="preserve"> (see Appendix 2)</w:t>
      </w:r>
      <w:r w:rsidR="00A90E0F" w:rsidRPr="007915F2">
        <w:rPr>
          <w:rFonts w:ascii="Garamond" w:hAnsi="Garamond"/>
          <w:sz w:val="24"/>
          <w:szCs w:val="24"/>
        </w:rPr>
        <w:t>.</w:t>
      </w:r>
      <w:r w:rsidR="00936816" w:rsidRPr="007915F2">
        <w:rPr>
          <w:rFonts w:ascii="Garamond" w:hAnsi="Garamond"/>
          <w:sz w:val="24"/>
          <w:szCs w:val="24"/>
        </w:rPr>
        <w:t xml:space="preserve"> </w:t>
      </w:r>
    </w:p>
    <w:p w14:paraId="5259A772" w14:textId="77777777" w:rsidR="00B60F8C" w:rsidRPr="007915F2" w:rsidRDefault="00B60F8C" w:rsidP="00D61CD6">
      <w:pPr>
        <w:spacing w:after="0" w:line="240" w:lineRule="auto"/>
        <w:rPr>
          <w:rFonts w:ascii="Garamond" w:hAnsi="Garamond"/>
          <w:sz w:val="24"/>
          <w:szCs w:val="24"/>
        </w:rPr>
      </w:pPr>
    </w:p>
    <w:p w14:paraId="54799C6D" w14:textId="77777777" w:rsidR="00F72EF1" w:rsidRPr="007915F2" w:rsidRDefault="00F72EF1" w:rsidP="00D61CD6">
      <w:pPr>
        <w:tabs>
          <w:tab w:val="left" w:pos="360"/>
          <w:tab w:val="left" w:pos="1080"/>
        </w:tabs>
        <w:spacing w:after="0" w:line="240" w:lineRule="auto"/>
        <w:jc w:val="both"/>
        <w:rPr>
          <w:rFonts w:ascii="Garamond" w:hAnsi="Garamond"/>
          <w:i/>
          <w:sz w:val="24"/>
          <w:szCs w:val="24"/>
        </w:rPr>
      </w:pPr>
      <w:r w:rsidRPr="007915F2">
        <w:rPr>
          <w:rFonts w:ascii="Garamond" w:hAnsi="Garamond"/>
          <w:i/>
          <w:sz w:val="24"/>
          <w:szCs w:val="24"/>
        </w:rPr>
        <w:t>4.2</w:t>
      </w:r>
      <w:r w:rsidRPr="007915F2">
        <w:rPr>
          <w:rFonts w:ascii="Garamond" w:hAnsi="Garamond"/>
          <w:i/>
          <w:sz w:val="24"/>
          <w:szCs w:val="24"/>
        </w:rPr>
        <w:tab/>
        <w:t xml:space="preserve"> Descriptive Statistics</w:t>
      </w:r>
    </w:p>
    <w:p w14:paraId="5872DD89" w14:textId="19824CED" w:rsidR="00F72EF1" w:rsidRPr="007915F2" w:rsidRDefault="00F72EF1" w:rsidP="00D61CD6">
      <w:pPr>
        <w:pStyle w:val="BodyTextIndent"/>
        <w:spacing w:line="240" w:lineRule="auto"/>
        <w:rPr>
          <w:rFonts w:ascii="Garamond" w:hAnsi="Garamond"/>
        </w:rPr>
      </w:pPr>
      <w:r w:rsidRPr="007915F2">
        <w:rPr>
          <w:rFonts w:ascii="Garamond" w:hAnsi="Garamond"/>
        </w:rPr>
        <w:t>Table 2, presents the distribution of our sample by industry and median values of the study’s main variables. We use the widely used Fama &amp; French 12-industry classification.</w:t>
      </w:r>
      <w:r w:rsidRPr="007915F2">
        <w:rPr>
          <w:rStyle w:val="FootnoteReference"/>
          <w:rFonts w:ascii="Garamond" w:hAnsi="Garamond"/>
        </w:rPr>
        <w:footnoteReference w:id="2"/>
      </w:r>
      <w:r w:rsidRPr="007915F2">
        <w:rPr>
          <w:rFonts w:ascii="Garamond" w:hAnsi="Garamond"/>
        </w:rPr>
        <w:t xml:space="preserve"> The industry distribution of our sample is similar to prior studies using comparable data, e.g., Frankel, </w:t>
      </w:r>
      <w:r w:rsidRPr="007915F2">
        <w:rPr>
          <w:rFonts w:ascii="Garamond" w:hAnsi="Garamond"/>
          <w:i/>
        </w:rPr>
        <w:t>et al.</w:t>
      </w:r>
      <w:r w:rsidRPr="007915F2">
        <w:rPr>
          <w:rFonts w:ascii="Garamond" w:hAnsi="Garamond"/>
        </w:rPr>
        <w:t xml:space="preserve"> (2002) and Whisenant, </w:t>
      </w:r>
      <w:r w:rsidRPr="007915F2">
        <w:rPr>
          <w:rFonts w:ascii="Garamond" w:hAnsi="Garamond"/>
          <w:i/>
        </w:rPr>
        <w:t>et al.</w:t>
      </w:r>
      <w:r w:rsidRPr="007915F2">
        <w:rPr>
          <w:rFonts w:ascii="Garamond" w:hAnsi="Garamond"/>
        </w:rPr>
        <w:t xml:space="preserve"> (2003).  Table 2 also reports the median of the ten centrality measures for all firms by industry.  The data indicate that companies in the utiliti</w:t>
      </w:r>
      <w:r w:rsidR="00E85723" w:rsidRPr="007915F2">
        <w:rPr>
          <w:rFonts w:ascii="Garamond" w:hAnsi="Garamond"/>
        </w:rPr>
        <w:t>es, chemicals</w:t>
      </w:r>
      <w:r w:rsidR="000324C6" w:rsidRPr="007915F2">
        <w:rPr>
          <w:rFonts w:ascii="Garamond" w:hAnsi="Garamond"/>
        </w:rPr>
        <w:t>,</w:t>
      </w:r>
      <w:r w:rsidR="00E85723" w:rsidRPr="007915F2">
        <w:rPr>
          <w:rFonts w:ascii="Garamond" w:hAnsi="Garamond"/>
        </w:rPr>
        <w:t xml:space="preserve"> and non-durables</w:t>
      </w:r>
      <w:r w:rsidRPr="007915F2">
        <w:rPr>
          <w:rFonts w:ascii="Garamond" w:hAnsi="Garamond"/>
        </w:rPr>
        <w:t xml:space="preserve"> industries, on average, have the largest median accounting returns (all in excess of 10% </w:t>
      </w:r>
      <w:r w:rsidRPr="007915F2">
        <w:rPr>
          <w:rFonts w:ascii="Garamond" w:hAnsi="Garamond"/>
          <w:i/>
        </w:rPr>
        <w:t>ROE</w:t>
      </w:r>
      <w:r w:rsidRPr="007915F2">
        <w:rPr>
          <w:rFonts w:ascii="Garamond" w:hAnsi="Garamond"/>
        </w:rPr>
        <w:t xml:space="preserve">) In terms of centrality measures, on average, utilities have the highest tier (4.92) and as expected the lowest </w:t>
      </w:r>
      <w:r w:rsidRPr="007915F2">
        <w:rPr>
          <w:rFonts w:ascii="Garamond" w:hAnsi="Garamond"/>
        </w:rPr>
        <w:lastRenderedPageBreak/>
        <w:t xml:space="preserve">outside degree (2.29). Conversely, </w:t>
      </w:r>
      <w:r w:rsidR="000324C6" w:rsidRPr="007915F2">
        <w:rPr>
          <w:rFonts w:ascii="Garamond" w:hAnsi="Garamond"/>
        </w:rPr>
        <w:t xml:space="preserve">the </w:t>
      </w:r>
      <w:r w:rsidRPr="007915F2">
        <w:rPr>
          <w:rFonts w:ascii="Garamond" w:hAnsi="Garamond"/>
        </w:rPr>
        <w:t xml:space="preserve">health industry which has the lowest tier (3.74) also enjoys the highest in-degree measure (9.2).  On average, companies in the business equipment industry have the largest eigenvalue while firms in </w:t>
      </w:r>
      <w:r w:rsidR="000324C6" w:rsidRPr="007915F2">
        <w:rPr>
          <w:rFonts w:ascii="Garamond" w:hAnsi="Garamond"/>
        </w:rPr>
        <w:t xml:space="preserve">the </w:t>
      </w:r>
      <w:r w:rsidRPr="007915F2">
        <w:rPr>
          <w:rFonts w:ascii="Garamond" w:hAnsi="Garamond"/>
        </w:rPr>
        <w:t xml:space="preserve">utilities industry report the highest eccentricity.     </w:t>
      </w:r>
    </w:p>
    <w:p w14:paraId="49A9A5BD" w14:textId="0BC4FFFB" w:rsidR="00F72EF1" w:rsidRPr="007915F2" w:rsidRDefault="00F72EF1" w:rsidP="00D61CD6">
      <w:pPr>
        <w:pStyle w:val="BodyTextIndent"/>
        <w:spacing w:line="240" w:lineRule="auto"/>
        <w:rPr>
          <w:rFonts w:ascii="Garamond" w:hAnsi="Garamond"/>
          <w:b/>
          <w:bCs/>
        </w:rPr>
      </w:pPr>
      <w:r w:rsidRPr="007915F2">
        <w:rPr>
          <w:rFonts w:ascii="Garamond" w:hAnsi="Garamond"/>
        </w:rPr>
        <w:t xml:space="preserve">Other descriptive statistics are also interesting.  For example, companies in the durable industry had the highest cluster </w:t>
      </w:r>
      <w:r w:rsidR="00E85723" w:rsidRPr="007915F2">
        <w:rPr>
          <w:rFonts w:ascii="Garamond" w:hAnsi="Garamond"/>
        </w:rPr>
        <w:t xml:space="preserve">size </w:t>
      </w:r>
      <w:r w:rsidRPr="007915F2">
        <w:rPr>
          <w:rFonts w:ascii="Garamond" w:hAnsi="Garamond"/>
        </w:rPr>
        <w:t xml:space="preserve">and out-degree centrality. It is also worth noting that, firms in the utilities industry, on average, had the highest eccentricity (14.33) with the highest median accounting return (ROE of 11.39%), while firms in </w:t>
      </w:r>
      <w:r w:rsidR="000324C6" w:rsidRPr="007915F2">
        <w:rPr>
          <w:rFonts w:ascii="Garamond" w:hAnsi="Garamond"/>
        </w:rPr>
        <w:t xml:space="preserve">the </w:t>
      </w:r>
      <w:r w:rsidRPr="007915F2">
        <w:rPr>
          <w:rFonts w:ascii="Garamond" w:hAnsi="Garamond"/>
        </w:rPr>
        <w:t>energy industry had the highest cluster (CLT of 1758</w:t>
      </w:r>
      <w:r w:rsidR="006E323D" w:rsidRPr="007915F2">
        <w:rPr>
          <w:rFonts w:ascii="Garamond" w:hAnsi="Garamond"/>
        </w:rPr>
        <w:t xml:space="preserve"> and highest IDG of 7.77)</w:t>
      </w:r>
      <w:r w:rsidRPr="007915F2">
        <w:rPr>
          <w:rFonts w:ascii="Garamond" w:hAnsi="Garamond"/>
        </w:rPr>
        <w:t xml:space="preserve"> but reported the lowest median accounting returns (ROE of 6.83%).   </w:t>
      </w:r>
      <w:r w:rsidRPr="007915F2">
        <w:rPr>
          <w:rFonts w:ascii="Garamond" w:hAnsi="Garamond"/>
          <w:b/>
          <w:bCs/>
        </w:rPr>
        <w:t xml:space="preserve"> </w:t>
      </w:r>
    </w:p>
    <w:p w14:paraId="0C481CC1" w14:textId="77777777" w:rsidR="00F72EF1" w:rsidRPr="007915F2" w:rsidRDefault="00F72EF1" w:rsidP="00D61CD6">
      <w:pPr>
        <w:pStyle w:val="BodyTextIndent"/>
        <w:spacing w:line="240" w:lineRule="auto"/>
        <w:rPr>
          <w:rFonts w:ascii="Garamond" w:hAnsi="Garamond"/>
          <w:b/>
          <w:bCs/>
        </w:rPr>
      </w:pPr>
    </w:p>
    <w:p w14:paraId="4583CA77" w14:textId="77777777" w:rsidR="00F72EF1" w:rsidRPr="007915F2" w:rsidRDefault="00F72EF1" w:rsidP="00D61CD6">
      <w:pPr>
        <w:spacing w:after="0" w:line="240" w:lineRule="auto"/>
        <w:jc w:val="center"/>
        <w:rPr>
          <w:rFonts w:ascii="Garamond" w:hAnsi="Garamond"/>
          <w:b/>
          <w:bCs/>
          <w:iCs/>
          <w:sz w:val="24"/>
          <w:szCs w:val="24"/>
        </w:rPr>
      </w:pPr>
      <w:r w:rsidRPr="007915F2">
        <w:rPr>
          <w:rFonts w:ascii="Garamond" w:hAnsi="Garamond"/>
          <w:b/>
          <w:bCs/>
          <w:iCs/>
          <w:sz w:val="24"/>
          <w:szCs w:val="24"/>
        </w:rPr>
        <w:t xml:space="preserve">[Insert Table </w:t>
      </w:r>
      <w:r w:rsidR="00CA509F" w:rsidRPr="007915F2">
        <w:rPr>
          <w:rFonts w:ascii="Garamond" w:hAnsi="Garamond"/>
          <w:b/>
          <w:bCs/>
          <w:iCs/>
          <w:sz w:val="24"/>
          <w:szCs w:val="24"/>
        </w:rPr>
        <w:t>2</w:t>
      </w:r>
      <w:r w:rsidRPr="007915F2">
        <w:rPr>
          <w:rFonts w:ascii="Garamond" w:hAnsi="Garamond"/>
          <w:b/>
          <w:bCs/>
          <w:iCs/>
          <w:sz w:val="24"/>
          <w:szCs w:val="24"/>
        </w:rPr>
        <w:t xml:space="preserve"> here]</w:t>
      </w:r>
    </w:p>
    <w:p w14:paraId="6BFB1377" w14:textId="77777777" w:rsidR="00F72EF1" w:rsidRPr="007915F2" w:rsidRDefault="00F72EF1" w:rsidP="00D61CD6">
      <w:pPr>
        <w:spacing w:after="0" w:line="240" w:lineRule="auto"/>
        <w:ind w:firstLine="720"/>
        <w:jc w:val="both"/>
        <w:rPr>
          <w:rFonts w:ascii="Garamond" w:hAnsi="Garamond"/>
          <w:sz w:val="24"/>
          <w:szCs w:val="24"/>
        </w:rPr>
      </w:pPr>
      <w:r w:rsidRPr="007915F2">
        <w:rPr>
          <w:rFonts w:ascii="Garamond" w:hAnsi="Garamond"/>
          <w:bCs/>
          <w:iCs/>
          <w:sz w:val="24"/>
          <w:szCs w:val="24"/>
        </w:rPr>
        <w:t xml:space="preserve">Table 2A reports the overall descriptive statistics for all the firms.  </w:t>
      </w:r>
      <w:r w:rsidRPr="007915F2">
        <w:rPr>
          <w:rFonts w:ascii="Garamond" w:hAnsi="Garamond"/>
          <w:sz w:val="24"/>
          <w:szCs w:val="24"/>
        </w:rPr>
        <w:t xml:space="preserve">Table 2B also presents the Pearson correlation coefficients for the main variables of the model.  Inspection indicates that though a number of the correlations are statistically significant, their magnitudes do not raise collinearity concerns.  Additionally, variance inflation factors (VIF) tests found that the average VIF value of 4.70 was below the widely used critical value of 10.  </w:t>
      </w:r>
    </w:p>
    <w:p w14:paraId="1A26AD13" w14:textId="77777777" w:rsidR="00F72EF1" w:rsidRPr="007915F2" w:rsidRDefault="00F72EF1" w:rsidP="00D61CD6">
      <w:pPr>
        <w:tabs>
          <w:tab w:val="left" w:pos="360"/>
          <w:tab w:val="left" w:pos="1080"/>
        </w:tabs>
        <w:spacing w:after="0" w:line="240" w:lineRule="auto"/>
        <w:jc w:val="center"/>
        <w:rPr>
          <w:rFonts w:ascii="Garamond" w:hAnsi="Garamond"/>
          <w:b/>
          <w:bCs/>
          <w:iCs/>
          <w:sz w:val="24"/>
          <w:szCs w:val="24"/>
        </w:rPr>
      </w:pPr>
      <w:r w:rsidRPr="007915F2">
        <w:rPr>
          <w:rFonts w:ascii="Garamond" w:hAnsi="Garamond"/>
          <w:b/>
          <w:bCs/>
          <w:iCs/>
          <w:sz w:val="24"/>
          <w:szCs w:val="24"/>
        </w:rPr>
        <w:t>[Insert Tables 2A and 2B here]</w:t>
      </w:r>
    </w:p>
    <w:p w14:paraId="58CA7AA8" w14:textId="77777777" w:rsidR="00F72EF1" w:rsidRPr="007915F2" w:rsidRDefault="00F72EF1" w:rsidP="00D61CD6">
      <w:pPr>
        <w:spacing w:after="0" w:line="240" w:lineRule="auto"/>
        <w:rPr>
          <w:rFonts w:ascii="Garamond" w:hAnsi="Garamond"/>
          <w:b/>
          <w:sz w:val="24"/>
          <w:szCs w:val="24"/>
        </w:rPr>
      </w:pPr>
      <w:r w:rsidRPr="007915F2">
        <w:rPr>
          <w:rFonts w:ascii="Garamond" w:hAnsi="Garamond"/>
          <w:b/>
          <w:sz w:val="24"/>
          <w:szCs w:val="24"/>
        </w:rPr>
        <w:t>5.  Results</w:t>
      </w:r>
    </w:p>
    <w:p w14:paraId="58133BFB" w14:textId="77777777" w:rsidR="003A0583" w:rsidRPr="007915F2" w:rsidRDefault="003A0583" w:rsidP="00D61CD6">
      <w:pPr>
        <w:spacing w:after="0" w:line="240" w:lineRule="auto"/>
        <w:jc w:val="both"/>
        <w:rPr>
          <w:rFonts w:ascii="Garamond" w:hAnsi="Garamond"/>
          <w:sz w:val="24"/>
          <w:szCs w:val="24"/>
        </w:rPr>
      </w:pPr>
    </w:p>
    <w:p w14:paraId="74F0F827" w14:textId="72EEC1FC" w:rsidR="003A0583" w:rsidRPr="007915F2" w:rsidRDefault="003A0583" w:rsidP="00D61CD6">
      <w:pPr>
        <w:spacing w:after="0" w:line="240" w:lineRule="auto"/>
        <w:jc w:val="both"/>
        <w:rPr>
          <w:rFonts w:ascii="Garamond" w:hAnsi="Garamond"/>
          <w:sz w:val="24"/>
          <w:szCs w:val="24"/>
        </w:rPr>
      </w:pPr>
      <w:r w:rsidRPr="007915F2">
        <w:rPr>
          <w:rFonts w:ascii="Garamond" w:hAnsi="Garamond"/>
          <w:sz w:val="24"/>
          <w:szCs w:val="24"/>
        </w:rPr>
        <w:t xml:space="preserve">First, we present the results of the </w:t>
      </w:r>
      <w:r w:rsidR="00273B0B" w:rsidRPr="007915F2">
        <w:rPr>
          <w:rFonts w:ascii="Garamond" w:hAnsi="Garamond"/>
          <w:sz w:val="24"/>
          <w:szCs w:val="24"/>
        </w:rPr>
        <w:t>relationship</w:t>
      </w:r>
      <w:r w:rsidRPr="007915F2">
        <w:rPr>
          <w:rFonts w:ascii="Garamond" w:hAnsi="Garamond"/>
          <w:sz w:val="24"/>
          <w:szCs w:val="24"/>
        </w:rPr>
        <w:t xml:space="preserve"> between firms’ position in the network and </w:t>
      </w:r>
      <w:r w:rsidR="00763FFE">
        <w:rPr>
          <w:rFonts w:ascii="Garamond" w:hAnsi="Garamond"/>
          <w:sz w:val="24"/>
          <w:szCs w:val="24"/>
        </w:rPr>
        <w:t xml:space="preserve">the </w:t>
      </w:r>
      <w:r w:rsidRPr="007915F2">
        <w:rPr>
          <w:rFonts w:ascii="Garamond" w:hAnsi="Garamond"/>
          <w:sz w:val="24"/>
          <w:szCs w:val="24"/>
        </w:rPr>
        <w:t>firms’ performance.  In the next section (3.2) we remove all firms headquartered in China (for our purposes, includes Taiwan, Macao</w:t>
      </w:r>
      <w:r w:rsidR="00763FFE">
        <w:rPr>
          <w:rFonts w:ascii="Garamond" w:hAnsi="Garamond"/>
          <w:sz w:val="24"/>
          <w:szCs w:val="24"/>
        </w:rPr>
        <w:t>,</w:t>
      </w:r>
      <w:r w:rsidRPr="007915F2">
        <w:rPr>
          <w:rFonts w:ascii="Garamond" w:hAnsi="Garamond"/>
          <w:sz w:val="24"/>
          <w:szCs w:val="24"/>
        </w:rPr>
        <w:t xml:space="preserve"> and Hong Kong)</w:t>
      </w:r>
      <w:r w:rsidR="00273B0B" w:rsidRPr="007915F2">
        <w:rPr>
          <w:rFonts w:ascii="Garamond" w:hAnsi="Garamond"/>
          <w:sz w:val="24"/>
          <w:szCs w:val="24"/>
        </w:rPr>
        <w:t xml:space="preserve"> </w:t>
      </w:r>
      <w:r w:rsidRPr="007915F2">
        <w:rPr>
          <w:rFonts w:ascii="Garamond" w:hAnsi="Garamond"/>
          <w:sz w:val="24"/>
          <w:szCs w:val="24"/>
        </w:rPr>
        <w:t xml:space="preserve">and rebuild the global supply chain network to assess the </w:t>
      </w:r>
      <w:r w:rsidR="00273B0B" w:rsidRPr="007915F2">
        <w:rPr>
          <w:rFonts w:ascii="Garamond" w:hAnsi="Garamond"/>
          <w:sz w:val="24"/>
          <w:szCs w:val="24"/>
        </w:rPr>
        <w:t>relationship</w:t>
      </w:r>
      <w:r w:rsidRPr="007915F2">
        <w:rPr>
          <w:rFonts w:ascii="Garamond" w:hAnsi="Garamond"/>
          <w:sz w:val="24"/>
          <w:szCs w:val="24"/>
        </w:rPr>
        <w:t xml:space="preserve"> between firms’ position in the network and firms’ performance.  This will highlight how the elimination of China from the supply chain might affect the relationship of network centrality on </w:t>
      </w:r>
      <w:r w:rsidR="00763FFE">
        <w:rPr>
          <w:rFonts w:ascii="Garamond" w:hAnsi="Garamond"/>
          <w:sz w:val="24"/>
          <w:szCs w:val="24"/>
        </w:rPr>
        <w:t xml:space="preserve">a </w:t>
      </w:r>
      <w:r w:rsidRPr="007915F2">
        <w:rPr>
          <w:rFonts w:ascii="Garamond" w:hAnsi="Garamond"/>
          <w:sz w:val="24"/>
          <w:szCs w:val="24"/>
        </w:rPr>
        <w:t>firm’s performance.</w:t>
      </w:r>
    </w:p>
    <w:p w14:paraId="5B6CE68E" w14:textId="77777777" w:rsidR="00F72EF1" w:rsidRPr="007915F2" w:rsidRDefault="00F72EF1" w:rsidP="00D61CD6">
      <w:pPr>
        <w:spacing w:after="0" w:line="240" w:lineRule="auto"/>
        <w:rPr>
          <w:rFonts w:ascii="Garamond" w:hAnsi="Garamond"/>
          <w:i/>
          <w:sz w:val="24"/>
          <w:szCs w:val="24"/>
        </w:rPr>
      </w:pPr>
    </w:p>
    <w:p w14:paraId="7BD5AF1F" w14:textId="77777777" w:rsidR="00F72EF1" w:rsidRPr="007915F2" w:rsidRDefault="00F72EF1" w:rsidP="00D61CD6">
      <w:pPr>
        <w:spacing w:after="0" w:line="240" w:lineRule="auto"/>
        <w:rPr>
          <w:rFonts w:ascii="Garamond" w:hAnsi="Garamond"/>
          <w:i/>
          <w:sz w:val="24"/>
          <w:szCs w:val="24"/>
        </w:rPr>
      </w:pPr>
      <w:r w:rsidRPr="007915F2">
        <w:rPr>
          <w:rFonts w:ascii="Garamond" w:hAnsi="Garamond"/>
          <w:i/>
          <w:sz w:val="24"/>
          <w:szCs w:val="24"/>
        </w:rPr>
        <w:t>5.1      Ordinary Least Squares (OLS) results including China as a Supplier</w:t>
      </w:r>
    </w:p>
    <w:p w14:paraId="4FAC3AC9" w14:textId="77777777" w:rsidR="00F72EF1" w:rsidRPr="007915F2" w:rsidRDefault="00F72EF1" w:rsidP="00D61CD6">
      <w:pPr>
        <w:spacing w:after="0" w:line="240" w:lineRule="auto"/>
        <w:jc w:val="both"/>
        <w:rPr>
          <w:rFonts w:ascii="Garamond" w:hAnsi="Garamond"/>
          <w:sz w:val="24"/>
          <w:szCs w:val="24"/>
        </w:rPr>
      </w:pPr>
      <w:r w:rsidRPr="007915F2">
        <w:rPr>
          <w:rFonts w:ascii="Garamond" w:hAnsi="Garamond"/>
          <w:sz w:val="24"/>
          <w:szCs w:val="24"/>
        </w:rPr>
        <w:tab/>
        <w:t xml:space="preserve">We begin the analysis by presenting OLS results for all suppliers including China with accounting return on equity (ROE) as our dependent variable.  The results of the single-equation estimation are reported in Table 3.  Parameter estimates are given along with standard errors in parentheses; the corresponding robust p-values that account for heteroscedasticity is signified as </w:t>
      </w:r>
      <w:r w:rsidRPr="007915F2">
        <w:rPr>
          <w:rFonts w:ascii="Garamond" w:hAnsi="Garamond"/>
          <w:iCs/>
          <w:sz w:val="24"/>
          <w:szCs w:val="24"/>
        </w:rPr>
        <w:t>*** for p&lt;0.01, ** for p&lt;0.05, * for p&lt;0.1</w:t>
      </w:r>
      <w:r w:rsidRPr="007915F2">
        <w:rPr>
          <w:rFonts w:ascii="Garamond" w:hAnsi="Garamond"/>
          <w:sz w:val="24"/>
          <w:szCs w:val="24"/>
        </w:rPr>
        <w:t xml:space="preserve">.   Table 3 panel A includes only the centrality measures as explanatory variables while Panel B includes </w:t>
      </w:r>
      <w:r w:rsidR="000324C6" w:rsidRPr="007915F2">
        <w:rPr>
          <w:rFonts w:ascii="Garamond" w:hAnsi="Garamond"/>
          <w:sz w:val="24"/>
          <w:szCs w:val="24"/>
        </w:rPr>
        <w:t xml:space="preserve">the </w:t>
      </w:r>
      <w:r w:rsidRPr="007915F2">
        <w:rPr>
          <w:rFonts w:ascii="Garamond" w:hAnsi="Garamond"/>
          <w:sz w:val="24"/>
          <w:szCs w:val="24"/>
        </w:rPr>
        <w:t xml:space="preserve">firm’s size as an additional explanatory variable.  </w:t>
      </w:r>
    </w:p>
    <w:p w14:paraId="1D581B0C" w14:textId="77777777" w:rsidR="00F72EF1" w:rsidRPr="007915F2" w:rsidRDefault="00F72EF1" w:rsidP="00D61CD6">
      <w:pPr>
        <w:spacing w:after="0" w:line="240" w:lineRule="auto"/>
        <w:jc w:val="center"/>
        <w:rPr>
          <w:rFonts w:ascii="Garamond" w:hAnsi="Garamond"/>
          <w:b/>
          <w:sz w:val="24"/>
          <w:szCs w:val="24"/>
        </w:rPr>
      </w:pPr>
      <w:r w:rsidRPr="007915F2">
        <w:rPr>
          <w:rFonts w:ascii="Garamond" w:hAnsi="Garamond"/>
          <w:b/>
          <w:sz w:val="24"/>
          <w:szCs w:val="24"/>
        </w:rPr>
        <w:t>[Insert Table 3 about here]</w:t>
      </w:r>
    </w:p>
    <w:p w14:paraId="58124FA8" w14:textId="77777777" w:rsidR="00F72EF1" w:rsidRPr="007915F2" w:rsidRDefault="00F72EF1" w:rsidP="00D61CD6">
      <w:pPr>
        <w:spacing w:after="0" w:line="240" w:lineRule="auto"/>
        <w:jc w:val="both"/>
        <w:rPr>
          <w:rFonts w:ascii="Garamond" w:hAnsi="Garamond"/>
          <w:sz w:val="24"/>
          <w:szCs w:val="24"/>
        </w:rPr>
      </w:pPr>
      <w:r w:rsidRPr="007915F2">
        <w:rPr>
          <w:rFonts w:ascii="Garamond" w:hAnsi="Garamond"/>
          <w:sz w:val="24"/>
          <w:szCs w:val="24"/>
        </w:rPr>
        <w:t xml:space="preserve">Table 3, Panel A, shows that the return on equity is significantly positively associated with </w:t>
      </w:r>
      <w:r w:rsidRPr="007915F2">
        <w:rPr>
          <w:rFonts w:ascii="Garamond" w:hAnsi="Garamond"/>
          <w:i/>
          <w:iCs/>
          <w:sz w:val="24"/>
          <w:szCs w:val="24"/>
        </w:rPr>
        <w:t>EIG</w:t>
      </w:r>
      <w:r w:rsidRPr="007915F2">
        <w:rPr>
          <w:rFonts w:ascii="Garamond" w:hAnsi="Garamond"/>
          <w:i/>
          <w:sz w:val="24"/>
          <w:szCs w:val="24"/>
        </w:rPr>
        <w:t xml:space="preserve"> </w:t>
      </w:r>
      <w:r w:rsidRPr="007915F2">
        <w:rPr>
          <w:rFonts w:ascii="Garamond" w:hAnsi="Garamond"/>
          <w:sz w:val="24"/>
          <w:szCs w:val="24"/>
        </w:rPr>
        <w:t xml:space="preserve">and </w:t>
      </w:r>
      <w:r w:rsidRPr="007915F2">
        <w:rPr>
          <w:rFonts w:ascii="Garamond" w:hAnsi="Garamond"/>
          <w:i/>
          <w:iCs/>
          <w:sz w:val="24"/>
          <w:szCs w:val="24"/>
        </w:rPr>
        <w:t>IDG</w:t>
      </w:r>
      <w:r w:rsidRPr="007915F2">
        <w:rPr>
          <w:rFonts w:ascii="Garamond" w:hAnsi="Garamond"/>
          <w:sz w:val="24"/>
          <w:szCs w:val="24"/>
        </w:rPr>
        <w:t xml:space="preserve"> indicating that improvements in a firm’s in-degree and eigenvector are positively related to </w:t>
      </w:r>
      <w:r w:rsidR="000324C6" w:rsidRPr="007915F2">
        <w:rPr>
          <w:rFonts w:ascii="Garamond" w:hAnsi="Garamond"/>
          <w:sz w:val="24"/>
          <w:szCs w:val="24"/>
        </w:rPr>
        <w:t xml:space="preserve">a </w:t>
      </w:r>
      <w:r w:rsidRPr="007915F2">
        <w:rPr>
          <w:rFonts w:ascii="Garamond" w:hAnsi="Garamond"/>
          <w:sz w:val="24"/>
          <w:szCs w:val="24"/>
        </w:rPr>
        <w:t>firm’s performance.  Based on these results, one could argue that a firm’s performance is a function of both the number of notable suppliers (</w:t>
      </w:r>
      <w:r w:rsidRPr="007915F2">
        <w:rPr>
          <w:rFonts w:ascii="Garamond" w:hAnsi="Garamond"/>
          <w:i/>
          <w:sz w:val="24"/>
          <w:szCs w:val="24"/>
        </w:rPr>
        <w:t>IDG</w:t>
      </w:r>
      <w:r w:rsidRPr="007915F2">
        <w:rPr>
          <w:rFonts w:ascii="Garamond" w:hAnsi="Garamond"/>
          <w:sz w:val="24"/>
          <w:szCs w:val="24"/>
        </w:rPr>
        <w:t>) and the firm’s importance within the supply chain network of suppliers and customers (</w:t>
      </w:r>
      <w:r w:rsidRPr="007915F2">
        <w:rPr>
          <w:rFonts w:ascii="Garamond" w:hAnsi="Garamond"/>
          <w:i/>
          <w:sz w:val="24"/>
          <w:szCs w:val="24"/>
        </w:rPr>
        <w:t>EIG</w:t>
      </w:r>
      <w:r w:rsidRPr="007915F2">
        <w:rPr>
          <w:rFonts w:ascii="Garamond" w:hAnsi="Garamond"/>
          <w:sz w:val="24"/>
          <w:szCs w:val="24"/>
        </w:rPr>
        <w:t xml:space="preserve">). The negative and significant estimated coefficient on the </w:t>
      </w:r>
      <w:r w:rsidRPr="007915F2">
        <w:rPr>
          <w:rFonts w:ascii="Garamond" w:hAnsi="Garamond"/>
          <w:i/>
          <w:iCs/>
          <w:sz w:val="24"/>
          <w:szCs w:val="24"/>
        </w:rPr>
        <w:t xml:space="preserve">ECC </w:t>
      </w:r>
      <w:r w:rsidRPr="007915F2">
        <w:rPr>
          <w:rFonts w:ascii="Garamond" w:hAnsi="Garamond"/>
          <w:iCs/>
          <w:sz w:val="24"/>
          <w:szCs w:val="24"/>
        </w:rPr>
        <w:t>(i.e.,</w:t>
      </w:r>
      <w:r w:rsidRPr="007915F2">
        <w:rPr>
          <w:rFonts w:ascii="Garamond" w:hAnsi="Garamond"/>
          <w:i/>
          <w:iCs/>
          <w:sz w:val="24"/>
          <w:szCs w:val="24"/>
        </w:rPr>
        <w:t xml:space="preserve"> </w:t>
      </w:r>
      <w:r w:rsidRPr="007915F2">
        <w:rPr>
          <w:rFonts w:ascii="Garamond" w:hAnsi="Garamond"/>
          <w:i/>
          <w:sz w:val="24"/>
          <w:szCs w:val="24"/>
        </w:rPr>
        <w:t>β</w:t>
      </w:r>
      <w:r w:rsidRPr="007915F2">
        <w:rPr>
          <w:rFonts w:ascii="Garamond" w:hAnsi="Garamond"/>
          <w:i/>
          <w:sz w:val="24"/>
          <w:szCs w:val="24"/>
          <w:vertAlign w:val="subscript"/>
        </w:rPr>
        <w:t>3</w:t>
      </w:r>
      <w:r w:rsidRPr="007915F2">
        <w:rPr>
          <w:rFonts w:ascii="Garamond" w:hAnsi="Garamond"/>
          <w:sz w:val="24"/>
          <w:szCs w:val="24"/>
        </w:rPr>
        <w:t xml:space="preserve">), </w:t>
      </w:r>
      <w:r w:rsidRPr="007915F2">
        <w:rPr>
          <w:rFonts w:ascii="Garamond" w:hAnsi="Garamond"/>
          <w:i/>
          <w:sz w:val="24"/>
          <w:szCs w:val="24"/>
        </w:rPr>
        <w:t>ODEG</w:t>
      </w:r>
      <w:r w:rsidRPr="007915F2">
        <w:rPr>
          <w:rFonts w:ascii="Garamond" w:hAnsi="Garamond"/>
          <w:sz w:val="24"/>
          <w:szCs w:val="24"/>
        </w:rPr>
        <w:t xml:space="preserve"> and </w:t>
      </w:r>
      <w:r w:rsidRPr="007915F2">
        <w:rPr>
          <w:rFonts w:ascii="Garamond" w:hAnsi="Garamond"/>
          <w:i/>
          <w:sz w:val="24"/>
          <w:szCs w:val="24"/>
        </w:rPr>
        <w:t>CSZ</w:t>
      </w:r>
      <w:r w:rsidRPr="007915F2">
        <w:rPr>
          <w:rFonts w:ascii="Garamond" w:hAnsi="Garamond"/>
          <w:sz w:val="24"/>
          <w:szCs w:val="24"/>
        </w:rPr>
        <w:t xml:space="preserve"> seem to indicate that accounting return is negatively affected when the firm is more embedded across the industry and the more dependent it is on notable customers.  A similar result holds for Panel B when we control for </w:t>
      </w:r>
      <w:r w:rsidR="000324C6" w:rsidRPr="007915F2">
        <w:rPr>
          <w:rFonts w:ascii="Garamond" w:hAnsi="Garamond"/>
          <w:sz w:val="24"/>
          <w:szCs w:val="24"/>
        </w:rPr>
        <w:t xml:space="preserve">a </w:t>
      </w:r>
      <w:r w:rsidRPr="007915F2">
        <w:rPr>
          <w:rFonts w:ascii="Garamond" w:hAnsi="Garamond"/>
          <w:sz w:val="24"/>
          <w:szCs w:val="24"/>
        </w:rPr>
        <w:t>firm’s size by including it as an explanatory variable.</w:t>
      </w:r>
    </w:p>
    <w:p w14:paraId="5186D7FE" w14:textId="77777777" w:rsidR="00F72EF1" w:rsidRPr="007915F2" w:rsidRDefault="00F72EF1" w:rsidP="00D61CD6">
      <w:pPr>
        <w:spacing w:after="0" w:line="240" w:lineRule="auto"/>
        <w:ind w:firstLine="720"/>
        <w:jc w:val="both"/>
        <w:rPr>
          <w:rFonts w:ascii="Garamond" w:hAnsi="Garamond"/>
          <w:sz w:val="24"/>
          <w:szCs w:val="24"/>
        </w:rPr>
      </w:pPr>
      <w:r w:rsidRPr="007915F2">
        <w:rPr>
          <w:rFonts w:ascii="Garamond" w:hAnsi="Garamond"/>
          <w:sz w:val="24"/>
          <w:szCs w:val="24"/>
        </w:rPr>
        <w:t>Before we proceed further, we employ two tests to ensure that our model is robust to the underlying assumptions.   First, we employ the link test to verify that there is no specification error in the dependent variable.  The un-tabulated results of our link test</w:t>
      </w:r>
      <w:r w:rsidRPr="007915F2">
        <w:rPr>
          <w:rStyle w:val="FootnoteReference"/>
          <w:rFonts w:ascii="Garamond" w:hAnsi="Garamond"/>
          <w:sz w:val="24"/>
          <w:szCs w:val="24"/>
        </w:rPr>
        <w:footnoteReference w:id="3"/>
      </w:r>
      <w:r w:rsidRPr="007915F2">
        <w:rPr>
          <w:rFonts w:ascii="Garamond" w:hAnsi="Garamond"/>
          <w:sz w:val="24"/>
          <w:szCs w:val="24"/>
        </w:rPr>
        <w:t xml:space="preserve"> with hatsq’s p-value is 0.999 suggest that there is no specification error in the dependent variable. This confirms that there is no </w:t>
      </w:r>
      <w:r w:rsidRPr="007915F2">
        <w:rPr>
          <w:rFonts w:ascii="Garamond" w:hAnsi="Garamond"/>
          <w:sz w:val="24"/>
          <w:szCs w:val="24"/>
        </w:rPr>
        <w:lastRenderedPageBreak/>
        <w:t>misspecification of the accounting return (conditional on the specification).  Second, we statistically test if we have any omitted variables using the RAMSEY reset test. The p-value is 0.8580 and hence the null hypothesis that there are no omitted variables cannot be rejected.   The link test and reset test thus gives added confidence about our model’s overall specification.</w:t>
      </w:r>
    </w:p>
    <w:p w14:paraId="3D18FDB2" w14:textId="77777777" w:rsidR="00F72EF1" w:rsidRPr="007915F2" w:rsidRDefault="00F72EF1" w:rsidP="00D61CD6">
      <w:pPr>
        <w:spacing w:after="0" w:line="240" w:lineRule="auto"/>
        <w:ind w:firstLine="720"/>
        <w:jc w:val="both"/>
        <w:rPr>
          <w:rFonts w:ascii="Garamond" w:hAnsi="Garamond"/>
          <w:i/>
          <w:iCs/>
          <w:sz w:val="24"/>
          <w:szCs w:val="24"/>
        </w:rPr>
      </w:pPr>
      <w:r w:rsidRPr="007915F2">
        <w:rPr>
          <w:rFonts w:ascii="Garamond" w:hAnsi="Garamond"/>
          <w:sz w:val="24"/>
          <w:szCs w:val="24"/>
        </w:rPr>
        <w:t xml:space="preserve">Table 4 reports the OLS results for all suppliers including China with Tobin’s Q as the dependent variable.  Similar to the results obtained above, we find that </w:t>
      </w:r>
      <w:r w:rsidRPr="007915F2">
        <w:rPr>
          <w:rFonts w:ascii="Garamond" w:hAnsi="Garamond"/>
          <w:i/>
          <w:iCs/>
          <w:sz w:val="24"/>
          <w:szCs w:val="24"/>
        </w:rPr>
        <w:t>EIG</w:t>
      </w:r>
      <w:r w:rsidRPr="007915F2">
        <w:rPr>
          <w:rFonts w:ascii="Garamond" w:hAnsi="Garamond"/>
          <w:i/>
          <w:sz w:val="24"/>
          <w:szCs w:val="24"/>
        </w:rPr>
        <w:t xml:space="preserve"> </w:t>
      </w:r>
      <w:r w:rsidRPr="007915F2">
        <w:rPr>
          <w:rFonts w:ascii="Garamond" w:hAnsi="Garamond"/>
          <w:sz w:val="24"/>
          <w:szCs w:val="24"/>
        </w:rPr>
        <w:t xml:space="preserve">and </w:t>
      </w:r>
      <w:r w:rsidRPr="007915F2">
        <w:rPr>
          <w:rFonts w:ascii="Garamond" w:hAnsi="Garamond"/>
          <w:i/>
          <w:iCs/>
          <w:sz w:val="24"/>
          <w:szCs w:val="24"/>
        </w:rPr>
        <w:t>IDG</w:t>
      </w:r>
      <w:r w:rsidRPr="007915F2">
        <w:rPr>
          <w:rFonts w:ascii="Garamond" w:hAnsi="Garamond"/>
          <w:sz w:val="24"/>
          <w:szCs w:val="24"/>
        </w:rPr>
        <w:t xml:space="preserve"> are positively associated with </w:t>
      </w:r>
      <w:r w:rsidR="000324C6" w:rsidRPr="007915F2">
        <w:rPr>
          <w:rFonts w:ascii="Garamond" w:hAnsi="Garamond"/>
          <w:sz w:val="24"/>
          <w:szCs w:val="24"/>
        </w:rPr>
        <w:t xml:space="preserve">the </w:t>
      </w:r>
      <w:r w:rsidRPr="007915F2">
        <w:rPr>
          <w:rFonts w:ascii="Garamond" w:hAnsi="Garamond"/>
          <w:sz w:val="24"/>
          <w:szCs w:val="24"/>
        </w:rPr>
        <w:t xml:space="preserve">firm’s Tobin’s Q with </w:t>
      </w:r>
      <w:r w:rsidRPr="007915F2">
        <w:rPr>
          <w:rFonts w:ascii="Garamond" w:hAnsi="Garamond"/>
          <w:i/>
          <w:sz w:val="24"/>
          <w:szCs w:val="24"/>
        </w:rPr>
        <w:t>p-</w:t>
      </w:r>
      <w:r w:rsidRPr="007915F2">
        <w:rPr>
          <w:rFonts w:ascii="Garamond" w:hAnsi="Garamond"/>
          <w:sz w:val="24"/>
          <w:szCs w:val="24"/>
        </w:rPr>
        <w:t xml:space="preserve">values of less than 0.05.  Furthermore, </w:t>
      </w:r>
      <w:r w:rsidRPr="007915F2">
        <w:rPr>
          <w:rFonts w:ascii="Garamond" w:hAnsi="Garamond"/>
          <w:i/>
          <w:sz w:val="24"/>
          <w:szCs w:val="24"/>
        </w:rPr>
        <w:t xml:space="preserve">ECC </w:t>
      </w:r>
      <w:r w:rsidRPr="007915F2">
        <w:rPr>
          <w:rFonts w:ascii="Garamond" w:hAnsi="Garamond"/>
          <w:sz w:val="24"/>
          <w:szCs w:val="24"/>
        </w:rPr>
        <w:t xml:space="preserve">and </w:t>
      </w:r>
      <w:r w:rsidRPr="007915F2">
        <w:rPr>
          <w:rFonts w:ascii="Garamond" w:hAnsi="Garamond"/>
          <w:i/>
          <w:sz w:val="24"/>
          <w:szCs w:val="24"/>
        </w:rPr>
        <w:t>ODG</w:t>
      </w:r>
      <w:r w:rsidRPr="007915F2">
        <w:rPr>
          <w:rFonts w:ascii="Garamond" w:hAnsi="Garamond"/>
          <w:sz w:val="24"/>
          <w:szCs w:val="24"/>
        </w:rPr>
        <w:t xml:space="preserve"> are negatively significant with Tobin’s Q in three out of four cases with </w:t>
      </w:r>
      <w:r w:rsidRPr="007915F2">
        <w:rPr>
          <w:rFonts w:ascii="Garamond" w:hAnsi="Garamond"/>
          <w:i/>
          <w:sz w:val="24"/>
          <w:szCs w:val="24"/>
        </w:rPr>
        <w:t>p-</w:t>
      </w:r>
      <w:r w:rsidRPr="007915F2">
        <w:rPr>
          <w:rFonts w:ascii="Garamond" w:hAnsi="Garamond"/>
          <w:sz w:val="24"/>
          <w:szCs w:val="24"/>
        </w:rPr>
        <w:t xml:space="preserve">values of less than 0.05. </w:t>
      </w:r>
      <w:r w:rsidRPr="007915F2">
        <w:rPr>
          <w:rFonts w:ascii="Garamond" w:hAnsi="Garamond"/>
          <w:i/>
          <w:iCs/>
          <w:sz w:val="24"/>
          <w:szCs w:val="24"/>
        </w:rPr>
        <w:t xml:space="preserve">   </w:t>
      </w:r>
    </w:p>
    <w:p w14:paraId="02C96804" w14:textId="77777777" w:rsidR="00F72EF1" w:rsidRPr="007915F2" w:rsidRDefault="00F72EF1" w:rsidP="00D61CD6">
      <w:pPr>
        <w:spacing w:after="0" w:line="240" w:lineRule="auto"/>
        <w:rPr>
          <w:rFonts w:ascii="Garamond" w:hAnsi="Garamond"/>
          <w:i/>
          <w:sz w:val="24"/>
          <w:szCs w:val="24"/>
        </w:rPr>
      </w:pPr>
      <w:r w:rsidRPr="007915F2">
        <w:rPr>
          <w:rFonts w:ascii="Garamond" w:hAnsi="Garamond"/>
          <w:i/>
          <w:sz w:val="24"/>
          <w:szCs w:val="24"/>
        </w:rPr>
        <w:t>5.2      Ordinary Least Squares (OLS) results excluding China as a Supplier</w:t>
      </w:r>
    </w:p>
    <w:p w14:paraId="03A80679" w14:textId="77777777" w:rsidR="00F72EF1" w:rsidRPr="007915F2" w:rsidRDefault="00F72EF1" w:rsidP="00D61CD6">
      <w:pPr>
        <w:spacing w:after="0" w:line="240" w:lineRule="auto"/>
        <w:jc w:val="both"/>
        <w:rPr>
          <w:rFonts w:ascii="Garamond" w:hAnsi="Garamond"/>
          <w:sz w:val="24"/>
          <w:szCs w:val="24"/>
        </w:rPr>
      </w:pPr>
      <w:r w:rsidRPr="007915F2">
        <w:rPr>
          <w:rFonts w:ascii="Garamond" w:hAnsi="Garamond"/>
          <w:i/>
          <w:sz w:val="24"/>
          <w:szCs w:val="24"/>
        </w:rPr>
        <w:tab/>
      </w:r>
      <w:r w:rsidRPr="007915F2">
        <w:rPr>
          <w:rFonts w:ascii="Garamond" w:hAnsi="Garamond"/>
          <w:sz w:val="24"/>
          <w:szCs w:val="24"/>
        </w:rPr>
        <w:t xml:space="preserve">The primary focus of our study is the effect on </w:t>
      </w:r>
      <w:r w:rsidR="000324C6" w:rsidRPr="007915F2">
        <w:rPr>
          <w:rFonts w:ascii="Garamond" w:hAnsi="Garamond"/>
          <w:sz w:val="24"/>
          <w:szCs w:val="24"/>
        </w:rPr>
        <w:t xml:space="preserve">the </w:t>
      </w:r>
      <w:r w:rsidRPr="007915F2">
        <w:rPr>
          <w:rFonts w:ascii="Garamond" w:hAnsi="Garamond"/>
          <w:sz w:val="24"/>
          <w:szCs w:val="24"/>
        </w:rPr>
        <w:t xml:space="preserve">firm’s profitability when China (and other Far East countries </w:t>
      </w:r>
      <w:r w:rsidR="005A11D2" w:rsidRPr="007915F2">
        <w:rPr>
          <w:rFonts w:ascii="Garamond" w:hAnsi="Garamond"/>
          <w:sz w:val="24"/>
          <w:szCs w:val="24"/>
        </w:rPr>
        <w:t>namely</w:t>
      </w:r>
      <w:r w:rsidRPr="007915F2">
        <w:rPr>
          <w:rFonts w:ascii="Garamond" w:hAnsi="Garamond"/>
          <w:sz w:val="24"/>
          <w:szCs w:val="24"/>
        </w:rPr>
        <w:t xml:space="preserve"> Hong Kong, Macau, and Taiwan; hereinafter we denote this as China) is excluded from the supply chain network.   We</w:t>
      </w:r>
      <w:r w:rsidR="000324C6" w:rsidRPr="007915F2">
        <w:rPr>
          <w:rFonts w:ascii="Garamond" w:hAnsi="Garamond"/>
          <w:sz w:val="24"/>
          <w:szCs w:val="24"/>
        </w:rPr>
        <w:t>, therefore,</w:t>
      </w:r>
      <w:r w:rsidRPr="007915F2">
        <w:rPr>
          <w:rFonts w:ascii="Garamond" w:hAnsi="Garamond"/>
          <w:sz w:val="24"/>
          <w:szCs w:val="24"/>
        </w:rPr>
        <w:t xml:space="preserve"> recalibrate the centrality measures by excluding China from the supply chain network.  The statistical </w:t>
      </w:r>
      <w:r w:rsidRPr="007915F2">
        <w:rPr>
          <w:rFonts w:ascii="Garamond" w:hAnsi="Garamond"/>
          <w:sz w:val="24"/>
          <w:szCs w:val="24"/>
          <w:shd w:val="clear" w:color="auto" w:fill="FFFFFF"/>
        </w:rPr>
        <w:t xml:space="preserve">results in Tables 5 and 6 are glaring.  First, we note that the variable </w:t>
      </w:r>
      <w:r w:rsidRPr="007915F2">
        <w:rPr>
          <w:rFonts w:ascii="Garamond" w:hAnsi="Garamond"/>
          <w:i/>
          <w:sz w:val="24"/>
          <w:szCs w:val="24"/>
          <w:shd w:val="clear" w:color="auto" w:fill="FFFFFF"/>
        </w:rPr>
        <w:t>EIG</w:t>
      </w:r>
      <w:r w:rsidRPr="007915F2">
        <w:rPr>
          <w:rFonts w:ascii="Garamond" w:hAnsi="Garamond"/>
          <w:sz w:val="24"/>
          <w:szCs w:val="24"/>
          <w:shd w:val="clear" w:color="auto" w:fill="FFFFFF"/>
        </w:rPr>
        <w:t>, while positively associated</w:t>
      </w:r>
      <w:r w:rsidR="0074712C" w:rsidRPr="007915F2">
        <w:rPr>
          <w:rFonts w:ascii="Garamond" w:hAnsi="Garamond"/>
          <w:sz w:val="24"/>
          <w:szCs w:val="24"/>
          <w:shd w:val="clear" w:color="auto" w:fill="FFFFFF"/>
        </w:rPr>
        <w:t xml:space="preserve"> with ROE</w:t>
      </w:r>
      <w:r w:rsidRPr="007915F2">
        <w:rPr>
          <w:rFonts w:ascii="Garamond" w:hAnsi="Garamond"/>
          <w:sz w:val="24"/>
          <w:szCs w:val="24"/>
          <w:shd w:val="clear" w:color="auto" w:fill="FFFFFF"/>
        </w:rPr>
        <w:t>, is barely significant at a p-value of 0.10.</w:t>
      </w:r>
      <w:r w:rsidR="0074712C" w:rsidRPr="007915F2">
        <w:rPr>
          <w:rFonts w:ascii="Garamond" w:hAnsi="Garamond"/>
          <w:sz w:val="24"/>
          <w:szCs w:val="24"/>
          <w:shd w:val="clear" w:color="auto" w:fill="FFFFFF"/>
        </w:rPr>
        <w:t xml:space="preserve"> Moreover, EIG is not found to have </w:t>
      </w:r>
      <w:r w:rsidR="000324C6" w:rsidRPr="007915F2">
        <w:rPr>
          <w:rFonts w:ascii="Garamond" w:hAnsi="Garamond"/>
          <w:sz w:val="24"/>
          <w:szCs w:val="24"/>
          <w:shd w:val="clear" w:color="auto" w:fill="FFFFFF"/>
        </w:rPr>
        <w:t xml:space="preserve">a </w:t>
      </w:r>
      <w:r w:rsidR="0074712C" w:rsidRPr="007915F2">
        <w:rPr>
          <w:rFonts w:ascii="Garamond" w:hAnsi="Garamond"/>
          <w:sz w:val="24"/>
          <w:szCs w:val="24"/>
          <w:shd w:val="clear" w:color="auto" w:fill="FFFFFF"/>
        </w:rPr>
        <w:t>significant effect o</w:t>
      </w:r>
      <w:r w:rsidR="000324C6" w:rsidRPr="007915F2">
        <w:rPr>
          <w:rFonts w:ascii="Garamond" w:hAnsi="Garamond"/>
          <w:sz w:val="24"/>
          <w:szCs w:val="24"/>
          <w:shd w:val="clear" w:color="auto" w:fill="FFFFFF"/>
        </w:rPr>
        <w:t>n</w:t>
      </w:r>
      <w:r w:rsidR="0074712C" w:rsidRPr="007915F2">
        <w:rPr>
          <w:rFonts w:ascii="Garamond" w:hAnsi="Garamond"/>
          <w:sz w:val="24"/>
          <w:szCs w:val="24"/>
          <w:shd w:val="clear" w:color="auto" w:fill="FFFFFF"/>
        </w:rPr>
        <w:t xml:space="preserve"> Tobin’s Q.</w:t>
      </w:r>
      <w:r w:rsidRPr="007915F2">
        <w:rPr>
          <w:rFonts w:ascii="Garamond" w:hAnsi="Garamond"/>
          <w:sz w:val="24"/>
          <w:szCs w:val="24"/>
          <w:shd w:val="clear" w:color="auto" w:fill="FFFFFF"/>
        </w:rPr>
        <w:t xml:space="preserve"> Second, </w:t>
      </w:r>
      <w:r w:rsidRPr="007915F2">
        <w:rPr>
          <w:rFonts w:ascii="Garamond" w:hAnsi="Garamond"/>
          <w:i/>
          <w:sz w:val="24"/>
          <w:szCs w:val="24"/>
          <w:shd w:val="clear" w:color="auto" w:fill="FFFFFF"/>
        </w:rPr>
        <w:t>ECC</w:t>
      </w:r>
      <w:r w:rsidRPr="007915F2">
        <w:rPr>
          <w:rFonts w:ascii="Garamond" w:hAnsi="Garamond"/>
          <w:sz w:val="24"/>
          <w:szCs w:val="24"/>
          <w:shd w:val="clear" w:color="auto" w:fill="FFFFFF"/>
        </w:rPr>
        <w:t xml:space="preserve"> drops out of significance altogether.   Third, </w:t>
      </w:r>
      <w:r w:rsidRPr="007915F2">
        <w:rPr>
          <w:rFonts w:ascii="Garamond" w:hAnsi="Garamond"/>
          <w:i/>
          <w:sz w:val="24"/>
          <w:szCs w:val="24"/>
          <w:shd w:val="clear" w:color="auto" w:fill="FFFFFF"/>
        </w:rPr>
        <w:t>IDEG</w:t>
      </w:r>
      <w:r w:rsidRPr="007915F2">
        <w:rPr>
          <w:rFonts w:ascii="Garamond" w:hAnsi="Garamond"/>
          <w:sz w:val="24"/>
          <w:szCs w:val="24"/>
          <w:shd w:val="clear" w:color="auto" w:fill="FFFFFF"/>
        </w:rPr>
        <w:t xml:space="preserve"> continues to be positively associated</w:t>
      </w:r>
      <w:r w:rsidRPr="007915F2">
        <w:rPr>
          <w:rFonts w:ascii="Garamond" w:hAnsi="Garamond"/>
          <w:sz w:val="24"/>
          <w:szCs w:val="24"/>
        </w:rPr>
        <w:t xml:space="preserve"> with both accounting return (Table 5) and Tobin’s Q (Table 6).  Finally, consistent with our expectation, we find that the coefficient on </w:t>
      </w:r>
      <w:r w:rsidRPr="007915F2">
        <w:rPr>
          <w:rFonts w:ascii="Garamond" w:hAnsi="Garamond"/>
          <w:i/>
          <w:sz w:val="24"/>
          <w:szCs w:val="24"/>
        </w:rPr>
        <w:t>PGE</w:t>
      </w:r>
      <w:r w:rsidRPr="007915F2">
        <w:rPr>
          <w:rFonts w:ascii="Garamond" w:hAnsi="Garamond"/>
          <w:sz w:val="24"/>
          <w:szCs w:val="24"/>
        </w:rPr>
        <w:t xml:space="preserve"> is now negative and statistically significant. When China is excluded, firms are forced to diversify their suppliers but this diversification does not necessarily improve profitability. The negative and significant coefficient on </w:t>
      </w:r>
      <w:r w:rsidRPr="007915F2">
        <w:rPr>
          <w:rFonts w:ascii="Garamond" w:hAnsi="Garamond"/>
          <w:i/>
          <w:sz w:val="24"/>
          <w:szCs w:val="24"/>
        </w:rPr>
        <w:t>PGE</w:t>
      </w:r>
      <w:r w:rsidRPr="007915F2">
        <w:rPr>
          <w:rFonts w:ascii="Garamond" w:hAnsi="Garamond"/>
          <w:sz w:val="24"/>
          <w:szCs w:val="24"/>
        </w:rPr>
        <w:t xml:space="preserve"> </w:t>
      </w:r>
      <w:r w:rsidR="000324C6" w:rsidRPr="007915F2">
        <w:rPr>
          <w:rFonts w:ascii="Garamond" w:hAnsi="Garamond"/>
          <w:sz w:val="24"/>
          <w:szCs w:val="24"/>
        </w:rPr>
        <w:t>implies</w:t>
      </w:r>
      <w:r w:rsidRPr="007915F2">
        <w:rPr>
          <w:rFonts w:ascii="Garamond" w:hAnsi="Garamond"/>
          <w:sz w:val="24"/>
          <w:szCs w:val="24"/>
        </w:rPr>
        <w:t xml:space="preserve"> that in the absence of China, firms may be forced to turn to less complex products in order to maintain and improve firm profitability.   </w:t>
      </w:r>
    </w:p>
    <w:p w14:paraId="600CF918" w14:textId="77777777" w:rsidR="00F72EF1" w:rsidRPr="007915F2" w:rsidRDefault="00F72EF1" w:rsidP="00D61CD6">
      <w:pPr>
        <w:spacing w:after="0" w:line="240" w:lineRule="auto"/>
        <w:jc w:val="both"/>
        <w:rPr>
          <w:rFonts w:ascii="Garamond" w:hAnsi="Garamond"/>
          <w:i/>
          <w:iCs/>
          <w:sz w:val="24"/>
          <w:szCs w:val="24"/>
        </w:rPr>
      </w:pPr>
      <w:r w:rsidRPr="007915F2">
        <w:rPr>
          <w:rFonts w:ascii="Garamond" w:hAnsi="Garamond"/>
          <w:i/>
          <w:iCs/>
          <w:sz w:val="24"/>
          <w:szCs w:val="24"/>
        </w:rPr>
        <w:t>5.3</w:t>
      </w:r>
      <w:r w:rsidRPr="007915F2">
        <w:rPr>
          <w:rFonts w:ascii="Garamond" w:hAnsi="Garamond"/>
          <w:i/>
          <w:iCs/>
          <w:sz w:val="24"/>
          <w:szCs w:val="24"/>
        </w:rPr>
        <w:tab/>
        <w:t>Additional Tests</w:t>
      </w:r>
    </w:p>
    <w:p w14:paraId="6CBCF3D6" w14:textId="4D05E582" w:rsidR="00F72EF1" w:rsidRPr="007915F2" w:rsidRDefault="00F72EF1" w:rsidP="00D61CD6">
      <w:pPr>
        <w:spacing w:after="0" w:line="240" w:lineRule="auto"/>
        <w:ind w:firstLine="720"/>
        <w:jc w:val="both"/>
        <w:rPr>
          <w:rFonts w:ascii="Garamond" w:hAnsi="Garamond"/>
          <w:sz w:val="24"/>
          <w:szCs w:val="24"/>
        </w:rPr>
      </w:pPr>
      <w:r w:rsidRPr="007915F2">
        <w:rPr>
          <w:rFonts w:ascii="Garamond" w:hAnsi="Garamond"/>
          <w:sz w:val="24"/>
          <w:szCs w:val="24"/>
        </w:rPr>
        <w:t>In this section, we explore whether the main findings are robust to alternative specifications.</w:t>
      </w:r>
      <w:r w:rsidRPr="007915F2">
        <w:rPr>
          <w:rStyle w:val="FootnoteReference"/>
          <w:rFonts w:ascii="Garamond" w:hAnsi="Garamond"/>
          <w:sz w:val="24"/>
          <w:szCs w:val="24"/>
        </w:rPr>
        <w:footnoteReference w:id="4"/>
      </w:r>
      <w:r w:rsidRPr="007915F2">
        <w:rPr>
          <w:rFonts w:ascii="Garamond" w:hAnsi="Garamond"/>
          <w:sz w:val="24"/>
          <w:szCs w:val="24"/>
        </w:rPr>
        <w:t xml:space="preserve">  We conduct several additional tests to ensure our results, in Tables 3 through 6, stand up to further scrutiny to alternative model specifications and variable definitions.  For the sake of brevity, we only tabulate the coefficients of the critical variables in </w:t>
      </w:r>
      <w:r w:rsidR="00273B0B" w:rsidRPr="007915F2">
        <w:rPr>
          <w:rFonts w:ascii="Garamond" w:hAnsi="Garamond"/>
          <w:sz w:val="24"/>
          <w:szCs w:val="24"/>
        </w:rPr>
        <w:t>Appendix 3</w:t>
      </w:r>
      <w:r w:rsidRPr="007915F2">
        <w:rPr>
          <w:rFonts w:ascii="Garamond" w:hAnsi="Garamond"/>
          <w:sz w:val="24"/>
          <w:szCs w:val="24"/>
        </w:rPr>
        <w:t>. Prior research [see C. Subramaniam (2000)] suggests that CEOs may be more inclined to improve firm performance as measured by Return on Equity (ROE) than other measures of accounting return, such as Return on Capital (ROC) or Return on Assets (ROA).  We</w:t>
      </w:r>
      <w:r w:rsidR="000324C6" w:rsidRPr="007915F2">
        <w:rPr>
          <w:rFonts w:ascii="Garamond" w:hAnsi="Garamond"/>
          <w:sz w:val="24"/>
          <w:szCs w:val="24"/>
        </w:rPr>
        <w:t>, therefore,</w:t>
      </w:r>
      <w:r w:rsidRPr="007915F2">
        <w:rPr>
          <w:rFonts w:ascii="Garamond" w:hAnsi="Garamond"/>
          <w:sz w:val="24"/>
          <w:szCs w:val="24"/>
        </w:rPr>
        <w:t xml:space="preserve"> replace ROE by ROC as our dependent variable to investigate if supply chain centrality measures are associated with ROC just as much as they do with ROE. </w:t>
      </w:r>
      <w:r w:rsidRPr="007915F2">
        <w:rPr>
          <w:rFonts w:ascii="Garamond" w:hAnsi="Garamond"/>
          <w:iCs/>
          <w:sz w:val="24"/>
          <w:szCs w:val="24"/>
        </w:rPr>
        <w:t xml:space="preserve">We find that when firms use </w:t>
      </w:r>
      <w:r w:rsidRPr="007915F2">
        <w:rPr>
          <w:rFonts w:ascii="Garamond" w:hAnsi="Garamond"/>
          <w:i/>
          <w:iCs/>
          <w:sz w:val="24"/>
          <w:szCs w:val="24"/>
        </w:rPr>
        <w:t>ROC</w:t>
      </w:r>
      <w:r w:rsidRPr="007915F2">
        <w:rPr>
          <w:rFonts w:ascii="Garamond" w:hAnsi="Garamond"/>
          <w:iCs/>
          <w:sz w:val="24"/>
          <w:szCs w:val="24"/>
        </w:rPr>
        <w:t xml:space="preserve">, the results are no different from those reported in table 3 (see </w:t>
      </w:r>
      <w:r w:rsidR="00273B0B" w:rsidRPr="007915F2">
        <w:rPr>
          <w:rFonts w:ascii="Garamond" w:hAnsi="Garamond"/>
          <w:iCs/>
          <w:sz w:val="24"/>
          <w:szCs w:val="24"/>
        </w:rPr>
        <w:t>Appendix 3</w:t>
      </w:r>
      <w:r w:rsidRPr="007915F2">
        <w:rPr>
          <w:rFonts w:ascii="Garamond" w:hAnsi="Garamond"/>
          <w:iCs/>
          <w:sz w:val="24"/>
          <w:szCs w:val="24"/>
        </w:rPr>
        <w:t xml:space="preserve">, Part I). The estimated coefficient on </w:t>
      </w:r>
      <w:r w:rsidRPr="007915F2">
        <w:rPr>
          <w:rFonts w:ascii="Garamond" w:hAnsi="Garamond"/>
          <w:i/>
          <w:iCs/>
          <w:sz w:val="24"/>
          <w:szCs w:val="24"/>
        </w:rPr>
        <w:t>EIG</w:t>
      </w:r>
      <w:r w:rsidRPr="007915F2">
        <w:rPr>
          <w:rFonts w:ascii="Garamond" w:hAnsi="Garamond"/>
          <w:iCs/>
          <w:sz w:val="24"/>
          <w:szCs w:val="24"/>
        </w:rPr>
        <w:t xml:space="preserve"> and </w:t>
      </w:r>
      <w:r w:rsidRPr="007915F2">
        <w:rPr>
          <w:rFonts w:ascii="Garamond" w:hAnsi="Garamond"/>
          <w:i/>
          <w:iCs/>
          <w:sz w:val="24"/>
          <w:szCs w:val="24"/>
        </w:rPr>
        <w:t>IDEG</w:t>
      </w:r>
      <w:r w:rsidRPr="007915F2">
        <w:rPr>
          <w:rFonts w:ascii="Garamond" w:hAnsi="Garamond"/>
          <w:iCs/>
          <w:sz w:val="24"/>
          <w:szCs w:val="24"/>
        </w:rPr>
        <w:t xml:space="preserve"> are positive and significant (coefficient estimates of 17.3 and 0.041 respectively, in Panel A, and significant at the 0.05 and 0.10 level).  Similarly, </w:t>
      </w:r>
      <w:r w:rsidRPr="007915F2">
        <w:rPr>
          <w:rFonts w:ascii="Garamond" w:hAnsi="Garamond"/>
          <w:i/>
          <w:iCs/>
          <w:sz w:val="24"/>
          <w:szCs w:val="24"/>
        </w:rPr>
        <w:t>ECC</w:t>
      </w:r>
      <w:r w:rsidRPr="007915F2">
        <w:rPr>
          <w:rFonts w:ascii="Garamond" w:hAnsi="Garamond"/>
          <w:iCs/>
          <w:sz w:val="24"/>
          <w:szCs w:val="24"/>
        </w:rPr>
        <w:t xml:space="preserve"> and </w:t>
      </w:r>
      <w:r w:rsidRPr="007915F2">
        <w:rPr>
          <w:rFonts w:ascii="Garamond" w:hAnsi="Garamond"/>
          <w:i/>
          <w:iCs/>
          <w:sz w:val="24"/>
          <w:szCs w:val="24"/>
        </w:rPr>
        <w:t>ODEG</w:t>
      </w:r>
      <w:r w:rsidRPr="007915F2">
        <w:rPr>
          <w:rFonts w:ascii="Garamond" w:hAnsi="Garamond"/>
          <w:iCs/>
          <w:sz w:val="24"/>
          <w:szCs w:val="24"/>
        </w:rPr>
        <w:t xml:space="preserve"> are negative and significant (coefficient estimates of -0.928 and -0.076 respectively in Panel A, and significant at the 0.01 and 0.05 level).</w:t>
      </w:r>
    </w:p>
    <w:p w14:paraId="27E33967" w14:textId="745FA657" w:rsidR="00F72EF1" w:rsidRPr="007915F2" w:rsidRDefault="00F72EF1" w:rsidP="00D61CD6">
      <w:pPr>
        <w:spacing w:after="0" w:line="240" w:lineRule="auto"/>
        <w:ind w:firstLine="720"/>
        <w:jc w:val="both"/>
        <w:rPr>
          <w:rFonts w:ascii="Garamond" w:hAnsi="Garamond"/>
          <w:iCs/>
          <w:sz w:val="24"/>
          <w:szCs w:val="24"/>
        </w:rPr>
      </w:pPr>
      <w:r w:rsidRPr="007915F2">
        <w:rPr>
          <w:rFonts w:ascii="Garamond" w:hAnsi="Garamond"/>
          <w:iCs/>
          <w:sz w:val="24"/>
          <w:szCs w:val="24"/>
        </w:rPr>
        <w:t>Table 2 illustrates that changes in accounting performance and market performance vary widely across industries.  Hence, we perform the analysis again using industry-adjusted accounting and market performance variables.</w:t>
      </w:r>
      <w:r w:rsidRPr="007915F2">
        <w:rPr>
          <w:rStyle w:val="FootnoteReference"/>
          <w:rFonts w:ascii="Garamond" w:hAnsi="Garamond"/>
          <w:iCs/>
          <w:sz w:val="24"/>
          <w:szCs w:val="24"/>
        </w:rPr>
        <w:footnoteReference w:id="5"/>
      </w:r>
      <w:r w:rsidRPr="007915F2">
        <w:rPr>
          <w:rFonts w:ascii="Garamond" w:hAnsi="Garamond"/>
          <w:iCs/>
          <w:sz w:val="24"/>
          <w:szCs w:val="24"/>
        </w:rPr>
        <w:t xml:space="preserve">  When we exclude China from the supply chain mix, we find that coefficients of </w:t>
      </w:r>
      <w:r w:rsidRPr="007915F2">
        <w:rPr>
          <w:rFonts w:ascii="Garamond" w:hAnsi="Garamond"/>
          <w:i/>
          <w:iCs/>
          <w:sz w:val="24"/>
          <w:szCs w:val="24"/>
        </w:rPr>
        <w:t xml:space="preserve">EIG </w:t>
      </w:r>
      <w:r w:rsidRPr="007915F2">
        <w:rPr>
          <w:rFonts w:ascii="Garamond" w:hAnsi="Garamond"/>
          <w:sz w:val="24"/>
          <w:szCs w:val="24"/>
        </w:rPr>
        <w:t xml:space="preserve">and </w:t>
      </w:r>
      <w:r w:rsidRPr="007915F2">
        <w:rPr>
          <w:rFonts w:ascii="Garamond" w:hAnsi="Garamond"/>
          <w:i/>
          <w:iCs/>
          <w:sz w:val="24"/>
          <w:szCs w:val="24"/>
        </w:rPr>
        <w:t xml:space="preserve">ECC </w:t>
      </w:r>
      <w:r w:rsidRPr="007915F2">
        <w:rPr>
          <w:rFonts w:ascii="Garamond" w:hAnsi="Garamond"/>
          <w:iCs/>
          <w:sz w:val="24"/>
          <w:szCs w:val="24"/>
        </w:rPr>
        <w:t xml:space="preserve">are no longer significant in three out of four cases whether we use industry-adjusted ROA or industry-adjusted Tobin’s Q. More crucially, the coefficient on </w:t>
      </w:r>
      <w:r w:rsidRPr="007915F2">
        <w:rPr>
          <w:rFonts w:ascii="Garamond" w:hAnsi="Garamond"/>
          <w:i/>
          <w:iCs/>
          <w:sz w:val="24"/>
          <w:szCs w:val="24"/>
        </w:rPr>
        <w:t>PGE</w:t>
      </w:r>
      <w:r w:rsidRPr="007915F2">
        <w:rPr>
          <w:rFonts w:ascii="Garamond" w:hAnsi="Garamond"/>
          <w:iCs/>
          <w:sz w:val="24"/>
          <w:szCs w:val="24"/>
        </w:rPr>
        <w:t xml:space="preserve"> continues to be negative and significant in three out of four cases (see </w:t>
      </w:r>
      <w:r w:rsidR="00273B0B" w:rsidRPr="007915F2">
        <w:rPr>
          <w:rFonts w:ascii="Garamond" w:hAnsi="Garamond"/>
          <w:iCs/>
          <w:sz w:val="24"/>
          <w:szCs w:val="24"/>
        </w:rPr>
        <w:t>Appendix 3</w:t>
      </w:r>
      <w:r w:rsidRPr="007915F2">
        <w:rPr>
          <w:rFonts w:ascii="Garamond" w:hAnsi="Garamond"/>
          <w:iCs/>
          <w:sz w:val="24"/>
          <w:szCs w:val="24"/>
        </w:rPr>
        <w:t>, Parts III</w:t>
      </w:r>
      <w:r w:rsidR="000324C6" w:rsidRPr="007915F2">
        <w:rPr>
          <w:rFonts w:ascii="Garamond" w:hAnsi="Garamond"/>
          <w:iCs/>
          <w:sz w:val="24"/>
          <w:szCs w:val="24"/>
        </w:rPr>
        <w:t>,</w:t>
      </w:r>
      <w:r w:rsidRPr="007915F2">
        <w:rPr>
          <w:rFonts w:ascii="Garamond" w:hAnsi="Garamond"/>
          <w:iCs/>
          <w:sz w:val="24"/>
          <w:szCs w:val="24"/>
        </w:rPr>
        <w:t xml:space="preserve"> and IV). Thus, our main findings did not change; in other words</w:t>
      </w:r>
      <w:r w:rsidR="000324C6" w:rsidRPr="007915F2">
        <w:rPr>
          <w:rFonts w:ascii="Garamond" w:hAnsi="Garamond"/>
          <w:iCs/>
          <w:sz w:val="24"/>
          <w:szCs w:val="24"/>
        </w:rPr>
        <w:t>,</w:t>
      </w:r>
      <w:r w:rsidRPr="007915F2">
        <w:rPr>
          <w:rFonts w:ascii="Garamond" w:hAnsi="Garamond"/>
          <w:iCs/>
          <w:sz w:val="24"/>
          <w:szCs w:val="24"/>
        </w:rPr>
        <w:t xml:space="preserve"> </w:t>
      </w:r>
      <w:r w:rsidRPr="007915F2">
        <w:rPr>
          <w:rFonts w:ascii="Garamond" w:hAnsi="Garamond"/>
          <w:i/>
          <w:iCs/>
          <w:sz w:val="24"/>
          <w:szCs w:val="24"/>
        </w:rPr>
        <w:t>EIG</w:t>
      </w:r>
      <w:r w:rsidRPr="007915F2">
        <w:rPr>
          <w:rFonts w:ascii="Garamond" w:hAnsi="Garamond"/>
          <w:iCs/>
          <w:sz w:val="24"/>
          <w:szCs w:val="24"/>
        </w:rPr>
        <w:t xml:space="preserve"> and </w:t>
      </w:r>
      <w:r w:rsidRPr="007915F2">
        <w:rPr>
          <w:rFonts w:ascii="Garamond" w:hAnsi="Garamond"/>
          <w:i/>
          <w:iCs/>
          <w:sz w:val="24"/>
          <w:szCs w:val="24"/>
        </w:rPr>
        <w:t>INDEG</w:t>
      </w:r>
      <w:r w:rsidRPr="007915F2">
        <w:rPr>
          <w:rFonts w:ascii="Garamond" w:hAnsi="Garamond"/>
          <w:iCs/>
          <w:sz w:val="24"/>
          <w:szCs w:val="24"/>
        </w:rPr>
        <w:t xml:space="preserve"> continue to be positive and significant at the 0.05 level, when China is included in the supply chain.  However, when China is excluded, </w:t>
      </w:r>
      <w:r w:rsidRPr="007915F2">
        <w:rPr>
          <w:rFonts w:ascii="Garamond" w:hAnsi="Garamond"/>
          <w:i/>
          <w:iCs/>
          <w:sz w:val="24"/>
          <w:szCs w:val="24"/>
        </w:rPr>
        <w:t>PGE</w:t>
      </w:r>
      <w:r w:rsidRPr="007915F2">
        <w:rPr>
          <w:rFonts w:ascii="Garamond" w:hAnsi="Garamond"/>
          <w:iCs/>
          <w:sz w:val="24"/>
          <w:szCs w:val="24"/>
        </w:rPr>
        <w:t xml:space="preserve"> remains negative and significant.  The hypotheses parameters remain positive and </w:t>
      </w:r>
      <w:r w:rsidRPr="007915F2">
        <w:rPr>
          <w:rFonts w:ascii="Garamond" w:hAnsi="Garamond"/>
          <w:iCs/>
          <w:sz w:val="24"/>
          <w:szCs w:val="24"/>
        </w:rPr>
        <w:lastRenderedPageBreak/>
        <w:t xml:space="preserve">significant for </w:t>
      </w:r>
      <w:r w:rsidRPr="007915F2">
        <w:rPr>
          <w:rFonts w:ascii="Garamond" w:hAnsi="Garamond"/>
          <w:i/>
          <w:iCs/>
          <w:sz w:val="24"/>
          <w:szCs w:val="24"/>
        </w:rPr>
        <w:t>IDEG</w:t>
      </w:r>
      <w:r w:rsidRPr="007915F2">
        <w:rPr>
          <w:rFonts w:ascii="Garamond" w:hAnsi="Garamond"/>
          <w:iCs/>
          <w:sz w:val="24"/>
          <w:szCs w:val="24"/>
        </w:rPr>
        <w:t xml:space="preserve">, while </w:t>
      </w:r>
      <w:r w:rsidRPr="007915F2">
        <w:rPr>
          <w:rFonts w:ascii="Garamond" w:hAnsi="Garamond"/>
          <w:i/>
          <w:iCs/>
          <w:sz w:val="24"/>
          <w:szCs w:val="24"/>
        </w:rPr>
        <w:t xml:space="preserve">PGE </w:t>
      </w:r>
      <w:r w:rsidRPr="007915F2">
        <w:rPr>
          <w:rFonts w:ascii="Garamond" w:hAnsi="Garamond"/>
          <w:iCs/>
          <w:sz w:val="24"/>
          <w:szCs w:val="24"/>
        </w:rPr>
        <w:t xml:space="preserve">and </w:t>
      </w:r>
      <w:r w:rsidRPr="007915F2">
        <w:rPr>
          <w:rFonts w:ascii="Garamond" w:hAnsi="Garamond"/>
          <w:i/>
          <w:iCs/>
          <w:sz w:val="24"/>
          <w:szCs w:val="24"/>
        </w:rPr>
        <w:t>CSZ</w:t>
      </w:r>
      <w:r w:rsidRPr="007915F2">
        <w:rPr>
          <w:rFonts w:ascii="Garamond" w:hAnsi="Garamond"/>
          <w:iCs/>
          <w:sz w:val="24"/>
          <w:szCs w:val="24"/>
        </w:rPr>
        <w:t xml:space="preserve"> remain negative and significant through most of these robustness tests, thereby supporting our central tenet that when China is no longer a supplier, firms maintain their profitability by ma</w:t>
      </w:r>
      <w:r w:rsidR="000324C6" w:rsidRPr="007915F2">
        <w:rPr>
          <w:rFonts w:ascii="Garamond" w:hAnsi="Garamond"/>
          <w:iCs/>
          <w:sz w:val="24"/>
          <w:szCs w:val="24"/>
        </w:rPr>
        <w:t>nufacturing less complex goods.</w:t>
      </w:r>
    </w:p>
    <w:p w14:paraId="531DE42E" w14:textId="4C94D031" w:rsidR="00BC33F8" w:rsidRDefault="00BC33F8" w:rsidP="00D61CD6">
      <w:pPr>
        <w:spacing w:after="0" w:line="240" w:lineRule="auto"/>
        <w:jc w:val="both"/>
        <w:rPr>
          <w:rFonts w:ascii="Garamond" w:hAnsi="Garamond"/>
          <w:sz w:val="24"/>
          <w:szCs w:val="24"/>
        </w:rPr>
      </w:pPr>
    </w:p>
    <w:p w14:paraId="0403B428" w14:textId="1D231988" w:rsidR="00763FFE" w:rsidRDefault="00763FFE" w:rsidP="00D61CD6">
      <w:pPr>
        <w:spacing w:after="0" w:line="240" w:lineRule="auto"/>
        <w:jc w:val="both"/>
        <w:rPr>
          <w:rFonts w:ascii="Garamond" w:hAnsi="Garamond"/>
          <w:sz w:val="24"/>
          <w:szCs w:val="24"/>
        </w:rPr>
      </w:pPr>
    </w:p>
    <w:p w14:paraId="66973651" w14:textId="77777777" w:rsidR="00763FFE" w:rsidRPr="007915F2" w:rsidRDefault="00763FFE" w:rsidP="00D61CD6">
      <w:pPr>
        <w:spacing w:after="0" w:line="240" w:lineRule="auto"/>
        <w:jc w:val="both"/>
        <w:rPr>
          <w:rFonts w:ascii="Garamond" w:hAnsi="Garamond"/>
          <w:sz w:val="24"/>
          <w:szCs w:val="24"/>
        </w:rPr>
      </w:pPr>
    </w:p>
    <w:p w14:paraId="3CC7A8A8" w14:textId="77777777" w:rsidR="00743A8F" w:rsidRPr="007915F2" w:rsidRDefault="00A47A8C" w:rsidP="00D61CD6">
      <w:pPr>
        <w:spacing w:after="0" w:line="240" w:lineRule="auto"/>
        <w:jc w:val="both"/>
        <w:rPr>
          <w:rFonts w:ascii="Garamond" w:hAnsi="Garamond"/>
          <w:b/>
          <w:sz w:val="24"/>
          <w:szCs w:val="24"/>
        </w:rPr>
      </w:pPr>
      <w:r w:rsidRPr="007915F2">
        <w:rPr>
          <w:rFonts w:ascii="Garamond" w:hAnsi="Garamond"/>
          <w:b/>
          <w:sz w:val="24"/>
          <w:szCs w:val="24"/>
        </w:rPr>
        <w:t>6</w:t>
      </w:r>
      <w:r w:rsidR="00426DAE" w:rsidRPr="007915F2">
        <w:rPr>
          <w:rFonts w:ascii="Garamond" w:hAnsi="Garamond"/>
          <w:b/>
          <w:sz w:val="24"/>
          <w:szCs w:val="24"/>
        </w:rPr>
        <w:t xml:space="preserve">. </w:t>
      </w:r>
      <w:r w:rsidR="00743A8F" w:rsidRPr="007915F2">
        <w:rPr>
          <w:rFonts w:ascii="Garamond" w:hAnsi="Garamond"/>
          <w:b/>
          <w:sz w:val="24"/>
          <w:szCs w:val="24"/>
        </w:rPr>
        <w:t xml:space="preserve">Discussion of the Findings </w:t>
      </w:r>
    </w:p>
    <w:p w14:paraId="529DF6BE" w14:textId="77777777" w:rsidR="002E066C" w:rsidRPr="007915F2" w:rsidRDefault="002E066C"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 xml:space="preserve">Several theories and </w:t>
      </w:r>
      <w:r w:rsidR="00EB6EED" w:rsidRPr="007915F2">
        <w:rPr>
          <w:rFonts w:ascii="Garamond" w:hAnsi="Garamond"/>
          <w:color w:val="333333"/>
          <w:sz w:val="24"/>
          <w:szCs w:val="24"/>
          <w:shd w:val="clear" w:color="auto" w:fill="FFFFFF"/>
        </w:rPr>
        <w:t>views have been utilized in the</w:t>
      </w:r>
      <w:r w:rsidRPr="007915F2">
        <w:rPr>
          <w:rFonts w:ascii="Garamond" w:hAnsi="Garamond"/>
          <w:color w:val="333333"/>
          <w:sz w:val="24"/>
          <w:szCs w:val="24"/>
          <w:shd w:val="clear" w:color="auto" w:fill="FFFFFF"/>
        </w:rPr>
        <w:t xml:space="preserve"> field </w:t>
      </w:r>
      <w:r w:rsidR="00EB6EED" w:rsidRPr="007915F2">
        <w:rPr>
          <w:rFonts w:ascii="Garamond" w:hAnsi="Garamond"/>
          <w:color w:val="333333"/>
          <w:sz w:val="24"/>
          <w:szCs w:val="24"/>
          <w:shd w:val="clear" w:color="auto" w:fill="FFFFFF"/>
        </w:rPr>
        <w:t xml:space="preserve">of global operations </w:t>
      </w:r>
      <w:r w:rsidRPr="007915F2">
        <w:rPr>
          <w:rFonts w:ascii="Garamond" w:hAnsi="Garamond"/>
          <w:color w:val="333333"/>
          <w:sz w:val="24"/>
          <w:szCs w:val="24"/>
          <w:shd w:val="clear" w:color="auto" w:fill="FFFFFF"/>
        </w:rPr>
        <w:t>including transaction cost analysis, resource</w:t>
      </w:r>
      <w:r w:rsidR="000324C6"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based view, knowledge</w:t>
      </w:r>
      <w:r w:rsidR="000324C6"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based view, strategic choice theory, agency theory, institutional theory, system theory</w:t>
      </w:r>
      <w:r w:rsidR="000324C6"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 xml:space="preserve"> and network perspective (Lavassani, Movahedi</w:t>
      </w:r>
      <w:r w:rsidR="000324C6"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 xml:space="preserve"> and Kumar, 2008). </w:t>
      </w:r>
      <w:r w:rsidR="00EB6EED" w:rsidRPr="007915F2">
        <w:rPr>
          <w:rFonts w:ascii="Garamond" w:hAnsi="Garamond"/>
          <w:color w:val="333333"/>
          <w:sz w:val="24"/>
          <w:szCs w:val="24"/>
          <w:shd w:val="clear" w:color="auto" w:fill="FFFFFF"/>
        </w:rPr>
        <w:t xml:space="preserve">The present study views global operations from a network perspective and applies network science techniques to the study of global supply chains. </w:t>
      </w:r>
      <w:r w:rsidRPr="007915F2">
        <w:rPr>
          <w:rFonts w:ascii="Garamond" w:hAnsi="Garamond"/>
          <w:color w:val="333333"/>
          <w:sz w:val="24"/>
          <w:szCs w:val="24"/>
          <w:shd w:val="clear" w:color="auto" w:fill="FFFFFF"/>
        </w:rPr>
        <w:t>Few studies have attempted to explore the effect of removing select actors from the global supply chain in order to investigate changes in the structure of the network. Büttner, Krieter, Traulsen, and Traulsen (2013) is an example of such research where the author s</w:t>
      </w:r>
      <w:r w:rsidR="000324C6" w:rsidRPr="007915F2">
        <w:rPr>
          <w:rFonts w:ascii="Garamond" w:hAnsi="Garamond"/>
          <w:color w:val="333333"/>
          <w:sz w:val="24"/>
          <w:szCs w:val="24"/>
          <w:shd w:val="clear" w:color="auto" w:fill="FFFFFF"/>
        </w:rPr>
        <w:t xml:space="preserve">imulated the effect of removing </w:t>
      </w:r>
      <w:r w:rsidRPr="007915F2">
        <w:rPr>
          <w:rFonts w:ascii="Garamond" w:hAnsi="Garamond"/>
          <w:color w:val="333333"/>
          <w:sz w:val="24"/>
          <w:szCs w:val="24"/>
          <w:shd w:val="clear" w:color="auto" w:fill="FFFFFF"/>
        </w:rPr>
        <w:t>sele</w:t>
      </w:r>
      <w:r w:rsidR="00BA1204" w:rsidRPr="007915F2">
        <w:rPr>
          <w:rFonts w:ascii="Garamond" w:hAnsi="Garamond"/>
          <w:color w:val="333333"/>
          <w:sz w:val="24"/>
          <w:szCs w:val="24"/>
          <w:shd w:val="clear" w:color="auto" w:fill="FFFFFF"/>
        </w:rPr>
        <w:t>ct node</w:t>
      </w:r>
      <w:r w:rsidR="000324C6" w:rsidRPr="007915F2">
        <w:rPr>
          <w:rFonts w:ascii="Garamond" w:hAnsi="Garamond"/>
          <w:color w:val="333333"/>
          <w:sz w:val="24"/>
          <w:szCs w:val="24"/>
          <w:shd w:val="clear" w:color="auto" w:fill="FFFFFF"/>
        </w:rPr>
        <w:t>s</w:t>
      </w:r>
      <w:r w:rsidR="00BA1204" w:rsidRPr="007915F2">
        <w:rPr>
          <w:rFonts w:ascii="Garamond" w:hAnsi="Garamond"/>
          <w:color w:val="333333"/>
          <w:sz w:val="24"/>
          <w:szCs w:val="24"/>
          <w:shd w:val="clear" w:color="auto" w:fill="FFFFFF"/>
        </w:rPr>
        <w:t xml:space="preserve"> in a small regional</w:t>
      </w:r>
      <w:r w:rsidR="00EB6EED" w:rsidRPr="007915F2">
        <w:rPr>
          <w:rFonts w:ascii="Garamond" w:hAnsi="Garamond"/>
          <w:color w:val="333333"/>
          <w:sz w:val="24"/>
          <w:szCs w:val="24"/>
          <w:shd w:val="clear" w:color="auto" w:fill="FFFFFF"/>
        </w:rPr>
        <w:t xml:space="preserve"> pork supply chain</w:t>
      </w:r>
      <w:r w:rsidRPr="007915F2">
        <w:rPr>
          <w:rFonts w:ascii="Garamond" w:hAnsi="Garamond"/>
          <w:color w:val="333333"/>
          <w:sz w:val="24"/>
          <w:szCs w:val="24"/>
          <w:shd w:val="clear" w:color="auto" w:fill="FFFFFF"/>
        </w:rPr>
        <w:t>. Büttner et al. (2013) explore the role of various centrality measures on the supply chain risk exposure to disruptions due to trade restriction</w:t>
      </w:r>
      <w:r w:rsidR="0055198F" w:rsidRPr="007915F2">
        <w:rPr>
          <w:rFonts w:ascii="Garamond" w:hAnsi="Garamond"/>
          <w:color w:val="333333"/>
          <w:sz w:val="24"/>
          <w:szCs w:val="24"/>
          <w:shd w:val="clear" w:color="auto" w:fill="FFFFFF"/>
        </w:rPr>
        <w:t>s</w:t>
      </w:r>
      <w:r w:rsidRPr="007915F2">
        <w:rPr>
          <w:rFonts w:ascii="Garamond" w:hAnsi="Garamond"/>
          <w:color w:val="333333"/>
          <w:sz w:val="24"/>
          <w:szCs w:val="24"/>
          <w:shd w:val="clear" w:color="auto" w:fill="FFFFFF"/>
        </w:rPr>
        <w:t>, medical reason</w:t>
      </w:r>
      <w:r w:rsidR="000324C6" w:rsidRPr="007915F2">
        <w:rPr>
          <w:rFonts w:ascii="Garamond" w:hAnsi="Garamond"/>
          <w:color w:val="333333"/>
          <w:sz w:val="24"/>
          <w:szCs w:val="24"/>
          <w:shd w:val="clear" w:color="auto" w:fill="FFFFFF"/>
        </w:rPr>
        <w:t>s</w:t>
      </w:r>
      <w:r w:rsidR="0055198F"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 xml:space="preserve"> or other related factors.</w:t>
      </w:r>
      <w:r w:rsidR="00BA1204" w:rsidRPr="007915F2">
        <w:rPr>
          <w:rFonts w:ascii="Garamond" w:hAnsi="Garamond"/>
          <w:color w:val="333333"/>
          <w:sz w:val="24"/>
          <w:szCs w:val="24"/>
          <w:shd w:val="clear" w:color="auto" w:fill="FFFFFF"/>
        </w:rPr>
        <w:t xml:space="preserve"> To the best of the knowledge of the authors of this work, the present work is the first global</w:t>
      </w:r>
      <w:r w:rsidR="000324C6" w:rsidRPr="007915F2">
        <w:rPr>
          <w:rFonts w:ascii="Garamond" w:hAnsi="Garamond"/>
          <w:color w:val="333333"/>
          <w:sz w:val="24"/>
          <w:szCs w:val="24"/>
          <w:shd w:val="clear" w:color="auto" w:fill="FFFFFF"/>
        </w:rPr>
        <w:t>-</w:t>
      </w:r>
      <w:r w:rsidR="00BA1204" w:rsidRPr="007915F2">
        <w:rPr>
          <w:rFonts w:ascii="Garamond" w:hAnsi="Garamond"/>
          <w:color w:val="333333"/>
          <w:sz w:val="24"/>
          <w:szCs w:val="24"/>
          <w:shd w:val="clear" w:color="auto" w:fill="FFFFFF"/>
        </w:rPr>
        <w:t xml:space="preserve">scale simulation of </w:t>
      </w:r>
      <w:r w:rsidR="00825BC5" w:rsidRPr="007915F2">
        <w:rPr>
          <w:rFonts w:ascii="Garamond" w:hAnsi="Garamond"/>
          <w:color w:val="333333"/>
          <w:sz w:val="24"/>
          <w:szCs w:val="24"/>
          <w:shd w:val="clear" w:color="auto" w:fill="FFFFFF"/>
        </w:rPr>
        <w:t>global supply chain ruptures</w:t>
      </w:r>
      <w:r w:rsidR="00B66D78" w:rsidRPr="007915F2">
        <w:rPr>
          <w:rFonts w:ascii="Garamond" w:hAnsi="Garamond"/>
          <w:color w:val="333333"/>
          <w:sz w:val="24"/>
          <w:szCs w:val="24"/>
          <w:shd w:val="clear" w:color="auto" w:fill="FFFFFF"/>
        </w:rPr>
        <w:t xml:space="preserve"> ac</w:t>
      </w:r>
      <w:r w:rsidR="0055198F" w:rsidRPr="007915F2">
        <w:rPr>
          <w:rFonts w:ascii="Garamond" w:hAnsi="Garamond"/>
          <w:color w:val="333333"/>
          <w:sz w:val="24"/>
          <w:szCs w:val="24"/>
          <w:shd w:val="clear" w:color="auto" w:fill="FFFFFF"/>
        </w:rPr>
        <w:t>ro</w:t>
      </w:r>
      <w:r w:rsidR="00B66D78" w:rsidRPr="007915F2">
        <w:rPr>
          <w:rFonts w:ascii="Garamond" w:hAnsi="Garamond"/>
          <w:color w:val="333333"/>
          <w:sz w:val="24"/>
          <w:szCs w:val="24"/>
          <w:shd w:val="clear" w:color="auto" w:fill="FFFFFF"/>
        </w:rPr>
        <w:t xml:space="preserve">ss multiple tiers of </w:t>
      </w:r>
      <w:r w:rsidR="0055198F" w:rsidRPr="007915F2">
        <w:rPr>
          <w:rFonts w:ascii="Garamond" w:hAnsi="Garamond"/>
          <w:color w:val="333333"/>
          <w:sz w:val="24"/>
          <w:szCs w:val="24"/>
          <w:shd w:val="clear" w:color="auto" w:fill="FFFFFF"/>
        </w:rPr>
        <w:t xml:space="preserve">the </w:t>
      </w:r>
      <w:r w:rsidR="00B66D78" w:rsidRPr="007915F2">
        <w:rPr>
          <w:rFonts w:ascii="Garamond" w:hAnsi="Garamond"/>
          <w:color w:val="333333"/>
          <w:sz w:val="24"/>
          <w:szCs w:val="24"/>
          <w:shd w:val="clear" w:color="auto" w:fill="FFFFFF"/>
        </w:rPr>
        <w:t>supply chain</w:t>
      </w:r>
      <w:r w:rsidR="00825BC5" w:rsidRPr="007915F2">
        <w:rPr>
          <w:rFonts w:ascii="Garamond" w:hAnsi="Garamond"/>
          <w:color w:val="333333"/>
          <w:sz w:val="24"/>
          <w:szCs w:val="24"/>
          <w:shd w:val="clear" w:color="auto" w:fill="FFFFFF"/>
        </w:rPr>
        <w:t xml:space="preserve">. </w:t>
      </w:r>
      <w:r w:rsidR="009D607D" w:rsidRPr="007915F2">
        <w:rPr>
          <w:rFonts w:ascii="Garamond" w:hAnsi="Garamond"/>
          <w:color w:val="333333"/>
          <w:sz w:val="24"/>
          <w:szCs w:val="24"/>
          <w:shd w:val="clear" w:color="auto" w:fill="FFFFFF"/>
        </w:rPr>
        <w:t>The dis</w:t>
      </w:r>
      <w:r w:rsidR="00B66D78" w:rsidRPr="007915F2">
        <w:rPr>
          <w:rFonts w:ascii="Garamond" w:hAnsi="Garamond"/>
          <w:color w:val="333333"/>
          <w:sz w:val="24"/>
          <w:szCs w:val="24"/>
          <w:shd w:val="clear" w:color="auto" w:fill="FFFFFF"/>
        </w:rPr>
        <w:t>cussion of findings of the full</w:t>
      </w:r>
      <w:r w:rsidR="0055198F" w:rsidRPr="007915F2">
        <w:rPr>
          <w:rFonts w:ascii="Garamond" w:hAnsi="Garamond"/>
          <w:color w:val="333333"/>
          <w:sz w:val="24"/>
          <w:szCs w:val="24"/>
          <w:shd w:val="clear" w:color="auto" w:fill="FFFFFF"/>
        </w:rPr>
        <w:t>-</w:t>
      </w:r>
      <w:r w:rsidR="00B66D78" w:rsidRPr="007915F2">
        <w:rPr>
          <w:rFonts w:ascii="Garamond" w:hAnsi="Garamond"/>
          <w:color w:val="333333"/>
          <w:sz w:val="24"/>
          <w:szCs w:val="24"/>
          <w:shd w:val="clear" w:color="auto" w:fill="FFFFFF"/>
        </w:rPr>
        <w:t>scale</w:t>
      </w:r>
      <w:r w:rsidR="009D607D" w:rsidRPr="007915F2">
        <w:rPr>
          <w:rFonts w:ascii="Garamond" w:hAnsi="Garamond"/>
          <w:color w:val="333333"/>
          <w:sz w:val="24"/>
          <w:szCs w:val="24"/>
          <w:shd w:val="clear" w:color="auto" w:fill="FFFFFF"/>
        </w:rPr>
        <w:t xml:space="preserve"> global supply chain, supply chain without China, and comparisons are presented here.</w:t>
      </w:r>
    </w:p>
    <w:p w14:paraId="110FBC54" w14:textId="77777777" w:rsidR="006D13BA" w:rsidRPr="007915F2" w:rsidRDefault="00383B83"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The loca</w:t>
      </w:r>
      <w:r w:rsidR="000324C6" w:rsidRPr="007915F2">
        <w:rPr>
          <w:rFonts w:ascii="Garamond" w:hAnsi="Garamond"/>
          <w:color w:val="333333"/>
          <w:sz w:val="24"/>
          <w:szCs w:val="24"/>
          <w:shd w:val="clear" w:color="auto" w:fill="FFFFFF"/>
        </w:rPr>
        <w:t xml:space="preserve">tion of the firm across </w:t>
      </w:r>
      <w:r w:rsidRPr="007915F2">
        <w:rPr>
          <w:rFonts w:ascii="Garamond" w:hAnsi="Garamond"/>
          <w:color w:val="333333"/>
          <w:sz w:val="24"/>
          <w:szCs w:val="24"/>
          <w:shd w:val="clear" w:color="auto" w:fill="FFFFFF"/>
        </w:rPr>
        <w:t xml:space="preserve">the </w:t>
      </w:r>
      <w:r w:rsidR="006314E0" w:rsidRPr="007915F2">
        <w:rPr>
          <w:rFonts w:ascii="Garamond" w:hAnsi="Garamond"/>
          <w:color w:val="333333"/>
          <w:sz w:val="24"/>
          <w:szCs w:val="24"/>
          <w:shd w:val="clear" w:color="auto" w:fill="FFFFFF"/>
        </w:rPr>
        <w:t xml:space="preserve">five tiers of the backward </w:t>
      </w:r>
      <w:r w:rsidRPr="007915F2">
        <w:rPr>
          <w:rFonts w:ascii="Garamond" w:hAnsi="Garamond"/>
          <w:color w:val="333333"/>
          <w:sz w:val="24"/>
          <w:szCs w:val="24"/>
          <w:shd w:val="clear" w:color="auto" w:fill="FFFFFF"/>
        </w:rPr>
        <w:t>supply chain was not found to have a significant effect on the firms’ performance. I</w:t>
      </w:r>
      <w:r w:rsidR="00713ECD" w:rsidRPr="007915F2">
        <w:rPr>
          <w:rFonts w:ascii="Garamond" w:hAnsi="Garamond"/>
          <w:color w:val="333333"/>
          <w:sz w:val="24"/>
          <w:szCs w:val="24"/>
          <w:shd w:val="clear" w:color="auto" w:fill="FFFFFF"/>
        </w:rPr>
        <w:t>n the analys</w:t>
      </w:r>
      <w:r w:rsidRPr="007915F2">
        <w:rPr>
          <w:rFonts w:ascii="Garamond" w:hAnsi="Garamond"/>
          <w:color w:val="333333"/>
          <w:sz w:val="24"/>
          <w:szCs w:val="24"/>
          <w:shd w:val="clear" w:color="auto" w:fill="FFFFFF"/>
        </w:rPr>
        <w:t xml:space="preserve">is of </w:t>
      </w:r>
      <w:r w:rsidR="000324C6" w:rsidRPr="007915F2">
        <w:rPr>
          <w:rFonts w:ascii="Garamond" w:hAnsi="Garamond"/>
          <w:color w:val="333333"/>
          <w:sz w:val="24"/>
          <w:szCs w:val="24"/>
          <w:shd w:val="clear" w:color="auto" w:fill="FFFFFF"/>
        </w:rPr>
        <w:t xml:space="preserve">the </w:t>
      </w:r>
      <w:r w:rsidRPr="007915F2">
        <w:rPr>
          <w:rFonts w:ascii="Garamond" w:hAnsi="Garamond"/>
          <w:color w:val="333333"/>
          <w:sz w:val="24"/>
          <w:szCs w:val="24"/>
          <w:shd w:val="clear" w:color="auto" w:fill="FFFFFF"/>
        </w:rPr>
        <w:t>global supply chain network, one of the interesting findings was about the role of in-degree versus out-degree. While the in-degree</w:t>
      </w:r>
      <w:r w:rsidR="00CF251D" w:rsidRPr="007915F2">
        <w:rPr>
          <w:rFonts w:ascii="Garamond" w:hAnsi="Garamond"/>
          <w:color w:val="333333"/>
          <w:sz w:val="24"/>
          <w:szCs w:val="24"/>
          <w:shd w:val="clear" w:color="auto" w:fill="FFFFFF"/>
        </w:rPr>
        <w:t xml:space="preserve"> centrality is positively related </w:t>
      </w:r>
      <w:r w:rsidR="000324C6" w:rsidRPr="007915F2">
        <w:rPr>
          <w:rFonts w:ascii="Garamond" w:hAnsi="Garamond"/>
          <w:color w:val="333333"/>
          <w:sz w:val="24"/>
          <w:szCs w:val="24"/>
          <w:shd w:val="clear" w:color="auto" w:fill="FFFFFF"/>
        </w:rPr>
        <w:t>to</w:t>
      </w:r>
      <w:r w:rsidR="00CF251D" w:rsidRPr="007915F2">
        <w:rPr>
          <w:rFonts w:ascii="Garamond" w:hAnsi="Garamond"/>
          <w:color w:val="333333"/>
          <w:sz w:val="24"/>
          <w:szCs w:val="24"/>
          <w:shd w:val="clear" w:color="auto" w:fill="FFFFFF"/>
        </w:rPr>
        <w:t xml:space="preserve"> the firms’ performance, the out-degree centrality has a negative effect on firms’ performance. This means firms with more suppliers and fewer customers have better financial performance. This could </w:t>
      </w:r>
      <w:r w:rsidR="000324C6" w:rsidRPr="007915F2">
        <w:rPr>
          <w:rFonts w:ascii="Garamond" w:hAnsi="Garamond"/>
          <w:color w:val="333333"/>
          <w:sz w:val="24"/>
          <w:szCs w:val="24"/>
          <w:shd w:val="clear" w:color="auto" w:fill="FFFFFF"/>
        </w:rPr>
        <w:t>be a</w:t>
      </w:r>
      <w:r w:rsidR="00CF251D" w:rsidRPr="007915F2">
        <w:rPr>
          <w:rFonts w:ascii="Garamond" w:hAnsi="Garamond"/>
          <w:color w:val="333333"/>
          <w:sz w:val="24"/>
          <w:szCs w:val="24"/>
          <w:shd w:val="clear" w:color="auto" w:fill="FFFFFF"/>
        </w:rPr>
        <w:t xml:space="preserve"> characteristic of a manufacturer of final (or closer to final) product where </w:t>
      </w:r>
      <w:r w:rsidR="000324C6" w:rsidRPr="007915F2">
        <w:rPr>
          <w:rFonts w:ascii="Garamond" w:hAnsi="Garamond"/>
          <w:color w:val="333333"/>
          <w:sz w:val="24"/>
          <w:szCs w:val="24"/>
          <w:shd w:val="clear" w:color="auto" w:fill="FFFFFF"/>
        </w:rPr>
        <w:t>several original part manufacturers are</w:t>
      </w:r>
      <w:r w:rsidR="00CF251D" w:rsidRPr="007915F2">
        <w:rPr>
          <w:rFonts w:ascii="Garamond" w:hAnsi="Garamond"/>
          <w:color w:val="333333"/>
          <w:sz w:val="24"/>
          <w:szCs w:val="24"/>
          <w:shd w:val="clear" w:color="auto" w:fill="FFFFFF"/>
        </w:rPr>
        <w:t xml:space="preserve"> supplying the parts to be assembled</w:t>
      </w:r>
      <w:r w:rsidR="000324C6" w:rsidRPr="007915F2">
        <w:rPr>
          <w:rFonts w:ascii="Garamond" w:hAnsi="Garamond"/>
          <w:color w:val="333333"/>
          <w:sz w:val="24"/>
          <w:szCs w:val="24"/>
          <w:shd w:val="clear" w:color="auto" w:fill="FFFFFF"/>
        </w:rPr>
        <w:t xml:space="preserve"> into a product that</w:t>
      </w:r>
      <w:r w:rsidR="00CF251D" w:rsidRPr="007915F2">
        <w:rPr>
          <w:rFonts w:ascii="Garamond" w:hAnsi="Garamond"/>
          <w:color w:val="333333"/>
          <w:sz w:val="24"/>
          <w:szCs w:val="24"/>
          <w:shd w:val="clear" w:color="auto" w:fill="FFFFFF"/>
        </w:rPr>
        <w:t xml:space="preserve"> will be</w:t>
      </w:r>
      <w:r w:rsidR="006D13BA" w:rsidRPr="007915F2">
        <w:rPr>
          <w:rFonts w:ascii="Garamond" w:hAnsi="Garamond"/>
          <w:color w:val="333333"/>
          <w:sz w:val="24"/>
          <w:szCs w:val="24"/>
          <w:shd w:val="clear" w:color="auto" w:fill="FFFFFF"/>
        </w:rPr>
        <w:t xml:space="preserve"> supplied to a small</w:t>
      </w:r>
      <w:r w:rsidR="00CF251D" w:rsidRPr="007915F2">
        <w:rPr>
          <w:rFonts w:ascii="Garamond" w:hAnsi="Garamond"/>
          <w:color w:val="333333"/>
          <w:sz w:val="24"/>
          <w:szCs w:val="24"/>
          <w:shd w:val="clear" w:color="auto" w:fill="FFFFFF"/>
        </w:rPr>
        <w:t xml:space="preserve"> number of </w:t>
      </w:r>
      <w:r w:rsidR="006D13BA" w:rsidRPr="007915F2">
        <w:rPr>
          <w:rFonts w:ascii="Garamond" w:hAnsi="Garamond"/>
          <w:color w:val="333333"/>
          <w:sz w:val="24"/>
          <w:szCs w:val="24"/>
          <w:shd w:val="clear" w:color="auto" w:fill="FFFFFF"/>
        </w:rPr>
        <w:t>distributors and wholesalers</w:t>
      </w:r>
      <w:r w:rsidR="006314E0" w:rsidRPr="007915F2">
        <w:rPr>
          <w:rFonts w:ascii="Garamond" w:hAnsi="Garamond"/>
          <w:color w:val="333333"/>
          <w:sz w:val="24"/>
          <w:szCs w:val="24"/>
          <w:shd w:val="clear" w:color="auto" w:fill="FFFFFF"/>
        </w:rPr>
        <w:t>, potentially with an added value of the brand (versus parts which mostly have the characteristics of a commodity)</w:t>
      </w:r>
      <w:r w:rsidR="006D13BA" w:rsidRPr="007915F2">
        <w:rPr>
          <w:rFonts w:ascii="Garamond" w:hAnsi="Garamond"/>
          <w:color w:val="333333"/>
          <w:sz w:val="24"/>
          <w:szCs w:val="24"/>
          <w:shd w:val="clear" w:color="auto" w:fill="FFFFFF"/>
        </w:rPr>
        <w:t>. A surprising result was associate</w:t>
      </w:r>
      <w:r w:rsidR="00EB4301" w:rsidRPr="007915F2">
        <w:rPr>
          <w:rFonts w:ascii="Garamond" w:hAnsi="Garamond"/>
          <w:color w:val="333333"/>
          <w:sz w:val="24"/>
          <w:szCs w:val="24"/>
          <w:shd w:val="clear" w:color="auto" w:fill="FFFFFF"/>
        </w:rPr>
        <w:t>d</w:t>
      </w:r>
      <w:r w:rsidR="006D13BA" w:rsidRPr="007915F2">
        <w:rPr>
          <w:rFonts w:ascii="Garamond" w:hAnsi="Garamond"/>
          <w:color w:val="333333"/>
          <w:sz w:val="24"/>
          <w:szCs w:val="24"/>
          <w:shd w:val="clear" w:color="auto" w:fill="FFFFFF"/>
        </w:rPr>
        <w:t xml:space="preserve"> with eccentricity. </w:t>
      </w:r>
      <w:r w:rsidR="000154AF" w:rsidRPr="007915F2">
        <w:rPr>
          <w:rFonts w:ascii="Garamond" w:hAnsi="Garamond"/>
          <w:color w:val="333333"/>
          <w:sz w:val="24"/>
          <w:szCs w:val="24"/>
          <w:shd w:val="clear" w:color="auto" w:fill="FFFFFF"/>
        </w:rPr>
        <w:t>We hypothesized that firms positioned on longer connected supply chains will have higher financial performance. However</w:t>
      </w:r>
      <w:r w:rsidR="000324C6" w:rsidRPr="007915F2">
        <w:rPr>
          <w:rFonts w:ascii="Garamond" w:hAnsi="Garamond"/>
          <w:color w:val="333333"/>
          <w:sz w:val="24"/>
          <w:szCs w:val="24"/>
          <w:shd w:val="clear" w:color="auto" w:fill="FFFFFF"/>
        </w:rPr>
        <w:t>,</w:t>
      </w:r>
      <w:r w:rsidR="000154AF" w:rsidRPr="007915F2">
        <w:rPr>
          <w:rFonts w:ascii="Garamond" w:hAnsi="Garamond"/>
          <w:color w:val="333333"/>
          <w:sz w:val="24"/>
          <w:szCs w:val="24"/>
          <w:shd w:val="clear" w:color="auto" w:fill="FFFFFF"/>
        </w:rPr>
        <w:t xml:space="preserve"> the result suggested otherwise. We believe this is due to </w:t>
      </w:r>
      <w:r w:rsidR="000324C6" w:rsidRPr="007915F2">
        <w:rPr>
          <w:rFonts w:ascii="Garamond" w:hAnsi="Garamond"/>
          <w:color w:val="333333"/>
          <w:sz w:val="24"/>
          <w:szCs w:val="24"/>
          <w:shd w:val="clear" w:color="auto" w:fill="FFFFFF"/>
        </w:rPr>
        <w:t xml:space="preserve">the </w:t>
      </w:r>
      <w:r w:rsidR="000154AF" w:rsidRPr="007915F2">
        <w:rPr>
          <w:rFonts w:ascii="Garamond" w:hAnsi="Garamond"/>
          <w:color w:val="333333"/>
          <w:sz w:val="24"/>
          <w:szCs w:val="24"/>
          <w:shd w:val="clear" w:color="auto" w:fill="FFFFFF"/>
        </w:rPr>
        <w:t xml:space="preserve">conceptual </w:t>
      </w:r>
      <w:r w:rsidR="00AA264E" w:rsidRPr="007915F2">
        <w:rPr>
          <w:rFonts w:ascii="Garamond" w:hAnsi="Garamond"/>
          <w:color w:val="333333"/>
          <w:sz w:val="24"/>
          <w:szCs w:val="24"/>
          <w:shd w:val="clear" w:color="auto" w:fill="FFFFFF"/>
        </w:rPr>
        <w:t xml:space="preserve">inverse </w:t>
      </w:r>
      <w:r w:rsidR="000154AF" w:rsidRPr="007915F2">
        <w:rPr>
          <w:rFonts w:ascii="Garamond" w:hAnsi="Garamond"/>
          <w:color w:val="333333"/>
          <w:sz w:val="24"/>
          <w:szCs w:val="24"/>
          <w:shd w:val="clear" w:color="auto" w:fill="FFFFFF"/>
        </w:rPr>
        <w:t xml:space="preserve">relationship </w:t>
      </w:r>
      <w:r w:rsidR="000324C6" w:rsidRPr="007915F2">
        <w:rPr>
          <w:rFonts w:ascii="Garamond" w:hAnsi="Garamond"/>
          <w:color w:val="333333"/>
          <w:sz w:val="24"/>
          <w:szCs w:val="24"/>
          <w:shd w:val="clear" w:color="auto" w:fill="FFFFFF"/>
        </w:rPr>
        <w:t>between</w:t>
      </w:r>
      <w:r w:rsidR="000154AF" w:rsidRPr="007915F2">
        <w:rPr>
          <w:rFonts w:ascii="Garamond" w:hAnsi="Garamond"/>
          <w:color w:val="333333"/>
          <w:sz w:val="24"/>
          <w:szCs w:val="24"/>
          <w:shd w:val="clear" w:color="auto" w:fill="FFFFFF"/>
        </w:rPr>
        <w:t xml:space="preserve"> eccentricity</w:t>
      </w:r>
      <w:r w:rsidR="00AA264E" w:rsidRPr="007915F2">
        <w:rPr>
          <w:rFonts w:ascii="Garamond" w:hAnsi="Garamond"/>
          <w:color w:val="333333"/>
          <w:sz w:val="24"/>
          <w:szCs w:val="24"/>
          <w:shd w:val="clear" w:color="auto" w:fill="FFFFFF"/>
        </w:rPr>
        <w:t xml:space="preserve"> </w:t>
      </w:r>
      <w:r w:rsidR="000154AF" w:rsidRPr="007915F2">
        <w:rPr>
          <w:rFonts w:ascii="Garamond" w:hAnsi="Garamond"/>
          <w:color w:val="333333"/>
          <w:sz w:val="24"/>
          <w:szCs w:val="24"/>
          <w:shd w:val="clear" w:color="auto" w:fill="FFFFFF"/>
        </w:rPr>
        <w:t xml:space="preserve">and vertical integration. </w:t>
      </w:r>
      <w:r w:rsidR="00AA264E" w:rsidRPr="007915F2">
        <w:rPr>
          <w:rFonts w:ascii="Garamond" w:hAnsi="Garamond"/>
          <w:color w:val="333333"/>
          <w:sz w:val="24"/>
          <w:szCs w:val="24"/>
          <w:shd w:val="clear" w:color="auto" w:fill="FFFFFF"/>
        </w:rPr>
        <w:t>One of the novel findings of this study is that m</w:t>
      </w:r>
      <w:r w:rsidR="000154AF" w:rsidRPr="007915F2">
        <w:rPr>
          <w:rFonts w:ascii="Garamond" w:hAnsi="Garamond"/>
          <w:color w:val="333333"/>
          <w:sz w:val="24"/>
          <w:szCs w:val="24"/>
          <w:shd w:val="clear" w:color="auto" w:fill="FFFFFF"/>
        </w:rPr>
        <w:t xml:space="preserve">ore vertically integrated firms have lower eccentricity </w:t>
      </w:r>
      <w:r w:rsidR="00AA264E" w:rsidRPr="007915F2">
        <w:rPr>
          <w:rFonts w:ascii="Garamond" w:hAnsi="Garamond"/>
          <w:color w:val="333333"/>
          <w:sz w:val="24"/>
          <w:szCs w:val="24"/>
          <w:shd w:val="clear" w:color="auto" w:fill="FFFFFF"/>
        </w:rPr>
        <w:t>centrality which enables them to</w:t>
      </w:r>
      <w:r w:rsidR="000154AF" w:rsidRPr="007915F2">
        <w:rPr>
          <w:rFonts w:ascii="Garamond" w:hAnsi="Garamond"/>
          <w:color w:val="333333"/>
          <w:sz w:val="24"/>
          <w:szCs w:val="24"/>
          <w:shd w:val="clear" w:color="auto" w:fill="FFFFFF"/>
        </w:rPr>
        <w:t xml:space="preserve"> capture greater value in their operation</w:t>
      </w:r>
      <w:r w:rsidR="00AA264E" w:rsidRPr="007915F2">
        <w:rPr>
          <w:rFonts w:ascii="Garamond" w:hAnsi="Garamond"/>
          <w:color w:val="333333"/>
          <w:sz w:val="24"/>
          <w:szCs w:val="24"/>
          <w:shd w:val="clear" w:color="auto" w:fill="FFFFFF"/>
        </w:rPr>
        <w:t xml:space="preserve"> and hence have higher levels of financial performance. </w:t>
      </w:r>
      <w:r w:rsidR="008D4296" w:rsidRPr="007915F2">
        <w:rPr>
          <w:rFonts w:ascii="Garamond" w:hAnsi="Garamond"/>
          <w:color w:val="333333"/>
          <w:sz w:val="24"/>
          <w:szCs w:val="24"/>
          <w:shd w:val="clear" w:color="auto" w:fill="FFFFFF"/>
        </w:rPr>
        <w:t>We believe the negative relationship between cluster size and firms’ performance can also be explained by the fact that firms with are less vertically integrated belong to larger clusters of collaborative firms</w:t>
      </w:r>
      <w:r w:rsidR="000324C6" w:rsidRPr="007915F2">
        <w:rPr>
          <w:rFonts w:ascii="Garamond" w:hAnsi="Garamond"/>
          <w:color w:val="333333"/>
          <w:sz w:val="24"/>
          <w:szCs w:val="24"/>
          <w:shd w:val="clear" w:color="auto" w:fill="FFFFFF"/>
        </w:rPr>
        <w:t xml:space="preserve"> and</w:t>
      </w:r>
      <w:r w:rsidR="008D4296" w:rsidRPr="007915F2">
        <w:rPr>
          <w:rFonts w:ascii="Garamond" w:hAnsi="Garamond"/>
          <w:color w:val="333333"/>
          <w:sz w:val="24"/>
          <w:szCs w:val="24"/>
          <w:shd w:val="clear" w:color="auto" w:fill="FFFFFF"/>
        </w:rPr>
        <w:t xml:space="preserve"> as a result</w:t>
      </w:r>
      <w:r w:rsidR="000324C6" w:rsidRPr="007915F2">
        <w:rPr>
          <w:rFonts w:ascii="Garamond" w:hAnsi="Garamond"/>
          <w:color w:val="333333"/>
          <w:sz w:val="24"/>
          <w:szCs w:val="24"/>
          <w:shd w:val="clear" w:color="auto" w:fill="FFFFFF"/>
        </w:rPr>
        <w:t>,</w:t>
      </w:r>
      <w:r w:rsidR="008D4296" w:rsidRPr="007915F2">
        <w:rPr>
          <w:rFonts w:ascii="Garamond" w:hAnsi="Garamond"/>
          <w:color w:val="333333"/>
          <w:sz w:val="24"/>
          <w:szCs w:val="24"/>
          <w:shd w:val="clear" w:color="auto" w:fill="FFFFFF"/>
        </w:rPr>
        <w:t xml:space="preserve"> these firms are sharing the ad</w:t>
      </w:r>
      <w:r w:rsidR="000324C6" w:rsidRPr="007915F2">
        <w:rPr>
          <w:rFonts w:ascii="Garamond" w:hAnsi="Garamond"/>
          <w:color w:val="333333"/>
          <w:sz w:val="24"/>
          <w:szCs w:val="24"/>
          <w:shd w:val="clear" w:color="auto" w:fill="FFFFFF"/>
        </w:rPr>
        <w:t>de</w:t>
      </w:r>
      <w:r w:rsidR="008D4296" w:rsidRPr="007915F2">
        <w:rPr>
          <w:rFonts w:ascii="Garamond" w:hAnsi="Garamond"/>
          <w:color w:val="333333"/>
          <w:sz w:val="24"/>
          <w:szCs w:val="24"/>
          <w:shd w:val="clear" w:color="auto" w:fill="FFFFFF"/>
        </w:rPr>
        <w:t xml:space="preserve">d value with other firms in their cluster. This results in lower firms’ performance. </w:t>
      </w:r>
      <w:r w:rsidR="00AA264E" w:rsidRPr="007915F2">
        <w:rPr>
          <w:rFonts w:ascii="Garamond" w:hAnsi="Garamond"/>
          <w:color w:val="333333"/>
          <w:sz w:val="24"/>
          <w:szCs w:val="24"/>
          <w:shd w:val="clear" w:color="auto" w:fill="FFFFFF"/>
        </w:rPr>
        <w:t>As expected higher levels of eigenvector centrality as they are more associated with more influential</w:t>
      </w:r>
      <w:r w:rsidR="00CC7460" w:rsidRPr="007915F2">
        <w:rPr>
          <w:rFonts w:ascii="Garamond" w:hAnsi="Garamond"/>
          <w:color w:val="333333"/>
          <w:sz w:val="24"/>
          <w:szCs w:val="24"/>
          <w:shd w:val="clear" w:color="auto" w:fill="FFFFFF"/>
        </w:rPr>
        <w:t xml:space="preserve"> firms in the supply chain which provides further support to the application of this measure in the literature.</w:t>
      </w:r>
    </w:p>
    <w:p w14:paraId="23B8AC2C" w14:textId="77777777" w:rsidR="00893DFF" w:rsidRPr="007915F2" w:rsidRDefault="005F5758" w:rsidP="00D61CD6">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In the simulation</w:t>
      </w:r>
      <w:r w:rsidR="000324C6" w:rsidRPr="007915F2">
        <w:rPr>
          <w:rFonts w:ascii="Garamond" w:hAnsi="Garamond"/>
          <w:color w:val="333333"/>
          <w:sz w:val="24"/>
          <w:szCs w:val="24"/>
          <w:shd w:val="clear" w:color="auto" w:fill="FFFFFF"/>
        </w:rPr>
        <w:t>,</w:t>
      </w:r>
      <w:r w:rsidRPr="007915F2">
        <w:rPr>
          <w:rFonts w:ascii="Garamond" w:hAnsi="Garamond"/>
          <w:color w:val="333333"/>
          <w:sz w:val="24"/>
          <w:szCs w:val="24"/>
          <w:shd w:val="clear" w:color="auto" w:fill="FFFFFF"/>
        </w:rPr>
        <w:t xml:space="preserve"> China was removed and the </w:t>
      </w:r>
      <w:r w:rsidR="00220124" w:rsidRPr="007915F2">
        <w:rPr>
          <w:rFonts w:ascii="Garamond" w:hAnsi="Garamond"/>
          <w:color w:val="333333"/>
          <w:sz w:val="24"/>
          <w:szCs w:val="24"/>
          <w:shd w:val="clear" w:color="auto" w:fill="FFFFFF"/>
        </w:rPr>
        <w:t xml:space="preserve">network structure was reconstructed with the assumption that </w:t>
      </w:r>
      <w:r w:rsidR="000324C6" w:rsidRPr="007915F2">
        <w:rPr>
          <w:rFonts w:ascii="Garamond" w:hAnsi="Garamond"/>
          <w:color w:val="333333"/>
          <w:sz w:val="24"/>
          <w:szCs w:val="24"/>
          <w:shd w:val="clear" w:color="auto" w:fill="FFFFFF"/>
        </w:rPr>
        <w:t xml:space="preserve">the </w:t>
      </w:r>
      <w:r w:rsidR="00220124" w:rsidRPr="007915F2">
        <w:rPr>
          <w:rFonts w:ascii="Garamond" w:hAnsi="Garamond"/>
          <w:color w:val="333333"/>
          <w:sz w:val="24"/>
          <w:szCs w:val="24"/>
          <w:shd w:val="clear" w:color="auto" w:fill="FFFFFF"/>
        </w:rPr>
        <w:t>remaining connection wil</w:t>
      </w:r>
      <w:r w:rsidR="000324C6" w:rsidRPr="007915F2">
        <w:rPr>
          <w:rFonts w:ascii="Garamond" w:hAnsi="Garamond"/>
          <w:color w:val="333333"/>
          <w:sz w:val="24"/>
          <w:szCs w:val="24"/>
          <w:shd w:val="clear" w:color="auto" w:fill="FFFFFF"/>
        </w:rPr>
        <w:t>l handle the global supply chain in</w:t>
      </w:r>
      <w:r w:rsidR="00220124" w:rsidRPr="007915F2">
        <w:rPr>
          <w:rFonts w:ascii="Garamond" w:hAnsi="Garamond"/>
          <w:color w:val="333333"/>
          <w:sz w:val="24"/>
          <w:szCs w:val="24"/>
          <w:shd w:val="clear" w:color="auto" w:fill="FFFFFF"/>
        </w:rPr>
        <w:t xml:space="preserve"> the short-term</w:t>
      </w:r>
      <w:r w:rsidRPr="007915F2">
        <w:rPr>
          <w:rFonts w:ascii="Garamond" w:hAnsi="Garamond"/>
          <w:color w:val="333333"/>
          <w:sz w:val="24"/>
          <w:szCs w:val="24"/>
          <w:shd w:val="clear" w:color="auto" w:fill="FFFFFF"/>
        </w:rPr>
        <w:t>.</w:t>
      </w:r>
      <w:r w:rsidR="00220124" w:rsidRPr="007915F2">
        <w:rPr>
          <w:rFonts w:ascii="Garamond" w:hAnsi="Garamond"/>
          <w:color w:val="333333"/>
          <w:sz w:val="24"/>
          <w:szCs w:val="24"/>
          <w:shd w:val="clear" w:color="auto" w:fill="FFFFFF"/>
        </w:rPr>
        <w:t xml:space="preserve"> This assumption is realistic as it may not be feasible </w:t>
      </w:r>
      <w:r w:rsidR="000324C6" w:rsidRPr="007915F2">
        <w:rPr>
          <w:rFonts w:ascii="Garamond" w:hAnsi="Garamond"/>
          <w:color w:val="333333"/>
          <w:sz w:val="24"/>
          <w:szCs w:val="24"/>
          <w:shd w:val="clear" w:color="auto" w:fill="FFFFFF"/>
        </w:rPr>
        <w:t>for</w:t>
      </w:r>
      <w:r w:rsidR="00220124" w:rsidRPr="007915F2">
        <w:rPr>
          <w:rFonts w:ascii="Garamond" w:hAnsi="Garamond"/>
          <w:color w:val="333333"/>
          <w:sz w:val="24"/>
          <w:szCs w:val="24"/>
          <w:shd w:val="clear" w:color="auto" w:fill="FFFFFF"/>
        </w:rPr>
        <w:t xml:space="preserve"> the global supply chain to immediately implement significant changes. In the simulation</w:t>
      </w:r>
      <w:r w:rsidR="000324C6" w:rsidRPr="007915F2">
        <w:rPr>
          <w:rFonts w:ascii="Garamond" w:hAnsi="Garamond"/>
          <w:color w:val="333333"/>
          <w:sz w:val="24"/>
          <w:szCs w:val="24"/>
          <w:shd w:val="clear" w:color="auto" w:fill="FFFFFF"/>
        </w:rPr>
        <w:t>,</w:t>
      </w:r>
      <w:r w:rsidR="00220124" w:rsidRPr="007915F2">
        <w:rPr>
          <w:rFonts w:ascii="Garamond" w:hAnsi="Garamond"/>
          <w:color w:val="333333"/>
          <w:sz w:val="24"/>
          <w:szCs w:val="24"/>
          <w:shd w:val="clear" w:color="auto" w:fill="FFFFFF"/>
        </w:rPr>
        <w:t xml:space="preserve"> w</w:t>
      </w:r>
      <w:r w:rsidRPr="007915F2">
        <w:rPr>
          <w:rFonts w:ascii="Garamond" w:hAnsi="Garamond"/>
          <w:color w:val="333333"/>
          <w:sz w:val="24"/>
          <w:szCs w:val="24"/>
          <w:shd w:val="clear" w:color="auto" w:fill="FFFFFF"/>
        </w:rPr>
        <w:t xml:space="preserve">hile in-degree </w:t>
      </w:r>
      <w:r w:rsidR="00220124" w:rsidRPr="007915F2">
        <w:rPr>
          <w:rFonts w:ascii="Garamond" w:hAnsi="Garamond"/>
          <w:color w:val="333333"/>
          <w:sz w:val="24"/>
          <w:szCs w:val="24"/>
          <w:shd w:val="clear" w:color="auto" w:fill="FFFFFF"/>
        </w:rPr>
        <w:t>exhibited</w:t>
      </w:r>
      <w:r w:rsidRPr="007915F2">
        <w:rPr>
          <w:rFonts w:ascii="Garamond" w:hAnsi="Garamond"/>
          <w:color w:val="333333"/>
          <w:sz w:val="24"/>
          <w:szCs w:val="24"/>
          <w:shd w:val="clear" w:color="auto" w:fill="FFFFFF"/>
        </w:rPr>
        <w:t xml:space="preserve"> </w:t>
      </w:r>
      <w:r w:rsidR="000324C6" w:rsidRPr="007915F2">
        <w:rPr>
          <w:rFonts w:ascii="Garamond" w:hAnsi="Garamond"/>
          <w:color w:val="333333"/>
          <w:sz w:val="24"/>
          <w:szCs w:val="24"/>
          <w:shd w:val="clear" w:color="auto" w:fill="FFFFFF"/>
        </w:rPr>
        <w:t xml:space="preserve">a </w:t>
      </w:r>
      <w:r w:rsidRPr="007915F2">
        <w:rPr>
          <w:rFonts w:ascii="Garamond" w:hAnsi="Garamond"/>
          <w:color w:val="333333"/>
          <w:sz w:val="24"/>
          <w:szCs w:val="24"/>
          <w:shd w:val="clear" w:color="auto" w:fill="FFFFFF"/>
        </w:rPr>
        <w:t xml:space="preserve">positive effect on </w:t>
      </w:r>
      <w:r w:rsidR="00220124" w:rsidRPr="007915F2">
        <w:rPr>
          <w:rFonts w:ascii="Garamond" w:hAnsi="Garamond"/>
          <w:color w:val="333333"/>
          <w:sz w:val="24"/>
          <w:szCs w:val="24"/>
          <w:shd w:val="clear" w:color="auto" w:fill="FFFFFF"/>
        </w:rPr>
        <w:t xml:space="preserve">the </w:t>
      </w:r>
      <w:r w:rsidR="000324C6" w:rsidRPr="007915F2">
        <w:rPr>
          <w:rFonts w:ascii="Garamond" w:hAnsi="Garamond"/>
          <w:color w:val="333333"/>
          <w:sz w:val="24"/>
          <w:szCs w:val="24"/>
          <w:shd w:val="clear" w:color="auto" w:fill="FFFFFF"/>
        </w:rPr>
        <w:t>firms’ performance, out-</w:t>
      </w:r>
      <w:r w:rsidRPr="007915F2">
        <w:rPr>
          <w:rFonts w:ascii="Garamond" w:hAnsi="Garamond"/>
          <w:color w:val="333333"/>
          <w:sz w:val="24"/>
          <w:szCs w:val="24"/>
          <w:shd w:val="clear" w:color="auto" w:fill="FFFFFF"/>
        </w:rPr>
        <w:t xml:space="preserve">degree was not found to significantly influence the firms’ performance. Eigenvector only showed </w:t>
      </w:r>
      <w:r w:rsidR="000324C6" w:rsidRPr="007915F2">
        <w:rPr>
          <w:rFonts w:ascii="Garamond" w:hAnsi="Garamond"/>
          <w:color w:val="333333"/>
          <w:sz w:val="24"/>
          <w:szCs w:val="24"/>
          <w:shd w:val="clear" w:color="auto" w:fill="FFFFFF"/>
        </w:rPr>
        <w:t xml:space="preserve">a </w:t>
      </w:r>
      <w:r w:rsidRPr="007915F2">
        <w:rPr>
          <w:rFonts w:ascii="Garamond" w:hAnsi="Garamond"/>
          <w:color w:val="333333"/>
          <w:sz w:val="24"/>
          <w:szCs w:val="24"/>
          <w:shd w:val="clear" w:color="auto" w:fill="FFFFFF"/>
        </w:rPr>
        <w:t xml:space="preserve">positive impact on ROA. Page rank centrality was found to have </w:t>
      </w:r>
      <w:r w:rsidR="000324C6" w:rsidRPr="007915F2">
        <w:rPr>
          <w:rFonts w:ascii="Garamond" w:hAnsi="Garamond"/>
          <w:color w:val="333333"/>
          <w:sz w:val="24"/>
          <w:szCs w:val="24"/>
          <w:shd w:val="clear" w:color="auto" w:fill="FFFFFF"/>
        </w:rPr>
        <w:t xml:space="preserve">a </w:t>
      </w:r>
      <w:r w:rsidRPr="007915F2">
        <w:rPr>
          <w:rFonts w:ascii="Garamond" w:hAnsi="Garamond"/>
          <w:color w:val="333333"/>
          <w:sz w:val="24"/>
          <w:szCs w:val="24"/>
          <w:shd w:val="clear" w:color="auto" w:fill="FFFFFF"/>
        </w:rPr>
        <w:t>significant negative impact on the f</w:t>
      </w:r>
      <w:r w:rsidR="000324C6" w:rsidRPr="007915F2">
        <w:rPr>
          <w:rFonts w:ascii="Garamond" w:hAnsi="Garamond"/>
          <w:color w:val="333333"/>
          <w:sz w:val="24"/>
          <w:szCs w:val="24"/>
          <w:shd w:val="clear" w:color="auto" w:fill="FFFFFF"/>
        </w:rPr>
        <w:t>i</w:t>
      </w:r>
      <w:r w:rsidRPr="007915F2">
        <w:rPr>
          <w:rFonts w:ascii="Garamond" w:hAnsi="Garamond"/>
          <w:color w:val="333333"/>
          <w:sz w:val="24"/>
          <w:szCs w:val="24"/>
          <w:shd w:val="clear" w:color="auto" w:fill="FFFFFF"/>
        </w:rPr>
        <w:t>rms’ performance.</w:t>
      </w:r>
      <w:r w:rsidR="00220124" w:rsidRPr="007915F2">
        <w:rPr>
          <w:rFonts w:ascii="Garamond" w:hAnsi="Garamond"/>
          <w:color w:val="333333"/>
          <w:sz w:val="24"/>
          <w:szCs w:val="24"/>
          <w:shd w:val="clear" w:color="auto" w:fill="FFFFFF"/>
        </w:rPr>
        <w:t xml:space="preserve"> This is quite an interesting finding. As per discussions before the page rank can be viewed as the </w:t>
      </w:r>
      <w:r w:rsidR="000324C6" w:rsidRPr="007915F2">
        <w:rPr>
          <w:rFonts w:ascii="Garamond" w:hAnsi="Garamond"/>
          <w:color w:val="333333"/>
          <w:sz w:val="24"/>
          <w:szCs w:val="24"/>
          <w:shd w:val="clear" w:color="auto" w:fill="FFFFFF"/>
        </w:rPr>
        <w:t>“</w:t>
      </w:r>
      <w:r w:rsidR="00220124" w:rsidRPr="007915F2">
        <w:rPr>
          <w:rFonts w:ascii="Garamond" w:hAnsi="Garamond"/>
          <w:color w:val="333333"/>
          <w:sz w:val="24"/>
          <w:szCs w:val="24"/>
          <w:shd w:val="clear" w:color="auto" w:fill="FFFFFF"/>
        </w:rPr>
        <w:t>global</w:t>
      </w:r>
      <w:r w:rsidR="000324C6" w:rsidRPr="007915F2">
        <w:rPr>
          <w:rFonts w:ascii="Garamond" w:hAnsi="Garamond"/>
          <w:color w:val="333333"/>
          <w:sz w:val="24"/>
          <w:szCs w:val="24"/>
          <w:shd w:val="clear" w:color="auto" w:fill="FFFFFF"/>
        </w:rPr>
        <w:t>”</w:t>
      </w:r>
      <w:r w:rsidR="00220124" w:rsidRPr="007915F2">
        <w:rPr>
          <w:rFonts w:ascii="Garamond" w:hAnsi="Garamond"/>
          <w:color w:val="333333"/>
          <w:sz w:val="24"/>
          <w:szCs w:val="24"/>
          <w:shd w:val="clear" w:color="auto" w:fill="FFFFFF"/>
        </w:rPr>
        <w:t xml:space="preserve"> (versus </w:t>
      </w:r>
      <w:r w:rsidR="000324C6" w:rsidRPr="007915F2">
        <w:rPr>
          <w:rFonts w:ascii="Garamond" w:hAnsi="Garamond"/>
          <w:color w:val="333333"/>
          <w:sz w:val="24"/>
          <w:szCs w:val="24"/>
          <w:shd w:val="clear" w:color="auto" w:fill="FFFFFF"/>
        </w:rPr>
        <w:t>“</w:t>
      </w:r>
      <w:r w:rsidR="00220124" w:rsidRPr="007915F2">
        <w:rPr>
          <w:rFonts w:ascii="Garamond" w:hAnsi="Garamond"/>
          <w:color w:val="333333"/>
          <w:sz w:val="24"/>
          <w:szCs w:val="24"/>
          <w:shd w:val="clear" w:color="auto" w:fill="FFFFFF"/>
        </w:rPr>
        <w:t>local</w:t>
      </w:r>
      <w:r w:rsidR="000324C6" w:rsidRPr="007915F2">
        <w:rPr>
          <w:rFonts w:ascii="Garamond" w:hAnsi="Garamond"/>
          <w:color w:val="333333"/>
          <w:sz w:val="24"/>
          <w:szCs w:val="24"/>
          <w:shd w:val="clear" w:color="auto" w:fill="FFFFFF"/>
        </w:rPr>
        <w:t>”</w:t>
      </w:r>
      <w:r w:rsidR="00220124" w:rsidRPr="007915F2">
        <w:rPr>
          <w:rFonts w:ascii="Garamond" w:hAnsi="Garamond"/>
          <w:color w:val="333333"/>
          <w:sz w:val="24"/>
          <w:szCs w:val="24"/>
          <w:shd w:val="clear" w:color="auto" w:fill="FFFFFF"/>
        </w:rPr>
        <w:t xml:space="preserve">, in </w:t>
      </w:r>
      <w:r w:rsidR="000324C6" w:rsidRPr="007915F2">
        <w:rPr>
          <w:rFonts w:ascii="Garamond" w:hAnsi="Garamond"/>
          <w:color w:val="333333"/>
          <w:sz w:val="24"/>
          <w:szCs w:val="24"/>
          <w:shd w:val="clear" w:color="auto" w:fill="FFFFFF"/>
        </w:rPr>
        <w:t xml:space="preserve">the </w:t>
      </w:r>
      <w:r w:rsidR="00220124" w:rsidRPr="007915F2">
        <w:rPr>
          <w:rFonts w:ascii="Garamond" w:hAnsi="Garamond"/>
          <w:color w:val="333333"/>
          <w:sz w:val="24"/>
          <w:szCs w:val="24"/>
          <w:shd w:val="clear" w:color="auto" w:fill="FFFFFF"/>
        </w:rPr>
        <w:t>network science term) measure of in-</w:t>
      </w:r>
      <w:r w:rsidR="00220124" w:rsidRPr="007915F2">
        <w:rPr>
          <w:rFonts w:ascii="Garamond" w:hAnsi="Garamond"/>
          <w:color w:val="333333"/>
          <w:sz w:val="24"/>
          <w:szCs w:val="24"/>
          <w:shd w:val="clear" w:color="auto" w:fill="FFFFFF"/>
        </w:rPr>
        <w:lastRenderedPageBreak/>
        <w:t xml:space="preserve">degree as </w:t>
      </w:r>
      <w:r w:rsidR="00893DFF" w:rsidRPr="007915F2">
        <w:rPr>
          <w:rFonts w:ascii="Garamond" w:hAnsi="Garamond"/>
          <w:color w:val="333333"/>
          <w:sz w:val="24"/>
          <w:szCs w:val="24"/>
          <w:shd w:val="clear" w:color="auto" w:fill="FFFFFF"/>
        </w:rPr>
        <w:t>(unlike in-</w:t>
      </w:r>
      <w:r w:rsidR="00220124" w:rsidRPr="007915F2">
        <w:rPr>
          <w:rFonts w:ascii="Garamond" w:hAnsi="Garamond"/>
          <w:color w:val="333333"/>
          <w:sz w:val="24"/>
          <w:szCs w:val="24"/>
          <w:shd w:val="clear" w:color="auto" w:fill="FFFFFF"/>
        </w:rPr>
        <w:t xml:space="preserve">degree) it takes into account the incoming connections of the whole network. </w:t>
      </w:r>
      <w:r w:rsidR="00893DFF" w:rsidRPr="007915F2">
        <w:rPr>
          <w:rFonts w:ascii="Garamond" w:hAnsi="Garamond"/>
          <w:color w:val="333333"/>
          <w:sz w:val="24"/>
          <w:szCs w:val="24"/>
          <w:shd w:val="clear" w:color="auto" w:fill="FFFFFF"/>
        </w:rPr>
        <w:t>The analysis of page rank</w:t>
      </w:r>
      <w:r w:rsidR="00220124" w:rsidRPr="007915F2">
        <w:rPr>
          <w:rFonts w:ascii="Garamond" w:hAnsi="Garamond"/>
          <w:color w:val="333333"/>
          <w:sz w:val="24"/>
          <w:szCs w:val="24"/>
          <w:shd w:val="clear" w:color="auto" w:fill="FFFFFF"/>
        </w:rPr>
        <w:t xml:space="preserve"> indicates that firms with </w:t>
      </w:r>
      <w:r w:rsidR="000324C6" w:rsidRPr="007915F2">
        <w:rPr>
          <w:rFonts w:ascii="Garamond" w:hAnsi="Garamond"/>
          <w:color w:val="333333"/>
          <w:sz w:val="24"/>
          <w:szCs w:val="24"/>
          <w:shd w:val="clear" w:color="auto" w:fill="FFFFFF"/>
        </w:rPr>
        <w:t xml:space="preserve">a </w:t>
      </w:r>
      <w:r w:rsidR="00220124" w:rsidRPr="007915F2">
        <w:rPr>
          <w:rFonts w:ascii="Garamond" w:hAnsi="Garamond"/>
          <w:color w:val="333333"/>
          <w:sz w:val="24"/>
          <w:szCs w:val="24"/>
          <w:shd w:val="clear" w:color="auto" w:fill="FFFFFF"/>
        </w:rPr>
        <w:t>higher degree of deep decencies to th</w:t>
      </w:r>
      <w:r w:rsidR="00893DFF" w:rsidRPr="007915F2">
        <w:rPr>
          <w:rFonts w:ascii="Garamond" w:hAnsi="Garamond"/>
          <w:color w:val="333333"/>
          <w:sz w:val="24"/>
          <w:szCs w:val="24"/>
          <w:shd w:val="clear" w:color="auto" w:fill="FFFFFF"/>
        </w:rPr>
        <w:t>e global supply chain will have a worse financial performance when China is removed from the global supply chain.</w:t>
      </w:r>
      <w:r w:rsidR="00220124" w:rsidRPr="007915F2">
        <w:rPr>
          <w:rFonts w:ascii="Garamond" w:hAnsi="Garamond"/>
          <w:color w:val="333333"/>
          <w:sz w:val="24"/>
          <w:szCs w:val="24"/>
          <w:shd w:val="clear" w:color="auto" w:fill="FFFFFF"/>
        </w:rPr>
        <w:t xml:space="preserve"> </w:t>
      </w:r>
      <w:r w:rsidR="00893DFF" w:rsidRPr="007915F2">
        <w:rPr>
          <w:rFonts w:ascii="Garamond" w:hAnsi="Garamond"/>
          <w:color w:val="333333"/>
          <w:sz w:val="24"/>
          <w:szCs w:val="24"/>
          <w:shd w:val="clear" w:color="auto" w:fill="FFFFFF"/>
        </w:rPr>
        <w:t xml:space="preserve">The next notable finding in the simulation was </w:t>
      </w:r>
      <w:r w:rsidR="000324C6" w:rsidRPr="007915F2">
        <w:rPr>
          <w:rFonts w:ascii="Garamond" w:hAnsi="Garamond"/>
          <w:color w:val="333333"/>
          <w:sz w:val="24"/>
          <w:szCs w:val="24"/>
          <w:shd w:val="clear" w:color="auto" w:fill="FFFFFF"/>
        </w:rPr>
        <w:t>concerning</w:t>
      </w:r>
      <w:r w:rsidR="00893DFF" w:rsidRPr="007915F2">
        <w:rPr>
          <w:rFonts w:ascii="Garamond" w:hAnsi="Garamond"/>
          <w:color w:val="333333"/>
          <w:sz w:val="24"/>
          <w:szCs w:val="24"/>
          <w:shd w:val="clear" w:color="auto" w:fill="FFFFFF"/>
        </w:rPr>
        <w:t xml:space="preserve"> </w:t>
      </w:r>
      <w:r w:rsidR="000324C6" w:rsidRPr="007915F2">
        <w:rPr>
          <w:rFonts w:ascii="Garamond" w:hAnsi="Garamond"/>
          <w:color w:val="333333"/>
          <w:sz w:val="24"/>
          <w:szCs w:val="24"/>
          <w:shd w:val="clear" w:color="auto" w:fill="FFFFFF"/>
        </w:rPr>
        <w:t xml:space="preserve">the </w:t>
      </w:r>
      <w:r w:rsidR="00893DFF" w:rsidRPr="007915F2">
        <w:rPr>
          <w:rFonts w:ascii="Garamond" w:hAnsi="Garamond"/>
          <w:color w:val="333333"/>
          <w:sz w:val="24"/>
          <w:szCs w:val="24"/>
          <w:shd w:val="clear" w:color="auto" w:fill="FFFFFF"/>
        </w:rPr>
        <w:t xml:space="preserve">clustering coefficient. We hypothesized that if a firm is part of a highly connected group of firms it is expected to have better performance as it creates more stability. However, as China plays an important role </w:t>
      </w:r>
      <w:r w:rsidR="000324C6" w:rsidRPr="007915F2">
        <w:rPr>
          <w:rFonts w:ascii="Garamond" w:hAnsi="Garamond"/>
          <w:color w:val="333333"/>
          <w:sz w:val="24"/>
          <w:szCs w:val="24"/>
          <w:shd w:val="clear" w:color="auto" w:fill="FFFFFF"/>
        </w:rPr>
        <w:t xml:space="preserve">in </w:t>
      </w:r>
      <w:r w:rsidR="00893DFF" w:rsidRPr="007915F2">
        <w:rPr>
          <w:rFonts w:ascii="Garamond" w:hAnsi="Garamond"/>
          <w:color w:val="333333"/>
          <w:sz w:val="24"/>
          <w:szCs w:val="24"/>
          <w:shd w:val="clear" w:color="auto" w:fill="FFFFFF"/>
        </w:rPr>
        <w:t xml:space="preserve">the global supply chain its elimination had such a magnitude that its elimination results </w:t>
      </w:r>
      <w:r w:rsidR="000324C6" w:rsidRPr="007915F2">
        <w:rPr>
          <w:rFonts w:ascii="Garamond" w:hAnsi="Garamond"/>
          <w:color w:val="333333"/>
          <w:sz w:val="24"/>
          <w:szCs w:val="24"/>
          <w:shd w:val="clear" w:color="auto" w:fill="FFFFFF"/>
        </w:rPr>
        <w:t xml:space="preserve">in </w:t>
      </w:r>
      <w:r w:rsidR="00893DFF" w:rsidRPr="007915F2">
        <w:rPr>
          <w:rFonts w:ascii="Garamond" w:hAnsi="Garamond"/>
          <w:color w:val="333333"/>
          <w:sz w:val="24"/>
          <w:szCs w:val="24"/>
          <w:shd w:val="clear" w:color="auto" w:fill="FFFFFF"/>
        </w:rPr>
        <w:t xml:space="preserve">a negative relationship between </w:t>
      </w:r>
      <w:r w:rsidR="000324C6" w:rsidRPr="007915F2">
        <w:rPr>
          <w:rFonts w:ascii="Garamond" w:hAnsi="Garamond"/>
          <w:color w:val="333333"/>
          <w:sz w:val="24"/>
          <w:szCs w:val="24"/>
          <w:shd w:val="clear" w:color="auto" w:fill="FFFFFF"/>
        </w:rPr>
        <w:t xml:space="preserve">the </w:t>
      </w:r>
      <w:r w:rsidR="00893DFF" w:rsidRPr="007915F2">
        <w:rPr>
          <w:rFonts w:ascii="Garamond" w:hAnsi="Garamond"/>
          <w:color w:val="333333"/>
          <w:sz w:val="24"/>
          <w:szCs w:val="24"/>
          <w:shd w:val="clear" w:color="auto" w:fill="FFFFFF"/>
        </w:rPr>
        <w:t xml:space="preserve">clustering coefficient and q ratio. </w:t>
      </w:r>
      <w:r w:rsidR="008D4296" w:rsidRPr="007915F2">
        <w:rPr>
          <w:rFonts w:ascii="Garamond" w:hAnsi="Garamond"/>
          <w:color w:val="333333"/>
          <w:sz w:val="24"/>
          <w:szCs w:val="24"/>
          <w:shd w:val="clear" w:color="auto" w:fill="FFFFFF"/>
        </w:rPr>
        <w:t xml:space="preserve">The cluster size was also found to affect the firms’ performance negatively due to </w:t>
      </w:r>
      <w:r w:rsidR="000324C6" w:rsidRPr="007915F2">
        <w:rPr>
          <w:rFonts w:ascii="Garamond" w:hAnsi="Garamond"/>
          <w:color w:val="333333"/>
          <w:sz w:val="24"/>
          <w:szCs w:val="24"/>
          <w:shd w:val="clear" w:color="auto" w:fill="FFFFFF"/>
        </w:rPr>
        <w:t xml:space="preserve">the </w:t>
      </w:r>
      <w:r w:rsidR="008D4296" w:rsidRPr="007915F2">
        <w:rPr>
          <w:rFonts w:ascii="Garamond" w:hAnsi="Garamond"/>
          <w:color w:val="333333"/>
          <w:sz w:val="24"/>
          <w:szCs w:val="24"/>
          <w:shd w:val="clear" w:color="auto" w:fill="FFFFFF"/>
        </w:rPr>
        <w:t>lower level of vertical integration in firms operating in large clusters.</w:t>
      </w:r>
    </w:p>
    <w:p w14:paraId="7EB1DCA9" w14:textId="77777777" w:rsidR="00865D50" w:rsidRPr="007915F2" w:rsidRDefault="00865D50" w:rsidP="00D61CD6">
      <w:pPr>
        <w:spacing w:after="0" w:line="240" w:lineRule="auto"/>
        <w:jc w:val="both"/>
        <w:rPr>
          <w:rFonts w:ascii="Garamond" w:hAnsi="Garamond"/>
          <w:color w:val="333333"/>
          <w:sz w:val="24"/>
          <w:szCs w:val="24"/>
          <w:shd w:val="clear" w:color="auto" w:fill="FFFFFF"/>
        </w:rPr>
      </w:pPr>
    </w:p>
    <w:p w14:paraId="086B46F2" w14:textId="77777777" w:rsidR="00BC33F8" w:rsidRPr="007915F2" w:rsidRDefault="00A47A8C" w:rsidP="00D61CD6">
      <w:pPr>
        <w:spacing w:after="0" w:line="240" w:lineRule="auto"/>
        <w:jc w:val="both"/>
        <w:rPr>
          <w:rFonts w:ascii="Garamond" w:hAnsi="Garamond"/>
          <w:sz w:val="24"/>
          <w:szCs w:val="24"/>
        </w:rPr>
      </w:pPr>
      <w:r w:rsidRPr="007915F2">
        <w:rPr>
          <w:rFonts w:ascii="Garamond" w:hAnsi="Garamond"/>
          <w:b/>
          <w:sz w:val="24"/>
          <w:szCs w:val="24"/>
        </w:rPr>
        <w:t>7</w:t>
      </w:r>
      <w:r w:rsidR="00426DAE" w:rsidRPr="007915F2">
        <w:rPr>
          <w:rFonts w:ascii="Garamond" w:hAnsi="Garamond"/>
          <w:b/>
          <w:sz w:val="24"/>
          <w:szCs w:val="24"/>
        </w:rPr>
        <w:t xml:space="preserve">. </w:t>
      </w:r>
      <w:r w:rsidR="00825BC5" w:rsidRPr="007915F2">
        <w:rPr>
          <w:rFonts w:ascii="Garamond" w:hAnsi="Garamond"/>
          <w:b/>
          <w:sz w:val="24"/>
          <w:szCs w:val="24"/>
        </w:rPr>
        <w:t xml:space="preserve">Conclusion and </w:t>
      </w:r>
      <w:r w:rsidR="00743A8F" w:rsidRPr="007915F2">
        <w:rPr>
          <w:rFonts w:ascii="Garamond" w:hAnsi="Garamond"/>
          <w:b/>
          <w:sz w:val="24"/>
          <w:szCs w:val="24"/>
        </w:rPr>
        <w:t>Contributions</w:t>
      </w:r>
      <w:r w:rsidR="00BC33F8" w:rsidRPr="007915F2">
        <w:rPr>
          <w:rFonts w:ascii="Garamond" w:hAnsi="Garamond"/>
          <w:sz w:val="24"/>
          <w:szCs w:val="24"/>
        </w:rPr>
        <w:t>:</w:t>
      </w:r>
    </w:p>
    <w:p w14:paraId="168D55A8" w14:textId="77777777" w:rsidR="00EB6EED" w:rsidRPr="007915F2" w:rsidRDefault="00525CC9" w:rsidP="00D61CD6">
      <w:pPr>
        <w:spacing w:after="0" w:line="240" w:lineRule="auto"/>
        <w:jc w:val="both"/>
        <w:rPr>
          <w:rFonts w:ascii="Garamond" w:hAnsi="Garamond"/>
          <w:sz w:val="24"/>
          <w:szCs w:val="24"/>
        </w:rPr>
      </w:pPr>
      <w:r w:rsidRPr="007915F2">
        <w:rPr>
          <w:rFonts w:ascii="Garamond" w:hAnsi="Garamond"/>
          <w:sz w:val="24"/>
          <w:szCs w:val="24"/>
        </w:rPr>
        <w:t>This study has three main contributions. First, it provides a benchmark for manufacturing firms and distributors around the world operating in the post-COVID-19 business environment</w:t>
      </w:r>
      <w:r w:rsidR="00EB6EED" w:rsidRPr="007915F2">
        <w:rPr>
          <w:rFonts w:ascii="Garamond" w:hAnsi="Garamond"/>
          <w:sz w:val="24"/>
          <w:szCs w:val="24"/>
        </w:rPr>
        <w:t xml:space="preserve"> to better understand the relationship of their supply chain strategy and firm</w:t>
      </w:r>
      <w:r w:rsidR="008D4296" w:rsidRPr="007915F2">
        <w:rPr>
          <w:rFonts w:ascii="Garamond" w:hAnsi="Garamond"/>
          <w:sz w:val="24"/>
          <w:szCs w:val="24"/>
        </w:rPr>
        <w:t>s’ financial</w:t>
      </w:r>
      <w:r w:rsidR="00EB6EED" w:rsidRPr="007915F2">
        <w:rPr>
          <w:rFonts w:ascii="Garamond" w:hAnsi="Garamond"/>
          <w:sz w:val="24"/>
          <w:szCs w:val="24"/>
        </w:rPr>
        <w:t xml:space="preserve"> performance</w:t>
      </w:r>
      <w:r w:rsidRPr="007915F2">
        <w:rPr>
          <w:rFonts w:ascii="Garamond" w:hAnsi="Garamond"/>
          <w:sz w:val="24"/>
          <w:szCs w:val="24"/>
        </w:rPr>
        <w:t>. Second, investors and asset managers can evaluate their p</w:t>
      </w:r>
      <w:r w:rsidR="00EB6EED" w:rsidRPr="007915F2">
        <w:rPr>
          <w:rFonts w:ascii="Garamond" w:hAnsi="Garamond"/>
          <w:sz w:val="24"/>
          <w:szCs w:val="24"/>
        </w:rPr>
        <w:t>ortfolios in light of the changing</w:t>
      </w:r>
      <w:r w:rsidRPr="007915F2">
        <w:rPr>
          <w:rFonts w:ascii="Garamond" w:hAnsi="Garamond"/>
          <w:sz w:val="24"/>
          <w:szCs w:val="24"/>
        </w:rPr>
        <w:t xml:space="preserve"> relationship </w:t>
      </w:r>
      <w:r w:rsidR="00EB6EED" w:rsidRPr="007915F2">
        <w:rPr>
          <w:rFonts w:ascii="Garamond" w:hAnsi="Garamond"/>
          <w:sz w:val="24"/>
          <w:szCs w:val="24"/>
        </w:rPr>
        <w:t>as a result of possible protectionism initiatives</w:t>
      </w:r>
      <w:r w:rsidRPr="007915F2">
        <w:rPr>
          <w:rFonts w:ascii="Garamond" w:hAnsi="Garamond"/>
          <w:sz w:val="24"/>
          <w:szCs w:val="24"/>
        </w:rPr>
        <w:t>. Finally, policymakers can apply the research methodology of this work in various industries while reevaluating post-COVID19 international relations and trades policies at the firm, industry</w:t>
      </w:r>
      <w:r w:rsidR="000324C6" w:rsidRPr="007915F2">
        <w:rPr>
          <w:rFonts w:ascii="Garamond" w:hAnsi="Garamond"/>
          <w:sz w:val="24"/>
          <w:szCs w:val="24"/>
        </w:rPr>
        <w:t>,</w:t>
      </w:r>
      <w:r w:rsidRPr="007915F2">
        <w:rPr>
          <w:rFonts w:ascii="Garamond" w:hAnsi="Garamond"/>
          <w:sz w:val="24"/>
          <w:szCs w:val="24"/>
        </w:rPr>
        <w:t xml:space="preserve"> and country levels.</w:t>
      </w:r>
      <w:r w:rsidR="002F6156" w:rsidRPr="007915F2">
        <w:rPr>
          <w:rFonts w:ascii="Garamond" w:hAnsi="Garamond"/>
          <w:sz w:val="24"/>
          <w:szCs w:val="24"/>
        </w:rPr>
        <w:t xml:space="preserve"> </w:t>
      </w:r>
    </w:p>
    <w:p w14:paraId="471BDA29" w14:textId="77777777" w:rsidR="00BC33F8" w:rsidRPr="007915F2" w:rsidRDefault="00BC33F8" w:rsidP="00D61CD6">
      <w:pPr>
        <w:spacing w:after="0" w:line="240" w:lineRule="auto"/>
        <w:jc w:val="both"/>
        <w:rPr>
          <w:rFonts w:ascii="Garamond" w:hAnsi="Garamond"/>
          <w:sz w:val="24"/>
          <w:szCs w:val="24"/>
        </w:rPr>
      </w:pPr>
      <w:r w:rsidRPr="007915F2">
        <w:rPr>
          <w:rFonts w:ascii="Garamond" w:hAnsi="Garamond"/>
          <w:sz w:val="24"/>
          <w:szCs w:val="24"/>
        </w:rPr>
        <w:t>Policymakers working on global connection can utilize the outcome of this research to explore the consequences of local and global policies on trade patterns, organizational performance as well as individuals’ movements. Another implication of this study for policymakers is that it provides a powerful tool to launch or combat the global ruptures, including trade wars and natural disasters stemming from natural events (e.g. climate change) and human-made events (e.g. wars, supply-chain interruptions, sanctions). For example, using our findings, strategists and policymakers can design high-accuracy offensive and defensive strategies during the disasters, trade-wars and counter-terrorism events, not only at the country level and industry level but also at the firm level and individual level. Changes in business ecosystem patterns can help national, regional</w:t>
      </w:r>
      <w:r w:rsidR="000324C6" w:rsidRPr="007915F2">
        <w:rPr>
          <w:rFonts w:ascii="Garamond" w:hAnsi="Garamond"/>
          <w:sz w:val="24"/>
          <w:szCs w:val="24"/>
        </w:rPr>
        <w:t>,</w:t>
      </w:r>
      <w:r w:rsidRPr="007915F2">
        <w:rPr>
          <w:rFonts w:ascii="Garamond" w:hAnsi="Garamond"/>
          <w:sz w:val="24"/>
          <w:szCs w:val="24"/>
        </w:rPr>
        <w:t xml:space="preserve"> and local agencies to explain and plan for the trends in global and regional and better manage inequality in weal</w:t>
      </w:r>
      <w:r w:rsidR="008D4296" w:rsidRPr="007915F2">
        <w:rPr>
          <w:rFonts w:ascii="Garamond" w:hAnsi="Garamond"/>
          <w:sz w:val="24"/>
          <w:szCs w:val="24"/>
        </w:rPr>
        <w:t xml:space="preserve">th distribution and employment. </w:t>
      </w:r>
      <w:r w:rsidRPr="007915F2">
        <w:rPr>
          <w:rFonts w:ascii="Garamond" w:hAnsi="Garamond"/>
          <w:sz w:val="24"/>
          <w:szCs w:val="24"/>
        </w:rPr>
        <w:t xml:space="preserve">This project will enable </w:t>
      </w:r>
      <w:r w:rsidR="008D4296" w:rsidRPr="007915F2">
        <w:rPr>
          <w:rFonts w:ascii="Garamond" w:hAnsi="Garamond"/>
          <w:sz w:val="24"/>
          <w:szCs w:val="24"/>
        </w:rPr>
        <w:t xml:space="preserve">business strategists </w:t>
      </w:r>
      <w:r w:rsidRPr="007915F2">
        <w:rPr>
          <w:rFonts w:ascii="Garamond" w:hAnsi="Garamond"/>
          <w:sz w:val="24"/>
          <w:szCs w:val="24"/>
        </w:rPr>
        <w:t xml:space="preserve">to better manage the risk and interruptions across their global value chain and uncover the most influential actors affecting their global operations. The findings will also provide benchmarks for assessing the role of network centrality of </w:t>
      </w:r>
      <w:r w:rsidR="008D4296" w:rsidRPr="007915F2">
        <w:rPr>
          <w:rFonts w:ascii="Garamond" w:hAnsi="Garamond"/>
          <w:sz w:val="24"/>
          <w:szCs w:val="24"/>
        </w:rPr>
        <w:t xml:space="preserve">firms and industries on national security. </w:t>
      </w:r>
      <w:r w:rsidRPr="007915F2">
        <w:rPr>
          <w:rFonts w:ascii="Garamond" w:hAnsi="Garamond"/>
          <w:sz w:val="24"/>
          <w:szCs w:val="24"/>
        </w:rPr>
        <w:t>This research enables organizations and policymakers to more effectively identify the innovation hubs across at a global scale using big data (c.f. Aksenova et al. 2019). The result of this study will uncover patterns of knowledge and the impact of technology that crosses industries and borders.</w:t>
      </w:r>
    </w:p>
    <w:p w14:paraId="128D1F5A" w14:textId="77777777" w:rsidR="00BC33F8" w:rsidRPr="007915F2" w:rsidRDefault="00BC33F8" w:rsidP="00D61CD6">
      <w:pPr>
        <w:spacing w:after="0" w:line="240" w:lineRule="auto"/>
        <w:jc w:val="both"/>
        <w:rPr>
          <w:rFonts w:ascii="Garamond" w:hAnsi="Garamond"/>
          <w:sz w:val="24"/>
          <w:szCs w:val="24"/>
        </w:rPr>
      </w:pPr>
    </w:p>
    <w:p w14:paraId="4AF88BF9" w14:textId="77777777" w:rsidR="00A51EA8" w:rsidRPr="007915F2" w:rsidRDefault="00A47A8C" w:rsidP="00D61CD6">
      <w:pPr>
        <w:spacing w:after="0" w:line="240" w:lineRule="auto"/>
        <w:jc w:val="both"/>
        <w:rPr>
          <w:rFonts w:ascii="Garamond" w:hAnsi="Garamond"/>
          <w:b/>
          <w:sz w:val="24"/>
          <w:szCs w:val="24"/>
        </w:rPr>
      </w:pPr>
      <w:r w:rsidRPr="007915F2">
        <w:rPr>
          <w:rFonts w:ascii="Garamond" w:hAnsi="Garamond"/>
          <w:b/>
          <w:sz w:val="24"/>
          <w:szCs w:val="24"/>
        </w:rPr>
        <w:t>8</w:t>
      </w:r>
      <w:r w:rsidR="00426DAE" w:rsidRPr="007915F2">
        <w:rPr>
          <w:rFonts w:ascii="Garamond" w:hAnsi="Garamond"/>
          <w:b/>
          <w:sz w:val="24"/>
          <w:szCs w:val="24"/>
        </w:rPr>
        <w:t xml:space="preserve">. </w:t>
      </w:r>
      <w:r w:rsidR="006641FC" w:rsidRPr="007915F2">
        <w:rPr>
          <w:rFonts w:ascii="Garamond" w:hAnsi="Garamond"/>
          <w:b/>
          <w:sz w:val="24"/>
          <w:szCs w:val="24"/>
        </w:rPr>
        <w:t>Limitations and Directions for Future Studies</w:t>
      </w:r>
    </w:p>
    <w:p w14:paraId="3C1EA5DA" w14:textId="77777777" w:rsidR="006641FC" w:rsidRPr="007915F2" w:rsidRDefault="006641FC" w:rsidP="00D61CD6">
      <w:pPr>
        <w:spacing w:after="0" w:line="240" w:lineRule="auto"/>
        <w:jc w:val="both"/>
        <w:rPr>
          <w:rFonts w:ascii="Garamond" w:hAnsi="Garamond"/>
          <w:sz w:val="24"/>
          <w:szCs w:val="24"/>
        </w:rPr>
      </w:pPr>
      <w:r w:rsidRPr="007915F2">
        <w:rPr>
          <w:rFonts w:ascii="Garamond" w:hAnsi="Garamond"/>
          <w:sz w:val="24"/>
          <w:szCs w:val="24"/>
        </w:rPr>
        <w:t xml:space="preserve">One of the limitations of this study is access to supply chain data. While small and medium private firms do not publish data about their supply chain the role of these firms in supply chain networks </w:t>
      </w:r>
      <w:r w:rsidR="000324C6" w:rsidRPr="007915F2">
        <w:rPr>
          <w:rFonts w:ascii="Garamond" w:hAnsi="Garamond"/>
          <w:sz w:val="24"/>
          <w:szCs w:val="24"/>
        </w:rPr>
        <w:t>is</w:t>
      </w:r>
      <w:r w:rsidRPr="007915F2">
        <w:rPr>
          <w:rFonts w:ascii="Garamond" w:hAnsi="Garamond"/>
          <w:sz w:val="24"/>
          <w:szCs w:val="24"/>
        </w:rPr>
        <w:t xml:space="preserve"> only identified when they have trade with publically traded firms. </w:t>
      </w:r>
      <w:r w:rsidR="000324C6" w:rsidRPr="007915F2">
        <w:rPr>
          <w:rFonts w:ascii="Garamond" w:hAnsi="Garamond"/>
          <w:sz w:val="24"/>
          <w:szCs w:val="24"/>
        </w:rPr>
        <w:t xml:space="preserve">The data is only from notable customers and suppliers however, this is the only level of data firms are willing to publically release. </w:t>
      </w:r>
      <w:r w:rsidRPr="007915F2">
        <w:rPr>
          <w:rFonts w:ascii="Garamond" w:hAnsi="Garamond"/>
          <w:sz w:val="24"/>
          <w:szCs w:val="24"/>
        </w:rPr>
        <w:t>Additionally</w:t>
      </w:r>
      <w:r w:rsidR="000324C6" w:rsidRPr="007915F2">
        <w:rPr>
          <w:rFonts w:ascii="Garamond" w:hAnsi="Garamond"/>
          <w:sz w:val="24"/>
          <w:szCs w:val="24"/>
        </w:rPr>
        <w:t>,</w:t>
      </w:r>
      <w:r w:rsidRPr="007915F2">
        <w:rPr>
          <w:rFonts w:ascii="Garamond" w:hAnsi="Garamond"/>
          <w:sz w:val="24"/>
          <w:szCs w:val="24"/>
        </w:rPr>
        <w:t xml:space="preserve"> firms do not disclose data about the value of their transitions with customers and suppliers; as a result</w:t>
      </w:r>
      <w:r w:rsidR="000324C6" w:rsidRPr="007915F2">
        <w:rPr>
          <w:rFonts w:ascii="Garamond" w:hAnsi="Garamond"/>
          <w:sz w:val="24"/>
          <w:szCs w:val="24"/>
        </w:rPr>
        <w:t>,</w:t>
      </w:r>
      <w:r w:rsidRPr="007915F2">
        <w:rPr>
          <w:rFonts w:ascii="Garamond" w:hAnsi="Garamond"/>
          <w:sz w:val="24"/>
          <w:szCs w:val="24"/>
        </w:rPr>
        <w:t xml:space="preserve"> the edges in our global supply chain network </w:t>
      </w:r>
      <w:r w:rsidR="000324C6" w:rsidRPr="007915F2">
        <w:rPr>
          <w:rFonts w:ascii="Garamond" w:hAnsi="Garamond"/>
          <w:sz w:val="24"/>
          <w:szCs w:val="24"/>
        </w:rPr>
        <w:t>in the analysis are treated as having</w:t>
      </w:r>
      <w:r w:rsidRPr="007915F2">
        <w:rPr>
          <w:rFonts w:ascii="Garamond" w:hAnsi="Garamond"/>
          <w:sz w:val="24"/>
          <w:szCs w:val="24"/>
        </w:rPr>
        <w:t xml:space="preserve"> equal weights. While these limitations cannot be addressed in </w:t>
      </w:r>
      <w:r w:rsidR="000324C6" w:rsidRPr="007915F2">
        <w:rPr>
          <w:rFonts w:ascii="Garamond" w:hAnsi="Garamond"/>
          <w:sz w:val="24"/>
          <w:szCs w:val="24"/>
        </w:rPr>
        <w:t xml:space="preserve">the </w:t>
      </w:r>
      <w:r w:rsidRPr="007915F2">
        <w:rPr>
          <w:rFonts w:ascii="Garamond" w:hAnsi="Garamond"/>
          <w:sz w:val="24"/>
          <w:szCs w:val="24"/>
        </w:rPr>
        <w:t>foreseeable future it is important to identify such shortcoming</w:t>
      </w:r>
      <w:r w:rsidR="000324C6" w:rsidRPr="007915F2">
        <w:rPr>
          <w:rFonts w:ascii="Garamond" w:hAnsi="Garamond"/>
          <w:sz w:val="24"/>
          <w:szCs w:val="24"/>
        </w:rPr>
        <w:t>s</w:t>
      </w:r>
      <w:r w:rsidRPr="007915F2">
        <w:rPr>
          <w:rFonts w:ascii="Garamond" w:hAnsi="Garamond"/>
          <w:sz w:val="24"/>
          <w:szCs w:val="24"/>
        </w:rPr>
        <w:t xml:space="preserve">. </w:t>
      </w:r>
    </w:p>
    <w:p w14:paraId="7ECD603A" w14:textId="77777777" w:rsidR="006641FC" w:rsidRPr="007915F2" w:rsidRDefault="006641FC" w:rsidP="00D61CD6">
      <w:pPr>
        <w:spacing w:after="0" w:line="240" w:lineRule="auto"/>
        <w:jc w:val="both"/>
        <w:rPr>
          <w:rFonts w:ascii="Garamond" w:hAnsi="Garamond"/>
          <w:sz w:val="24"/>
          <w:szCs w:val="24"/>
        </w:rPr>
      </w:pPr>
      <w:r w:rsidRPr="007915F2">
        <w:rPr>
          <w:rFonts w:ascii="Garamond" w:hAnsi="Garamond"/>
          <w:sz w:val="24"/>
          <w:szCs w:val="24"/>
        </w:rPr>
        <w:t xml:space="preserve">Another limitation of this study is that </w:t>
      </w:r>
      <w:r w:rsidR="00064633" w:rsidRPr="007915F2">
        <w:rPr>
          <w:rFonts w:ascii="Garamond" w:hAnsi="Garamond"/>
          <w:sz w:val="24"/>
          <w:szCs w:val="24"/>
        </w:rPr>
        <w:t xml:space="preserve">we are assuming ceteris paribus conditions when simulating the models after </w:t>
      </w:r>
      <w:r w:rsidR="000324C6" w:rsidRPr="007915F2">
        <w:rPr>
          <w:rFonts w:ascii="Garamond" w:hAnsi="Garamond"/>
          <w:sz w:val="24"/>
          <w:szCs w:val="24"/>
        </w:rPr>
        <w:t xml:space="preserve">the </w:t>
      </w:r>
      <w:r w:rsidR="00064633" w:rsidRPr="007915F2">
        <w:rPr>
          <w:rFonts w:ascii="Garamond" w:hAnsi="Garamond"/>
          <w:sz w:val="24"/>
          <w:szCs w:val="24"/>
        </w:rPr>
        <w:t xml:space="preserve">elimination of China from the global supply chain. That is, we assume </w:t>
      </w:r>
      <w:r w:rsidR="000324C6" w:rsidRPr="007915F2">
        <w:rPr>
          <w:rFonts w:ascii="Garamond" w:hAnsi="Garamond"/>
          <w:sz w:val="24"/>
          <w:szCs w:val="24"/>
        </w:rPr>
        <w:t xml:space="preserve">in the short-term </w:t>
      </w:r>
      <w:r w:rsidR="00064633" w:rsidRPr="007915F2">
        <w:rPr>
          <w:rFonts w:ascii="Garamond" w:hAnsi="Garamond"/>
          <w:sz w:val="24"/>
          <w:szCs w:val="24"/>
        </w:rPr>
        <w:t>the financial performance of the firms remaining in the model stay</w:t>
      </w:r>
      <w:r w:rsidR="000324C6" w:rsidRPr="007915F2">
        <w:rPr>
          <w:rFonts w:ascii="Garamond" w:hAnsi="Garamond"/>
          <w:sz w:val="24"/>
          <w:szCs w:val="24"/>
        </w:rPr>
        <w:t>s</w:t>
      </w:r>
      <w:r w:rsidR="00064633" w:rsidRPr="007915F2">
        <w:rPr>
          <w:rFonts w:ascii="Garamond" w:hAnsi="Garamond"/>
          <w:sz w:val="24"/>
          <w:szCs w:val="24"/>
        </w:rPr>
        <w:t xml:space="preserve"> the same</w:t>
      </w:r>
      <w:r w:rsidR="000324C6" w:rsidRPr="007915F2">
        <w:rPr>
          <w:rFonts w:ascii="Garamond" w:hAnsi="Garamond"/>
          <w:sz w:val="24"/>
          <w:szCs w:val="24"/>
        </w:rPr>
        <w:t>,</w:t>
      </w:r>
      <w:r w:rsidR="00064633" w:rsidRPr="007915F2">
        <w:rPr>
          <w:rFonts w:ascii="Garamond" w:hAnsi="Garamond"/>
          <w:sz w:val="24"/>
          <w:szCs w:val="24"/>
        </w:rPr>
        <w:t xml:space="preserve"> and only the </w:t>
      </w:r>
      <w:r w:rsidR="00064633" w:rsidRPr="007915F2">
        <w:rPr>
          <w:rFonts w:ascii="Garamond" w:hAnsi="Garamond"/>
          <w:sz w:val="24"/>
          <w:szCs w:val="24"/>
        </w:rPr>
        <w:lastRenderedPageBreak/>
        <w:t xml:space="preserve">network centrality characteristics chance. It can be argued that other exogenous factors –beyond the network centrality measures– can influence </w:t>
      </w:r>
      <w:r w:rsidR="000324C6" w:rsidRPr="007915F2">
        <w:rPr>
          <w:rFonts w:ascii="Garamond" w:hAnsi="Garamond"/>
          <w:sz w:val="24"/>
          <w:szCs w:val="24"/>
        </w:rPr>
        <w:t xml:space="preserve">the </w:t>
      </w:r>
      <w:r w:rsidR="00064633" w:rsidRPr="007915F2">
        <w:rPr>
          <w:rFonts w:ascii="Garamond" w:hAnsi="Garamond"/>
          <w:sz w:val="24"/>
          <w:szCs w:val="24"/>
        </w:rPr>
        <w:t xml:space="preserve">financial performance of the firms. </w:t>
      </w:r>
      <w:r w:rsidR="00A115D1" w:rsidRPr="007915F2">
        <w:rPr>
          <w:rFonts w:ascii="Garamond" w:hAnsi="Garamond"/>
          <w:sz w:val="24"/>
          <w:szCs w:val="24"/>
        </w:rPr>
        <w:t xml:space="preserve">For example, while </w:t>
      </w:r>
      <w:r w:rsidR="000324C6" w:rsidRPr="007915F2">
        <w:rPr>
          <w:rFonts w:ascii="Garamond" w:hAnsi="Garamond"/>
          <w:sz w:val="24"/>
          <w:szCs w:val="24"/>
        </w:rPr>
        <w:t xml:space="preserve">the </w:t>
      </w:r>
      <w:r w:rsidR="00A115D1" w:rsidRPr="007915F2">
        <w:rPr>
          <w:rFonts w:ascii="Garamond" w:hAnsi="Garamond"/>
          <w:sz w:val="24"/>
          <w:szCs w:val="24"/>
        </w:rPr>
        <w:t xml:space="preserve">elimination of a cluster of firms may not significantly change the </w:t>
      </w:r>
      <w:r w:rsidR="000324C6" w:rsidRPr="007915F2">
        <w:rPr>
          <w:rFonts w:ascii="Garamond" w:hAnsi="Garamond"/>
          <w:sz w:val="24"/>
          <w:szCs w:val="24"/>
        </w:rPr>
        <w:t>structure and characteristics of the remaining</w:t>
      </w:r>
      <w:r w:rsidR="00A115D1" w:rsidRPr="007915F2">
        <w:rPr>
          <w:rFonts w:ascii="Garamond" w:hAnsi="Garamond"/>
          <w:sz w:val="24"/>
          <w:szCs w:val="24"/>
        </w:rPr>
        <w:t xml:space="preserve"> supply chain </w:t>
      </w:r>
      <w:r w:rsidR="000324C6" w:rsidRPr="007915F2">
        <w:rPr>
          <w:rFonts w:ascii="Garamond" w:hAnsi="Garamond"/>
          <w:sz w:val="24"/>
          <w:szCs w:val="24"/>
        </w:rPr>
        <w:t>network in the short-term</w:t>
      </w:r>
      <w:r w:rsidR="00A115D1" w:rsidRPr="007915F2">
        <w:rPr>
          <w:rFonts w:ascii="Garamond" w:hAnsi="Garamond"/>
          <w:sz w:val="24"/>
          <w:szCs w:val="24"/>
        </w:rPr>
        <w:t xml:space="preserve">, however, it is likely to change the supply chain connections in the long-term by creating new connections and eliminating some of the past connections. Future research would be needed to investigate how such </w:t>
      </w:r>
      <w:r w:rsidR="000324C6" w:rsidRPr="007915F2">
        <w:rPr>
          <w:rFonts w:ascii="Garamond" w:hAnsi="Garamond"/>
          <w:sz w:val="24"/>
          <w:szCs w:val="24"/>
        </w:rPr>
        <w:t xml:space="preserve">a </w:t>
      </w:r>
      <w:r w:rsidR="00A115D1" w:rsidRPr="007915F2">
        <w:rPr>
          <w:rFonts w:ascii="Garamond" w:hAnsi="Garamond"/>
          <w:sz w:val="24"/>
          <w:szCs w:val="24"/>
        </w:rPr>
        <w:t xml:space="preserve">relationship can change in the new business environment. </w:t>
      </w:r>
      <w:r w:rsidR="00064633" w:rsidRPr="007915F2">
        <w:rPr>
          <w:rFonts w:ascii="Garamond" w:hAnsi="Garamond"/>
          <w:sz w:val="24"/>
          <w:szCs w:val="24"/>
        </w:rPr>
        <w:t>This can be a fruitful topic for future studies.</w:t>
      </w:r>
    </w:p>
    <w:p w14:paraId="27F18E94" w14:textId="77777777" w:rsidR="00143673" w:rsidRPr="007915F2" w:rsidRDefault="00143673" w:rsidP="00D61CD6">
      <w:pPr>
        <w:spacing w:after="0" w:line="240" w:lineRule="auto"/>
        <w:jc w:val="both"/>
        <w:rPr>
          <w:rFonts w:ascii="Garamond" w:hAnsi="Garamond"/>
          <w:sz w:val="24"/>
          <w:szCs w:val="24"/>
        </w:rPr>
      </w:pPr>
      <w:r w:rsidRPr="007915F2">
        <w:rPr>
          <w:rFonts w:ascii="Garamond" w:hAnsi="Garamond"/>
          <w:sz w:val="24"/>
          <w:szCs w:val="24"/>
        </w:rPr>
        <w:t>This research is conducted in the early months of the global pandemic as a result of COVID-19. The scope and magnitude of the short-t</w:t>
      </w:r>
      <w:r w:rsidR="000324C6" w:rsidRPr="007915F2">
        <w:rPr>
          <w:rFonts w:ascii="Garamond" w:hAnsi="Garamond"/>
          <w:sz w:val="24"/>
          <w:szCs w:val="24"/>
        </w:rPr>
        <w:t>erm and long-term effects</w:t>
      </w:r>
      <w:r w:rsidRPr="007915F2">
        <w:rPr>
          <w:rFonts w:ascii="Garamond" w:hAnsi="Garamond"/>
          <w:sz w:val="24"/>
          <w:szCs w:val="24"/>
        </w:rPr>
        <w:t xml:space="preserve"> of the pandemic are not clear at the moment. Future studies conducted in the years to come can provide </w:t>
      </w:r>
      <w:r w:rsidR="000324C6" w:rsidRPr="007915F2">
        <w:rPr>
          <w:rFonts w:ascii="Garamond" w:hAnsi="Garamond"/>
          <w:sz w:val="24"/>
          <w:szCs w:val="24"/>
        </w:rPr>
        <w:t xml:space="preserve">a </w:t>
      </w:r>
      <w:r w:rsidRPr="007915F2">
        <w:rPr>
          <w:rFonts w:ascii="Garamond" w:hAnsi="Garamond"/>
          <w:sz w:val="24"/>
          <w:szCs w:val="24"/>
        </w:rPr>
        <w:t>more comprehensive analysis of the changes in global supply chains.</w:t>
      </w:r>
      <w:r w:rsidR="000324C6" w:rsidRPr="007915F2">
        <w:rPr>
          <w:rFonts w:ascii="Garamond" w:hAnsi="Garamond"/>
          <w:sz w:val="24"/>
          <w:szCs w:val="24"/>
        </w:rPr>
        <w:t xml:space="preserve"> While our data was collected in the early weeks of 2020 it provides a picture of the supply chain map before pandemic affects the supply chain structures considering the data has approximately one financial quarter lag. Future research in the future is vital to explore how the firms have changed their global operation strategy in two years or five years.</w:t>
      </w:r>
    </w:p>
    <w:p w14:paraId="78F780D4" w14:textId="77777777" w:rsidR="000324C6" w:rsidRPr="007915F2" w:rsidRDefault="000324C6" w:rsidP="00D61CD6">
      <w:pPr>
        <w:spacing w:after="0" w:line="240" w:lineRule="auto"/>
        <w:jc w:val="both"/>
        <w:rPr>
          <w:rFonts w:ascii="Garamond" w:hAnsi="Garamond" w:cs="Calibri"/>
          <w:sz w:val="24"/>
          <w:szCs w:val="24"/>
        </w:rPr>
      </w:pPr>
    </w:p>
    <w:p w14:paraId="4A1646A4" w14:textId="77777777" w:rsidR="00143673" w:rsidRPr="007915F2" w:rsidRDefault="00143673" w:rsidP="00D61CD6">
      <w:pPr>
        <w:spacing w:after="0" w:line="240" w:lineRule="auto"/>
        <w:jc w:val="both"/>
        <w:rPr>
          <w:rFonts w:ascii="Garamond" w:hAnsi="Garamond" w:cs="Calibri"/>
          <w:sz w:val="24"/>
          <w:szCs w:val="24"/>
        </w:rPr>
      </w:pPr>
    </w:p>
    <w:p w14:paraId="53A0E4B5" w14:textId="77777777" w:rsidR="00064633" w:rsidRPr="007915F2" w:rsidRDefault="00064633" w:rsidP="00D61CD6">
      <w:pPr>
        <w:spacing w:after="0" w:line="240" w:lineRule="auto"/>
        <w:jc w:val="both"/>
        <w:rPr>
          <w:rFonts w:ascii="Garamond" w:hAnsi="Garamond" w:cs="Calibri"/>
          <w:sz w:val="24"/>
          <w:szCs w:val="24"/>
        </w:rPr>
      </w:pPr>
    </w:p>
    <w:p w14:paraId="5E72D981" w14:textId="77777777" w:rsidR="006641FC" w:rsidRPr="007915F2" w:rsidRDefault="006641FC" w:rsidP="00D61CD6">
      <w:pPr>
        <w:spacing w:after="0" w:line="240" w:lineRule="auto"/>
        <w:jc w:val="both"/>
        <w:rPr>
          <w:rFonts w:ascii="Garamond" w:hAnsi="Garamond" w:cs="Calibri"/>
          <w:sz w:val="24"/>
          <w:szCs w:val="24"/>
        </w:rPr>
      </w:pPr>
    </w:p>
    <w:p w14:paraId="770F1D53" w14:textId="77777777" w:rsidR="0090320A" w:rsidRPr="007915F2" w:rsidRDefault="0090320A" w:rsidP="00D61CD6">
      <w:pPr>
        <w:spacing w:after="0" w:line="240" w:lineRule="auto"/>
        <w:rPr>
          <w:rFonts w:ascii="Garamond" w:hAnsi="Garamond" w:cs="Calibri"/>
          <w:b/>
          <w:sz w:val="24"/>
          <w:szCs w:val="24"/>
        </w:rPr>
      </w:pPr>
      <w:r w:rsidRPr="007915F2">
        <w:rPr>
          <w:rFonts w:ascii="Garamond" w:hAnsi="Garamond" w:cs="Calibri"/>
          <w:b/>
          <w:sz w:val="24"/>
          <w:szCs w:val="24"/>
        </w:rPr>
        <w:t>References</w:t>
      </w:r>
    </w:p>
    <w:p w14:paraId="19E4F5D6" w14:textId="77777777" w:rsidR="00845AB5" w:rsidRPr="007915F2" w:rsidRDefault="00845AB5" w:rsidP="00D61CD6">
      <w:pPr>
        <w:spacing w:after="0" w:line="240" w:lineRule="auto"/>
        <w:jc w:val="both"/>
        <w:rPr>
          <w:rFonts w:ascii="Garamond" w:hAnsi="Garamond" w:cs="Calibri"/>
          <w:sz w:val="24"/>
          <w:szCs w:val="24"/>
          <w:shd w:val="clear" w:color="auto" w:fill="FFFFFF"/>
        </w:rPr>
      </w:pPr>
      <w:r w:rsidRPr="007915F2">
        <w:rPr>
          <w:rFonts w:ascii="Garamond" w:hAnsi="Garamond" w:cs="Calibri"/>
          <w:sz w:val="24"/>
          <w:szCs w:val="24"/>
          <w:shd w:val="clear" w:color="auto" w:fill="FFFFFF"/>
        </w:rPr>
        <w:t>Aksenova G., Kiviniemi A., Kocaturk T., and Lejeune A. (2019) From Finnish AEC knowledge ecosystem to business ecosystem: lessons learned from the national deployment of BIM. Construction Management and Economics, 37(6), pp. 317-335.</w:t>
      </w:r>
    </w:p>
    <w:p w14:paraId="7FB7CFCE"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Alizadeh, M., Makui A., and Paydar M.M. (2020). Forward and reverse supply chain network design for consumer medical supplies considering biological risk. Computers &amp; Industrial Engineering, 140, 106229.</w:t>
      </w:r>
    </w:p>
    <w:p w14:paraId="49AC1376" w14:textId="77777777" w:rsidR="00C24ABC" w:rsidRPr="007915F2" w:rsidRDefault="00C24ABC" w:rsidP="00C24ABC">
      <w:pPr>
        <w:spacing w:after="0" w:line="240" w:lineRule="auto"/>
        <w:jc w:val="both"/>
        <w:rPr>
          <w:rFonts w:ascii="Garamond" w:hAnsi="Garamond"/>
          <w:sz w:val="24"/>
          <w:szCs w:val="24"/>
        </w:rPr>
      </w:pPr>
      <w:r w:rsidRPr="007915F2">
        <w:rPr>
          <w:rFonts w:ascii="Garamond" w:hAnsi="Garamond"/>
          <w:sz w:val="24"/>
          <w:szCs w:val="24"/>
        </w:rPr>
        <w:t>Ambulkar, S., Blackhurst, J. and Grawe, S. (2015). Firm's resilience to supply chain disruptions: Scale development and empirical examination, Journal of Operations Management, 33-34, pp: 111-122.</w:t>
      </w:r>
    </w:p>
    <w:p w14:paraId="697378FF"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Atasu, A., Toktay, B., Yeo M. W., and Zhang, C. (2017). Effective Medical Surplus Recovery, Production and Operations Management, 26(6), 1142-1162.</w:t>
      </w:r>
    </w:p>
    <w:p w14:paraId="0DF5B465" w14:textId="77777777" w:rsidR="00845AB5" w:rsidRPr="007915F2" w:rsidRDefault="00845AB5" w:rsidP="00D61CD6">
      <w:pPr>
        <w:spacing w:after="0" w:line="240" w:lineRule="auto"/>
        <w:jc w:val="both"/>
        <w:rPr>
          <w:rFonts w:ascii="Garamond" w:hAnsi="Garamond"/>
          <w:sz w:val="24"/>
          <w:szCs w:val="24"/>
        </w:rPr>
      </w:pPr>
      <w:r w:rsidRPr="007915F2">
        <w:rPr>
          <w:rFonts w:ascii="Garamond" w:hAnsi="Garamond"/>
          <w:sz w:val="24"/>
          <w:szCs w:val="24"/>
        </w:rPr>
        <w:t>Baldwin R. E. and Evenett S. J. (2020). COVID-19 and Trade Policy:  Why Turning Inward Won’t Work, CEPR Press, London, UK.</w:t>
      </w:r>
    </w:p>
    <w:p w14:paraId="26162D6E" w14:textId="77777777" w:rsidR="00845AB5" w:rsidRPr="007915F2" w:rsidRDefault="00845AB5" w:rsidP="00D61CD6">
      <w:pPr>
        <w:spacing w:after="0" w:line="240" w:lineRule="auto"/>
        <w:jc w:val="both"/>
        <w:rPr>
          <w:rFonts w:ascii="Garamond" w:hAnsi="Garamond" w:cs="Calibri"/>
          <w:color w:val="333333"/>
          <w:sz w:val="24"/>
          <w:szCs w:val="24"/>
          <w:shd w:val="clear" w:color="auto" w:fill="FFFFFF"/>
        </w:rPr>
      </w:pPr>
      <w:r w:rsidRPr="007915F2">
        <w:rPr>
          <w:rFonts w:ascii="Garamond" w:hAnsi="Garamond" w:cs="Calibri"/>
          <w:color w:val="333333"/>
          <w:sz w:val="24"/>
          <w:szCs w:val="24"/>
          <w:shd w:val="clear" w:color="auto" w:fill="FFFFFF"/>
        </w:rPr>
        <w:t>Benzi M</w:t>
      </w:r>
      <w:r w:rsidR="007A3D25" w:rsidRPr="007915F2">
        <w:rPr>
          <w:rFonts w:ascii="Garamond" w:hAnsi="Garamond" w:cs="Calibri"/>
          <w:color w:val="333333"/>
          <w:sz w:val="24"/>
          <w:szCs w:val="24"/>
          <w:shd w:val="clear" w:color="auto" w:fill="FFFFFF"/>
        </w:rPr>
        <w:t>., Estrada E. and Klymko C. (20</w:t>
      </w:r>
      <w:r w:rsidRPr="007915F2">
        <w:rPr>
          <w:rFonts w:ascii="Garamond" w:hAnsi="Garamond" w:cs="Calibri"/>
          <w:color w:val="333333"/>
          <w:sz w:val="24"/>
          <w:szCs w:val="24"/>
          <w:shd w:val="clear" w:color="auto" w:fill="FFFFFF"/>
        </w:rPr>
        <w:t>13) Ranking hubs and authorities using matrix functions, Linear Algebra and its Applications, 438(5), pp. 247-2474.</w:t>
      </w:r>
    </w:p>
    <w:p w14:paraId="3BD9AB47" w14:textId="77777777" w:rsidR="00B60F8C" w:rsidRPr="007915F2" w:rsidRDefault="00845AB5" w:rsidP="00D61CD6">
      <w:pPr>
        <w:spacing w:after="0" w:line="240" w:lineRule="auto"/>
        <w:jc w:val="both"/>
        <w:rPr>
          <w:rFonts w:ascii="Garamond" w:hAnsi="Garamond" w:cs="Calibri"/>
          <w:color w:val="333333"/>
          <w:sz w:val="24"/>
          <w:szCs w:val="24"/>
          <w:shd w:val="clear" w:color="auto" w:fill="FFFFFF"/>
        </w:rPr>
      </w:pPr>
      <w:r w:rsidRPr="007915F2">
        <w:rPr>
          <w:rFonts w:ascii="Garamond" w:hAnsi="Garamond" w:cs="Calibri"/>
          <w:color w:val="333333"/>
          <w:sz w:val="24"/>
          <w:szCs w:val="24"/>
          <w:shd w:val="clear" w:color="auto" w:fill="FFFFFF"/>
        </w:rPr>
        <w:t>Besri Z. and Boulmakoul A. (2017). Framework for organizational structure re-design by assessing logistics’ business processes in harbor container terminals, Transportation Research Procedia 22, 164–173</w:t>
      </w:r>
    </w:p>
    <w:p w14:paraId="288CA639" w14:textId="77777777" w:rsidR="00B60F8C" w:rsidRPr="007915F2" w:rsidRDefault="00B60F8C" w:rsidP="00D61CD6">
      <w:pPr>
        <w:spacing w:after="0" w:line="240" w:lineRule="auto"/>
        <w:jc w:val="both"/>
        <w:rPr>
          <w:rFonts w:ascii="Garamond" w:hAnsi="Garamond" w:cs="Calibri"/>
          <w:color w:val="333333"/>
          <w:sz w:val="24"/>
          <w:szCs w:val="24"/>
          <w:shd w:val="clear" w:color="auto" w:fill="FFFFFF"/>
        </w:rPr>
      </w:pPr>
      <w:r w:rsidRPr="007915F2">
        <w:rPr>
          <w:rFonts w:ascii="Garamond" w:hAnsi="Garamond" w:cs="Calibri"/>
          <w:sz w:val="24"/>
          <w:szCs w:val="24"/>
        </w:rPr>
        <w:t>Blondel V.D., Guillaume J-L., Lambiotte R., and Lefebvre F. (2008) Fast unfolding of communities in large networks, Journal of Statistical Mechanics: Theory and Experiment (10), P1000.</w:t>
      </w:r>
    </w:p>
    <w:p w14:paraId="36D1B3F8" w14:textId="77777777" w:rsidR="00845AB5" w:rsidRPr="007915F2" w:rsidRDefault="00845AB5" w:rsidP="00D61CD6">
      <w:pPr>
        <w:spacing w:after="0" w:line="240" w:lineRule="auto"/>
        <w:jc w:val="both"/>
        <w:rPr>
          <w:rFonts w:ascii="Garamond" w:hAnsi="Garamond" w:cs="Calibri"/>
          <w:color w:val="333333"/>
          <w:sz w:val="24"/>
          <w:szCs w:val="24"/>
          <w:shd w:val="clear" w:color="auto" w:fill="FFFFFF"/>
        </w:rPr>
      </w:pPr>
      <w:r w:rsidRPr="007915F2">
        <w:rPr>
          <w:rFonts w:ascii="Garamond" w:hAnsi="Garamond" w:cs="Calibri"/>
          <w:sz w:val="24"/>
          <w:szCs w:val="24"/>
        </w:rPr>
        <w:t>Bombelli, A., Santos B. F. and Tavasszy L. (2020). Analysis of the air cargo transport network using a complex network theory perspective, Transportation Research Part E, 138, 101959, pp: 1-21.</w:t>
      </w:r>
    </w:p>
    <w:p w14:paraId="25F21413" w14:textId="77777777" w:rsidR="00845AB5" w:rsidRPr="007915F2" w:rsidRDefault="00845AB5" w:rsidP="00D61CD6">
      <w:pPr>
        <w:spacing w:after="0" w:line="240" w:lineRule="auto"/>
        <w:rPr>
          <w:rFonts w:ascii="Garamond" w:hAnsi="Garamond" w:cs="Calibri"/>
          <w:color w:val="333333"/>
          <w:sz w:val="24"/>
          <w:szCs w:val="24"/>
          <w:shd w:val="clear" w:color="auto" w:fill="FFFFFF"/>
        </w:rPr>
      </w:pPr>
      <w:r w:rsidRPr="007915F2">
        <w:rPr>
          <w:rFonts w:ascii="Garamond" w:hAnsi="Garamond" w:cs="Calibri"/>
          <w:color w:val="333333"/>
          <w:sz w:val="24"/>
          <w:szCs w:val="24"/>
          <w:shd w:val="clear" w:color="auto" w:fill="FFFFFF"/>
        </w:rPr>
        <w:t>Büttner K., Krieter J., Traulsen A., and Traulsen I (2013). Static network analysis of a pork supply chain in Northern Germany—Characterisation of the potential spread of infectious diseases via animal movements, Preventive Veterinary Medicine, 110, 418-428.</w:t>
      </w:r>
    </w:p>
    <w:p w14:paraId="52F8F4B8" w14:textId="77777777" w:rsidR="007660E5" w:rsidRPr="007915F2" w:rsidRDefault="007660E5" w:rsidP="007660E5">
      <w:pPr>
        <w:spacing w:after="0" w:line="240" w:lineRule="auto"/>
        <w:jc w:val="both"/>
        <w:rPr>
          <w:rFonts w:ascii="Garamond" w:hAnsi="Garamond"/>
          <w:sz w:val="24"/>
          <w:szCs w:val="24"/>
        </w:rPr>
      </w:pPr>
      <w:r w:rsidRPr="007915F2">
        <w:rPr>
          <w:rFonts w:ascii="Garamond" w:hAnsi="Garamond"/>
          <w:sz w:val="24"/>
          <w:szCs w:val="24"/>
        </w:rPr>
        <w:t>Carnovale s., Rogers, D.S., and Yeniyurt S. (2019). Broadening the perspective of supply chain finance: The performance impacts of network power and cohesion, Journal of Purchasing and Supply Management, 25, pp: 134-145.</w:t>
      </w:r>
    </w:p>
    <w:p w14:paraId="33D10C30" w14:textId="77777777" w:rsidR="00845AB5" w:rsidRPr="007915F2" w:rsidRDefault="00845AB5" w:rsidP="00D61CD6">
      <w:pPr>
        <w:spacing w:after="0" w:line="240" w:lineRule="auto"/>
        <w:jc w:val="both"/>
        <w:rPr>
          <w:rFonts w:ascii="Garamond" w:hAnsi="Garamond" w:cs="Calibri"/>
          <w:color w:val="333333"/>
          <w:sz w:val="24"/>
          <w:szCs w:val="24"/>
          <w:shd w:val="clear" w:color="auto" w:fill="FFFFFF"/>
        </w:rPr>
      </w:pPr>
      <w:r w:rsidRPr="007915F2">
        <w:rPr>
          <w:rFonts w:ascii="Garamond" w:hAnsi="Garamond" w:cs="Calibri"/>
          <w:color w:val="333333"/>
          <w:sz w:val="24"/>
          <w:szCs w:val="24"/>
          <w:shd w:val="clear" w:color="auto" w:fill="FFFFFF"/>
        </w:rPr>
        <w:t>Chen, I.J., and Paulraj, A. (2004). Towards a theory of supply chain management: the constructs and measurements. Journal of Operations Management, 22 (2), 119-150.</w:t>
      </w:r>
    </w:p>
    <w:p w14:paraId="75CD6301" w14:textId="77777777" w:rsidR="00A146BC" w:rsidRPr="007915F2" w:rsidRDefault="00A146BC" w:rsidP="00A146BC">
      <w:pPr>
        <w:spacing w:after="0" w:line="240" w:lineRule="auto"/>
        <w:jc w:val="both"/>
        <w:rPr>
          <w:rFonts w:ascii="Garamond" w:hAnsi="Garamond"/>
          <w:sz w:val="24"/>
          <w:szCs w:val="24"/>
        </w:rPr>
      </w:pPr>
      <w:r w:rsidRPr="007915F2">
        <w:rPr>
          <w:rFonts w:ascii="Garamond" w:hAnsi="Garamond"/>
          <w:sz w:val="24"/>
          <w:szCs w:val="24"/>
        </w:rPr>
        <w:lastRenderedPageBreak/>
        <w:t>Chen, W-H, Chiang A-H., Network agility as a trigger for enhancingfirm performance: A case study of a high-techfirm implementing the mixed channel strategy, Industrial Marketing Management, 40, pp: 643-651.</w:t>
      </w:r>
    </w:p>
    <w:p w14:paraId="635C07D6" w14:textId="77777777" w:rsidR="00CE42E9" w:rsidRPr="007915F2" w:rsidRDefault="00CE42E9" w:rsidP="00D61CD6">
      <w:pPr>
        <w:spacing w:after="0" w:line="240" w:lineRule="auto"/>
        <w:jc w:val="both"/>
        <w:rPr>
          <w:rFonts w:ascii="Garamond" w:hAnsi="Garamond"/>
          <w:sz w:val="24"/>
          <w:szCs w:val="24"/>
        </w:rPr>
      </w:pPr>
      <w:r w:rsidRPr="007915F2">
        <w:rPr>
          <w:rFonts w:ascii="Garamond" w:hAnsi="Garamond"/>
          <w:sz w:val="24"/>
          <w:szCs w:val="24"/>
        </w:rPr>
        <w:t>Culot G., Orzes G., Sartor M. and Nassimbeni G. (2020). The future of manufacturing: A Delphi-based scenario analysis on Industry 4.0. Technological Forecasting &amp; Social Chance, 157, pp. xx-xx.</w:t>
      </w:r>
    </w:p>
    <w:p w14:paraId="5CA57AED"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Dasaklis T. K., Pappis C. P., and Rachaniotis N. P. (2012). Epidemics control and logistics operations: A review. Intern. J. Prod. Econ., vol. 139, no. 2, pp. 393–410.</w:t>
      </w:r>
    </w:p>
    <w:p w14:paraId="5369BC4D"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Denton T and Jaska P. (2014). MANAGING THE MEDICAL DEVICE SEGMENT OF THE HEALTHCARE SUPPLY CHAIN, International Journal of Business and Public Administration, 11(2), 41-47.</w:t>
      </w:r>
    </w:p>
    <w:p w14:paraId="1A69A686" w14:textId="77777777" w:rsidR="00845AB5" w:rsidRPr="007915F2" w:rsidRDefault="00845AB5" w:rsidP="00D61CD6">
      <w:pPr>
        <w:spacing w:after="0" w:line="240" w:lineRule="auto"/>
        <w:jc w:val="both"/>
        <w:rPr>
          <w:rFonts w:ascii="Garamond" w:hAnsi="Garamond" w:cs="Calibri"/>
          <w:color w:val="333333"/>
          <w:sz w:val="24"/>
          <w:szCs w:val="24"/>
          <w:shd w:val="clear" w:color="auto" w:fill="FFFFFF"/>
        </w:rPr>
      </w:pPr>
      <w:r w:rsidRPr="007915F2">
        <w:rPr>
          <w:rFonts w:ascii="Garamond" w:hAnsi="Garamond" w:cs="Calibri"/>
          <w:color w:val="333333"/>
          <w:sz w:val="24"/>
          <w:szCs w:val="24"/>
          <w:shd w:val="clear" w:color="auto" w:fill="FFFFFF"/>
        </w:rPr>
        <w:t>Dyer J. H. and Singh H. (1998). The Relational View: Cooperative Strategy and Sources of Interorganizational Competitive Advantage, Academy of Management Review, 23(4), pp: 660-679.</w:t>
      </w:r>
    </w:p>
    <w:p w14:paraId="62262045" w14:textId="77777777" w:rsidR="00845AB5" w:rsidRPr="007915F2" w:rsidRDefault="00845AB5" w:rsidP="00D61CD6">
      <w:pPr>
        <w:spacing w:after="0" w:line="240" w:lineRule="auto"/>
        <w:jc w:val="both"/>
        <w:rPr>
          <w:rFonts w:ascii="Garamond" w:hAnsi="Garamond"/>
          <w:sz w:val="24"/>
          <w:szCs w:val="24"/>
        </w:rPr>
      </w:pPr>
      <w:r w:rsidRPr="007915F2">
        <w:rPr>
          <w:rFonts w:ascii="Garamond" w:hAnsi="Garamond"/>
          <w:sz w:val="24"/>
          <w:szCs w:val="24"/>
        </w:rPr>
        <w:t>Evenett S. J. (2020). What’s next for protectionism? Watch out for state largesse, especially export incentives, in (eds.) Baldwin R. E. and Evenett S. J. (2020). COVID-19 and Trade Policy:  Why Turning Inward Won’t Work, CEPR Press, London, UK.</w:t>
      </w:r>
    </w:p>
    <w:p w14:paraId="6BB0DCBE" w14:textId="77777777" w:rsidR="00CE42E9" w:rsidRPr="007915F2" w:rsidRDefault="00CE42E9" w:rsidP="00D61CD6">
      <w:pPr>
        <w:spacing w:after="0" w:line="240" w:lineRule="auto"/>
        <w:jc w:val="both"/>
        <w:rPr>
          <w:rFonts w:ascii="Garamond" w:hAnsi="Garamond"/>
          <w:sz w:val="24"/>
          <w:szCs w:val="24"/>
        </w:rPr>
      </w:pPr>
      <w:r w:rsidRPr="007915F2">
        <w:rPr>
          <w:rFonts w:ascii="Garamond" w:hAnsi="Garamond"/>
          <w:sz w:val="24"/>
          <w:szCs w:val="24"/>
        </w:rPr>
        <w:t>Furceri, D., Hannan S. A., Ostry J. D. and Rose A. K. (2020). Are tariffs bad for growth? Yes, say five decades of data from 150 countries, Journal of Policy Modeling, 42, pp. 851- 859.</w:t>
      </w:r>
    </w:p>
    <w:p w14:paraId="7B115184"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Goh, M., J. Y. S. Lim, and F. Meng. 2007. “A Stochastic Model for Risk Management in Global Supply Chain Networks.” European Journal of Operational Research 182 (1): 164–173.</w:t>
      </w:r>
    </w:p>
    <w:p w14:paraId="627135C1" w14:textId="77777777" w:rsidR="00845AB5" w:rsidRPr="007915F2" w:rsidRDefault="00845AB5" w:rsidP="00D61CD6">
      <w:pPr>
        <w:spacing w:after="0" w:line="240" w:lineRule="auto"/>
        <w:jc w:val="both"/>
        <w:rPr>
          <w:rFonts w:ascii="Garamond" w:hAnsi="Garamond" w:cs="Calibri"/>
          <w:sz w:val="24"/>
          <w:szCs w:val="24"/>
        </w:rPr>
      </w:pPr>
      <w:r w:rsidRPr="007915F2">
        <w:rPr>
          <w:rFonts w:ascii="Garamond" w:hAnsi="Garamond" w:cs="Calibri"/>
          <w:sz w:val="24"/>
          <w:szCs w:val="24"/>
        </w:rPr>
        <w:t>Hannibal, M., Knight, G. (2018), “Additive manufacturing and the global factory: Disruptive technologies and the location of international business”, International Business Review, Vol. 27, No. 6, pp. 1116-1127.</w:t>
      </w:r>
    </w:p>
    <w:p w14:paraId="2C28103F"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Hasani A., Zegordi S.H. and Nikbakhsh E. (2015). Robust closed-loop global supply chain network design under uncertainty: the case of the medical device industry, International Journal of Production Research, 53(5), 1596-1624.</w:t>
      </w:r>
    </w:p>
    <w:p w14:paraId="18040047"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Ivanov D and Dolgui A. (2020). Viability of intertwined supply networks: extending the supply chain resilience angles towards survivability. A position paper motivated by COVID-19 outbreak. International Journal of Production Research, 58(10), 2904-2915.</w:t>
      </w:r>
    </w:p>
    <w:p w14:paraId="6C8B70E4" w14:textId="77777777" w:rsidR="00845AB5" w:rsidRPr="007915F2" w:rsidRDefault="00845AB5" w:rsidP="00D61CD6">
      <w:pPr>
        <w:spacing w:after="0" w:line="240" w:lineRule="auto"/>
        <w:jc w:val="both"/>
        <w:rPr>
          <w:rFonts w:ascii="Garamond" w:hAnsi="Garamond" w:cs="Calibri"/>
          <w:sz w:val="24"/>
          <w:szCs w:val="24"/>
        </w:rPr>
      </w:pPr>
      <w:r w:rsidRPr="007915F2">
        <w:rPr>
          <w:rFonts w:ascii="Garamond" w:hAnsi="Garamond" w:cs="Calibri"/>
          <w:sz w:val="24"/>
          <w:szCs w:val="24"/>
        </w:rPr>
        <w:t>Ivanov D. (2020). Predicting the impacts of epidemic outbreaks on global supply chains: A simulation-based analysis on the coronavirus outbreak (COVID-19/SARS-CoV-2) case, Transportation Research Part E, 136, 101922.</w:t>
      </w:r>
    </w:p>
    <w:p w14:paraId="3C76D782" w14:textId="77777777" w:rsidR="00845AB5" w:rsidRPr="007915F2" w:rsidRDefault="00845AB5" w:rsidP="00D61CD6">
      <w:pPr>
        <w:spacing w:after="0" w:line="240" w:lineRule="auto"/>
        <w:jc w:val="both"/>
        <w:rPr>
          <w:rFonts w:ascii="Garamond" w:hAnsi="Garamond" w:cs="Calibri"/>
          <w:sz w:val="24"/>
          <w:szCs w:val="24"/>
        </w:rPr>
      </w:pPr>
      <w:r w:rsidRPr="007915F2">
        <w:rPr>
          <w:rFonts w:ascii="Garamond" w:hAnsi="Garamond" w:cs="Calibri"/>
          <w:sz w:val="24"/>
          <w:szCs w:val="24"/>
        </w:rPr>
        <w:t>Javaid M., Haleem A, Vaishya R., Bahl S., Suman R. and Vaish A. (2020).  Diabetes &amp; Metabolic Syndrome: Clinical Research &amp; Reviews, 14, 419-422.</w:t>
      </w:r>
    </w:p>
    <w:p w14:paraId="363679A8"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Jha S. (2019). Trends in medical devices distribution: 2019 and beyond, Biospectrum, December 2019, 22-23.</w:t>
      </w:r>
    </w:p>
    <w:p w14:paraId="62E5FD4B" w14:textId="77777777" w:rsidR="00845AB5" w:rsidRPr="007915F2" w:rsidRDefault="00845AB5" w:rsidP="00D61CD6">
      <w:pPr>
        <w:spacing w:after="0" w:line="240" w:lineRule="auto"/>
        <w:rPr>
          <w:rFonts w:ascii="Garamond" w:hAnsi="Garamond" w:cs="Calibri"/>
          <w:color w:val="333333"/>
          <w:sz w:val="24"/>
          <w:szCs w:val="24"/>
          <w:shd w:val="clear" w:color="auto" w:fill="FFFFFF"/>
        </w:rPr>
      </w:pPr>
      <w:r w:rsidRPr="007915F2">
        <w:rPr>
          <w:rFonts w:ascii="Garamond" w:hAnsi="Garamond" w:cs="Calibri"/>
          <w:color w:val="333333"/>
          <w:sz w:val="24"/>
          <w:szCs w:val="24"/>
          <w:shd w:val="clear" w:color="auto" w:fill="FFFFFF"/>
        </w:rPr>
        <w:t>Kleinberg JM (1999) Authoritative sources in a hyperlinked environment. Journal of the ACM, 46(5), pp. 604–632.</w:t>
      </w:r>
    </w:p>
    <w:p w14:paraId="2C33093A"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Kong, G., Xu, D-L., Yang J-B. and Ma, X (2015) Combined medical quality assessment using the evidential reasoning approach, Expert Systems with Applications, 42(13), 5522-5530.</w:t>
      </w:r>
    </w:p>
    <w:p w14:paraId="3CF5CDE3"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Kumar S. and Havey T., “Before and after disaster strikes: A relief supply chain decision support framework,” Int. J. Prod. Econ., vol. 145, no. 2, pp. 613–629, Oct. 2013.</w:t>
      </w:r>
    </w:p>
    <w:p w14:paraId="3CE852CF" w14:textId="77777777" w:rsidR="00885359" w:rsidRPr="007915F2" w:rsidRDefault="00885359" w:rsidP="00D61CD6">
      <w:pPr>
        <w:spacing w:after="0" w:line="240" w:lineRule="auto"/>
        <w:jc w:val="both"/>
        <w:rPr>
          <w:rFonts w:ascii="Garamond" w:hAnsi="Garamond"/>
          <w:sz w:val="24"/>
          <w:szCs w:val="24"/>
        </w:rPr>
      </w:pPr>
      <w:r w:rsidRPr="007915F2">
        <w:rPr>
          <w:rFonts w:ascii="Garamond" w:hAnsi="Garamond"/>
          <w:sz w:val="24"/>
          <w:szCs w:val="24"/>
        </w:rPr>
        <w:t>Kwong I-W. G., Kim S-H and Martin D.G. (2016). Healthcare supply chain management; strategic areas for quality and financial improvement, Technological Forecasting &amp; Social Change, 113, pp. 422-428.</w:t>
      </w:r>
    </w:p>
    <w:p w14:paraId="37BDA4C5"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color w:val="333333"/>
          <w:sz w:val="24"/>
          <w:szCs w:val="24"/>
          <w:shd w:val="clear" w:color="auto" w:fill="FFFFFF"/>
        </w:rPr>
        <w:t>Lavassani K., Movahedi, B. and Kumar, V. (2008), “Evolution of Supply Chain Theories: A comprehensive Literature review”, In Proceedings of the Production and Operations Management Society (POMS) Conference 2008, California, USA.</w:t>
      </w:r>
    </w:p>
    <w:p w14:paraId="0166DDAE" w14:textId="77777777" w:rsidR="00845AB5" w:rsidRPr="007915F2" w:rsidRDefault="00845AB5" w:rsidP="00D61CD6">
      <w:pPr>
        <w:spacing w:after="0" w:line="240" w:lineRule="auto"/>
        <w:jc w:val="both"/>
        <w:rPr>
          <w:rFonts w:ascii="Garamond" w:hAnsi="Garamond"/>
          <w:sz w:val="24"/>
          <w:szCs w:val="24"/>
        </w:rPr>
      </w:pPr>
      <w:r w:rsidRPr="007915F2">
        <w:rPr>
          <w:rFonts w:ascii="Garamond" w:hAnsi="Garamond"/>
          <w:sz w:val="24"/>
          <w:szCs w:val="24"/>
        </w:rPr>
        <w:lastRenderedPageBreak/>
        <w:t>Li, Y., Zobel C.W., Seref O. and Chatfield D. (2020). Network characteristics and supply chain resilience under conditions of risk propagation, International Journal of Production Economics, 223, 107529.</w:t>
      </w:r>
    </w:p>
    <w:p w14:paraId="625313F5" w14:textId="77777777" w:rsidR="00845AB5" w:rsidRPr="007915F2" w:rsidRDefault="00845AB5" w:rsidP="00D61CD6">
      <w:pPr>
        <w:spacing w:after="0" w:line="240" w:lineRule="auto"/>
        <w:jc w:val="both"/>
        <w:rPr>
          <w:rFonts w:ascii="Garamond" w:hAnsi="Garamond" w:cs="Calibri"/>
          <w:color w:val="333333"/>
          <w:sz w:val="24"/>
          <w:szCs w:val="24"/>
          <w:shd w:val="clear" w:color="auto" w:fill="FFFFFF"/>
        </w:rPr>
      </w:pPr>
      <w:r w:rsidRPr="007915F2">
        <w:rPr>
          <w:rFonts w:ascii="Garamond" w:hAnsi="Garamond" w:cs="Calibri"/>
          <w:color w:val="333333"/>
          <w:sz w:val="24"/>
          <w:szCs w:val="24"/>
          <w:shd w:val="clear" w:color="auto" w:fill="FFFFFF"/>
        </w:rPr>
        <w:t xml:space="preserve">Li. Y., Zobel C.W., Seref O. and Chatfield D. (2020). Network characteristics and supply chain resilience under conditions of risk propagation, International </w:t>
      </w:r>
      <w:r w:rsidR="0055198F" w:rsidRPr="007915F2">
        <w:rPr>
          <w:rFonts w:ascii="Garamond" w:hAnsi="Garamond" w:cs="Calibri"/>
          <w:color w:val="333333"/>
          <w:sz w:val="24"/>
          <w:szCs w:val="24"/>
          <w:shd w:val="clear" w:color="auto" w:fill="FFFFFF"/>
        </w:rPr>
        <w:t>Journal of Production Economics</w:t>
      </w:r>
      <w:r w:rsidRPr="007915F2">
        <w:rPr>
          <w:rFonts w:ascii="Garamond" w:hAnsi="Garamond" w:cs="Calibri"/>
          <w:color w:val="333333"/>
          <w:sz w:val="24"/>
          <w:szCs w:val="24"/>
          <w:shd w:val="clear" w:color="auto" w:fill="FFFFFF"/>
        </w:rPr>
        <w:t>, 223, 107529.</w:t>
      </w:r>
      <w:r w:rsidR="007660E5" w:rsidRPr="007915F2">
        <w:rPr>
          <w:rFonts w:ascii="Garamond" w:hAnsi="Garamond" w:cs="Calibri"/>
          <w:color w:val="333333"/>
          <w:sz w:val="24"/>
          <w:szCs w:val="24"/>
          <w:shd w:val="clear" w:color="auto" w:fill="FFFFFF"/>
        </w:rPr>
        <w:t xml:space="preserve"> </w:t>
      </w:r>
    </w:p>
    <w:p w14:paraId="28317D3E" w14:textId="77777777" w:rsidR="00926ACD" w:rsidRPr="007915F2" w:rsidRDefault="00A966DC" w:rsidP="00D61CD6">
      <w:pPr>
        <w:spacing w:after="0" w:line="240" w:lineRule="auto"/>
        <w:jc w:val="both"/>
        <w:rPr>
          <w:rFonts w:ascii="Garamond" w:hAnsi="Garamond"/>
          <w:sz w:val="24"/>
          <w:szCs w:val="24"/>
        </w:rPr>
      </w:pPr>
      <w:r w:rsidRPr="007915F2">
        <w:rPr>
          <w:rFonts w:ascii="Garamond" w:hAnsi="Garamond"/>
          <w:sz w:val="24"/>
          <w:szCs w:val="24"/>
        </w:rPr>
        <w:t>Lyall A., Merc</w:t>
      </w:r>
      <w:r w:rsidR="00926ACD" w:rsidRPr="007915F2">
        <w:rPr>
          <w:rFonts w:ascii="Garamond" w:hAnsi="Garamond"/>
          <w:sz w:val="24"/>
          <w:szCs w:val="24"/>
        </w:rPr>
        <w:t>i</w:t>
      </w:r>
      <w:r w:rsidRPr="007915F2">
        <w:rPr>
          <w:rFonts w:ascii="Garamond" w:hAnsi="Garamond"/>
          <w:sz w:val="24"/>
          <w:szCs w:val="24"/>
        </w:rPr>
        <w:t>e</w:t>
      </w:r>
      <w:r w:rsidR="00926ACD" w:rsidRPr="007915F2">
        <w:rPr>
          <w:rFonts w:ascii="Garamond" w:hAnsi="Garamond"/>
          <w:sz w:val="24"/>
          <w:szCs w:val="24"/>
        </w:rPr>
        <w:t>r P.</w:t>
      </w:r>
      <w:r w:rsidR="0055198F" w:rsidRPr="007915F2">
        <w:rPr>
          <w:rFonts w:ascii="Garamond" w:hAnsi="Garamond"/>
          <w:sz w:val="24"/>
          <w:szCs w:val="24"/>
        </w:rPr>
        <w:t>,</w:t>
      </w:r>
      <w:r w:rsidR="00926ACD" w:rsidRPr="007915F2">
        <w:rPr>
          <w:rFonts w:ascii="Garamond" w:hAnsi="Garamond"/>
          <w:sz w:val="24"/>
          <w:szCs w:val="24"/>
        </w:rPr>
        <w:t xml:space="preserve"> and Gstettner S. (2018). The Death of Supply Chain Management, Harvard Business Review Digital Articles. 6/15/2018, p2-4.</w:t>
      </w:r>
    </w:p>
    <w:p w14:paraId="0D9E6D4C"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Ma, P., Gong Y., Jin M. (2019). Quality efforts in medical supply chains considering patient benefits. European Journal of Operational Research, 279(3), 795-807.</w:t>
      </w:r>
    </w:p>
    <w:p w14:paraId="11D3B1D0"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Mander J.H.M.,  Caniëls M.C.J.</w:t>
      </w:r>
      <w:r w:rsidR="0055198F" w:rsidRPr="007915F2">
        <w:rPr>
          <w:rFonts w:ascii="Garamond" w:hAnsi="Garamond" w:cs="Calibri"/>
          <w:sz w:val="24"/>
          <w:szCs w:val="24"/>
        </w:rPr>
        <w:t>,</w:t>
      </w:r>
      <w:r w:rsidRPr="007915F2">
        <w:rPr>
          <w:rFonts w:ascii="Garamond" w:hAnsi="Garamond" w:cs="Calibri"/>
          <w:sz w:val="24"/>
          <w:szCs w:val="24"/>
        </w:rPr>
        <w:t xml:space="preserve"> and Ghijsen P.W.Th. (2016). Exploring supply chain flexibility in a FMCG food supply chain, Journal of Purchasing &amp; Supply Management, 22, pp: 181-195. </w:t>
      </w:r>
    </w:p>
    <w:p w14:paraId="01592AB2"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Mani V., Gunasekaran A.</w:t>
      </w:r>
      <w:r w:rsidR="0055198F" w:rsidRPr="007915F2">
        <w:rPr>
          <w:rFonts w:ascii="Garamond" w:hAnsi="Garamond" w:cs="Calibri"/>
          <w:sz w:val="24"/>
          <w:szCs w:val="24"/>
        </w:rPr>
        <w:t>,</w:t>
      </w:r>
      <w:r w:rsidRPr="007915F2">
        <w:rPr>
          <w:rFonts w:ascii="Garamond" w:hAnsi="Garamond" w:cs="Calibri"/>
          <w:sz w:val="24"/>
          <w:szCs w:val="24"/>
        </w:rPr>
        <w:t xml:space="preserve"> and Delgado C. (2018). Enhancing supply chain performance through supplier social sustainability: An emerging economy perspective. International Journal of Production Economics, 195, 259-272.</w:t>
      </w:r>
    </w:p>
    <w:p w14:paraId="54C78FA2" w14:textId="77777777" w:rsidR="00845AB5" w:rsidRPr="007915F2" w:rsidRDefault="00845AB5" w:rsidP="00D61CD6">
      <w:pPr>
        <w:spacing w:after="0" w:line="240" w:lineRule="auto"/>
        <w:jc w:val="both"/>
        <w:rPr>
          <w:rFonts w:ascii="Garamond" w:hAnsi="Garamond"/>
          <w:color w:val="303030"/>
          <w:sz w:val="24"/>
          <w:szCs w:val="24"/>
          <w:shd w:val="clear" w:color="auto" w:fill="FFFFFF"/>
        </w:rPr>
      </w:pPr>
      <w:r w:rsidRPr="007915F2">
        <w:rPr>
          <w:rFonts w:ascii="Garamond" w:hAnsi="Garamond"/>
          <w:color w:val="303030"/>
          <w:sz w:val="24"/>
          <w:szCs w:val="24"/>
          <w:shd w:val="clear" w:color="auto" w:fill="FFFFFF"/>
        </w:rPr>
        <w:t>MRB (Malaysian Rubber Board). </w:t>
      </w:r>
      <w:r w:rsidRPr="007915F2">
        <w:rPr>
          <w:rStyle w:val="ref-journal"/>
          <w:rFonts w:ascii="Garamond" w:hAnsi="Garamond"/>
          <w:color w:val="303030"/>
          <w:sz w:val="24"/>
          <w:szCs w:val="24"/>
          <w:shd w:val="clear" w:color="auto" w:fill="FFFFFF"/>
        </w:rPr>
        <w:t>Natural rubber statistics 2016.</w:t>
      </w:r>
      <w:r w:rsidRPr="007915F2">
        <w:rPr>
          <w:rFonts w:ascii="Garamond" w:hAnsi="Garamond"/>
          <w:color w:val="303030"/>
          <w:sz w:val="24"/>
          <w:szCs w:val="24"/>
          <w:shd w:val="clear" w:color="auto" w:fill="FFFFFF"/>
        </w:rPr>
        <w:t> Kuala Lumpur, Malaysia: Malaysian Rubber Board; 2016. </w:t>
      </w:r>
    </w:p>
    <w:p w14:paraId="06DE10B3"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Nagurney A., Nagurney L.S. (2012). Medical nuclear supply chain design: A tractable network model and computational approach. International Journal of Production Economics, 140, 865-874.</w:t>
      </w:r>
    </w:p>
    <w:p w14:paraId="10334F9D" w14:textId="77777777" w:rsidR="00845AB5" w:rsidRPr="007915F2" w:rsidRDefault="00845AB5" w:rsidP="00D61CD6">
      <w:pPr>
        <w:spacing w:after="0" w:line="240" w:lineRule="auto"/>
        <w:jc w:val="both"/>
        <w:rPr>
          <w:rFonts w:ascii="Garamond" w:hAnsi="Garamond" w:cs="Calibri"/>
          <w:sz w:val="24"/>
          <w:szCs w:val="24"/>
        </w:rPr>
      </w:pPr>
      <w:r w:rsidRPr="007915F2">
        <w:rPr>
          <w:rFonts w:ascii="Garamond" w:hAnsi="Garamond" w:cs="Calibri"/>
          <w:sz w:val="24"/>
          <w:szCs w:val="24"/>
        </w:rPr>
        <w:t>NASEM (National Academies of Sciences, Engineering, and Medicine); Health and Medicine Division; Board on Health Sciences Policy. Impact of the Global Medical Supply Chain on SNS Operations and Communications: Proceedings of a Workshop. Washington (DC): National Academies Press (US); 2018 Jul 18. References. Available from: https://www.ncbi.nlm.nih.gov/books/NBK525656/</w:t>
      </w:r>
    </w:p>
    <w:p w14:paraId="1B81F070"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 xml:space="preserve">National Association of Manufacturers- MAN (2020), NAM CORONAVIRUS OUTBREAK SPECIAL SURVEY FEBRUARY/MARCH 2020. URL: </w:t>
      </w:r>
      <w:hyperlink r:id="rId9" w:history="1">
        <w:r w:rsidRPr="007915F2">
          <w:rPr>
            <w:rStyle w:val="Hyperlink"/>
            <w:rFonts w:ascii="Garamond" w:hAnsi="Garamond" w:cs="Calibri"/>
            <w:sz w:val="24"/>
            <w:szCs w:val="24"/>
          </w:rPr>
          <w:t>https://www.nam.org/wp-content/uploads/2020/03/NAM-SPECIAL-CORONA-SURVEY.pdf Last visited 5/13/2020</w:t>
        </w:r>
      </w:hyperlink>
      <w:r w:rsidRPr="007915F2">
        <w:rPr>
          <w:rFonts w:ascii="Garamond" w:hAnsi="Garamond" w:cs="Calibri"/>
          <w:sz w:val="24"/>
          <w:szCs w:val="24"/>
        </w:rPr>
        <w:t>.</w:t>
      </w:r>
    </w:p>
    <w:p w14:paraId="62F1A737" w14:textId="77777777" w:rsidR="00845AB5" w:rsidRPr="007915F2" w:rsidRDefault="00845AB5" w:rsidP="00D61CD6">
      <w:pPr>
        <w:spacing w:after="0" w:line="240" w:lineRule="auto"/>
        <w:jc w:val="both"/>
        <w:rPr>
          <w:rFonts w:ascii="Garamond" w:hAnsi="Garamond"/>
          <w:sz w:val="24"/>
          <w:szCs w:val="24"/>
        </w:rPr>
      </w:pPr>
      <w:r w:rsidRPr="007915F2">
        <w:rPr>
          <w:rFonts w:ascii="Garamond" w:hAnsi="Garamond"/>
          <w:sz w:val="24"/>
          <w:szCs w:val="24"/>
        </w:rPr>
        <w:t xml:space="preserve">Nuss, P., Graedel, T.E., Alonso, E., </w:t>
      </w:r>
      <w:r w:rsidR="007A3D25" w:rsidRPr="007915F2">
        <w:rPr>
          <w:rFonts w:ascii="Garamond" w:hAnsi="Garamond"/>
          <w:sz w:val="24"/>
          <w:szCs w:val="24"/>
        </w:rPr>
        <w:t xml:space="preserve">and </w:t>
      </w:r>
      <w:r w:rsidRPr="007915F2">
        <w:rPr>
          <w:rFonts w:ascii="Garamond" w:hAnsi="Garamond"/>
          <w:sz w:val="24"/>
          <w:szCs w:val="24"/>
        </w:rPr>
        <w:t xml:space="preserve">Carroll A. (2016) Mapping supply chain risk by network analysis of product platforms, Sustainable Materials and Technologies, 10, </w:t>
      </w:r>
      <w:r w:rsidR="007A3D25" w:rsidRPr="007915F2">
        <w:rPr>
          <w:rFonts w:ascii="Garamond" w:hAnsi="Garamond"/>
          <w:sz w:val="24"/>
          <w:szCs w:val="24"/>
        </w:rPr>
        <w:t xml:space="preserve">pp. </w:t>
      </w:r>
      <w:r w:rsidRPr="007915F2">
        <w:rPr>
          <w:rFonts w:ascii="Garamond" w:hAnsi="Garamond"/>
          <w:sz w:val="24"/>
          <w:szCs w:val="24"/>
        </w:rPr>
        <w:t xml:space="preserve">14-22. </w:t>
      </w:r>
    </w:p>
    <w:p w14:paraId="6BA8E176"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Peng M., Peng Y., and Chen H. (2014). Post-seismic supply chain risk management: A system dynamics disruption analysis approach for inventory and logistics planning, Comput. Oper. Res., 42, pp. 14–24.</w:t>
      </w:r>
    </w:p>
    <w:p w14:paraId="48DE6F11" w14:textId="77777777" w:rsidR="00845AB5" w:rsidRPr="007915F2" w:rsidRDefault="00845AB5" w:rsidP="00D61CD6">
      <w:pPr>
        <w:spacing w:after="0" w:line="240" w:lineRule="auto"/>
        <w:jc w:val="both"/>
        <w:rPr>
          <w:rFonts w:ascii="Garamond" w:hAnsi="Garamond" w:cs="Calibri"/>
          <w:sz w:val="24"/>
          <w:szCs w:val="24"/>
        </w:rPr>
      </w:pPr>
      <w:r w:rsidRPr="007915F2">
        <w:rPr>
          <w:rFonts w:ascii="Garamond" w:hAnsi="Garamond" w:cs="Calibri"/>
          <w:sz w:val="24"/>
          <w:szCs w:val="24"/>
        </w:rPr>
        <w:t>Retaildive, 2020. https://www.retaildive.com/news/the-impact-of-the-coronavirus-on-retail/573522/, accessed on May 26, 2020.</w:t>
      </w:r>
    </w:p>
    <w:p w14:paraId="1857BB1E" w14:textId="77777777" w:rsidR="00845AB5" w:rsidRPr="007915F2" w:rsidRDefault="00845AB5" w:rsidP="00D61CD6">
      <w:pPr>
        <w:spacing w:after="0" w:line="240" w:lineRule="auto"/>
        <w:jc w:val="both"/>
        <w:rPr>
          <w:rFonts w:ascii="Garamond" w:hAnsi="Garamond" w:cs="Calibri"/>
          <w:sz w:val="24"/>
          <w:szCs w:val="24"/>
        </w:rPr>
      </w:pPr>
      <w:r w:rsidRPr="007915F2">
        <w:rPr>
          <w:rFonts w:ascii="Garamond" w:hAnsi="Garamond" w:cs="Calibri"/>
          <w:sz w:val="24"/>
          <w:szCs w:val="24"/>
        </w:rPr>
        <w:t>Salvatore D. (2020). Growth and trade in the United States and the world economy: Overview, Journal of Policy Modeling, xxx, xxx-xxx.</w:t>
      </w:r>
      <w:r w:rsidRPr="007915F2">
        <w:rPr>
          <w:rFonts w:ascii="Garamond" w:hAnsi="Garamond" w:cs="Calibri"/>
          <w:sz w:val="24"/>
          <w:szCs w:val="24"/>
        </w:rPr>
        <w:tab/>
      </w:r>
    </w:p>
    <w:p w14:paraId="78B21C80"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Samuel K. E., Goury, M.L. Gunasekaran A. and Spalanzani A. (2011). Knowledge management in supply chain: An empirical study from France, Journal of Strategic Information Systems, 20, pp: 283-306.</w:t>
      </w:r>
    </w:p>
    <w:p w14:paraId="63FC59F3" w14:textId="77777777" w:rsidR="00D97841" w:rsidRPr="007915F2" w:rsidRDefault="00D97841" w:rsidP="00D97841">
      <w:pPr>
        <w:spacing w:after="0" w:line="240" w:lineRule="auto"/>
        <w:jc w:val="both"/>
        <w:rPr>
          <w:rFonts w:ascii="Garamond" w:hAnsi="Garamond"/>
          <w:sz w:val="24"/>
          <w:szCs w:val="24"/>
        </w:rPr>
      </w:pPr>
      <w:r w:rsidRPr="007915F2">
        <w:rPr>
          <w:rFonts w:ascii="Garamond" w:hAnsi="Garamond"/>
          <w:sz w:val="24"/>
          <w:szCs w:val="24"/>
        </w:rPr>
        <w:t>Stank, T., Esper, T., Goldsby, T.J., Zinn, W. and Autry, C. (2019). Toward a Digitally Dominant Paradigm for twenty-first century supply chain scholarship, International Journal of Physical Distribution &amp; Logistics Management, 49(10), pp. 956-971.</w:t>
      </w:r>
    </w:p>
    <w:p w14:paraId="6313BE6E" w14:textId="77777777" w:rsidR="00FE3D21" w:rsidRPr="007915F2" w:rsidRDefault="00FE3D21" w:rsidP="00FE3D21">
      <w:pPr>
        <w:spacing w:after="0" w:line="240" w:lineRule="auto"/>
        <w:jc w:val="both"/>
        <w:rPr>
          <w:rFonts w:ascii="Garamond" w:hAnsi="Garamond"/>
          <w:sz w:val="24"/>
          <w:szCs w:val="24"/>
        </w:rPr>
      </w:pPr>
      <w:r w:rsidRPr="007915F2">
        <w:rPr>
          <w:rFonts w:ascii="Garamond" w:hAnsi="Garamond"/>
          <w:sz w:val="24"/>
          <w:szCs w:val="24"/>
        </w:rPr>
        <w:t>Sarkis, J, Cohen, M.J., Dewick P., Schroder P. (2020) Resources, Conservation &amp; Recycling, 159, pp: xx-xx.</w:t>
      </w:r>
    </w:p>
    <w:p w14:paraId="077D652B" w14:textId="77777777" w:rsidR="00C24ABC" w:rsidRPr="007915F2" w:rsidRDefault="00C24ABC" w:rsidP="00C24ABC">
      <w:pPr>
        <w:spacing w:after="0" w:line="240" w:lineRule="auto"/>
        <w:jc w:val="both"/>
        <w:rPr>
          <w:rFonts w:ascii="Garamond" w:hAnsi="Garamond"/>
          <w:sz w:val="24"/>
          <w:szCs w:val="24"/>
        </w:rPr>
      </w:pPr>
      <w:r w:rsidRPr="007915F2">
        <w:rPr>
          <w:rFonts w:ascii="Garamond" w:hAnsi="Garamond"/>
          <w:sz w:val="24"/>
          <w:szCs w:val="24"/>
        </w:rPr>
        <w:t>Schniederjans D.G., Curado C., and Khalajhedayati M. (2020). Supply chain digitisation trends: An integration of knowledge management, International Journal of Production Economics, 220, pp: xx-xx.</w:t>
      </w:r>
    </w:p>
    <w:p w14:paraId="709EE8FA"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lastRenderedPageBreak/>
        <w:t>Seiler A., Papanagnou C.</w:t>
      </w:r>
      <w:r w:rsidR="0055198F" w:rsidRPr="007915F2">
        <w:rPr>
          <w:rFonts w:ascii="Garamond" w:hAnsi="Garamond" w:cs="Calibri"/>
          <w:sz w:val="24"/>
          <w:szCs w:val="24"/>
        </w:rPr>
        <w:t>,</w:t>
      </w:r>
      <w:r w:rsidRPr="007915F2">
        <w:rPr>
          <w:rFonts w:ascii="Garamond" w:hAnsi="Garamond" w:cs="Calibri"/>
          <w:sz w:val="24"/>
          <w:szCs w:val="24"/>
        </w:rPr>
        <w:t xml:space="preserve"> and Scarf P. (2020). On the relationship between financial performance and position of business in supply chain network. International Journal of Production Economics, 227, 107690.</w:t>
      </w:r>
    </w:p>
    <w:p w14:paraId="1B5CAE2B" w14:textId="77777777" w:rsidR="00C24ABC" w:rsidRPr="007915F2" w:rsidRDefault="00C24ABC" w:rsidP="00C24ABC">
      <w:pPr>
        <w:spacing w:after="0" w:line="240" w:lineRule="auto"/>
        <w:jc w:val="both"/>
        <w:rPr>
          <w:rFonts w:ascii="Garamond" w:hAnsi="Garamond"/>
          <w:sz w:val="24"/>
          <w:szCs w:val="24"/>
        </w:rPr>
      </w:pPr>
      <w:r w:rsidRPr="007915F2">
        <w:rPr>
          <w:rFonts w:ascii="Garamond" w:hAnsi="Garamond"/>
          <w:sz w:val="24"/>
          <w:szCs w:val="24"/>
        </w:rPr>
        <w:t>Schniederjans D.G., Curado C., and Khalajhedayati M. (2020). Supply chain digitisation trends: An integration of knowledge management, International Journal of Production Economics, 220, pp: xx-xx</w:t>
      </w:r>
    </w:p>
    <w:p w14:paraId="4D925819"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Shokrani A., Loukaides E.G., Elias E. and Lunt A.J.G. (2020) Exploration of alternative supply chains and distributed manufacturing in response to COVID-19; a case study of medical face shields, Materials and Design, 192, 108749.</w:t>
      </w:r>
    </w:p>
    <w:p w14:paraId="024AA4EE" w14:textId="77777777" w:rsidR="00845AB5" w:rsidRPr="007915F2" w:rsidRDefault="00845AB5" w:rsidP="00D61CD6">
      <w:pPr>
        <w:spacing w:after="0" w:line="240" w:lineRule="auto"/>
        <w:jc w:val="both"/>
        <w:rPr>
          <w:rFonts w:ascii="Garamond" w:hAnsi="Garamond"/>
          <w:sz w:val="24"/>
          <w:szCs w:val="24"/>
        </w:rPr>
      </w:pPr>
      <w:r w:rsidRPr="007915F2">
        <w:rPr>
          <w:rFonts w:ascii="Garamond" w:hAnsi="Garamond"/>
          <w:sz w:val="24"/>
          <w:szCs w:val="24"/>
        </w:rPr>
        <w:t>Stellinger A., Berglund I. and Isakson H. (2020). How trade can fight the pandemic and contribute to global health, in (eds.) Baldwin R. E. and Evenett S. J. (2020). COVID-19 and Trade Policy:  Why Turning Inward Won’t Work, CEPR Press, London, UK.</w:t>
      </w:r>
    </w:p>
    <w:p w14:paraId="04A5FCE1"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Su H., Kao T. and Linderman K. (2020) Where in the supply chain network does ISO 9001 improve firm. European Journal of Operational Research, 283, 530-540.</w:t>
      </w:r>
    </w:p>
    <w:p w14:paraId="6EE302FA" w14:textId="77777777" w:rsidR="00926ACD"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Syahrir I, Suparno</w:t>
      </w:r>
      <w:r w:rsidR="0055198F" w:rsidRPr="007915F2">
        <w:rPr>
          <w:rFonts w:ascii="Garamond" w:hAnsi="Garamond" w:cs="Calibri"/>
          <w:sz w:val="24"/>
          <w:szCs w:val="24"/>
        </w:rPr>
        <w:t>,</w:t>
      </w:r>
      <w:r w:rsidRPr="007915F2">
        <w:rPr>
          <w:rFonts w:ascii="Garamond" w:hAnsi="Garamond" w:cs="Calibri"/>
          <w:sz w:val="24"/>
          <w:szCs w:val="24"/>
        </w:rPr>
        <w:t xml:space="preserve"> and Vanany I. (2015). Healthcare and Disaster Supply Chain: Literature Review and  Future Research,  Procedia Manufacturing 4 ( 2015 </w:t>
      </w:r>
      <w:r w:rsidR="00926ACD" w:rsidRPr="007915F2">
        <w:rPr>
          <w:rFonts w:ascii="Garamond" w:hAnsi="Garamond" w:cs="Calibri"/>
          <w:sz w:val="24"/>
          <w:szCs w:val="24"/>
        </w:rPr>
        <w:t>) 2 – 9</w:t>
      </w:r>
    </w:p>
    <w:p w14:paraId="15F62D58" w14:textId="77777777" w:rsidR="00926ACD" w:rsidRPr="007915F2" w:rsidRDefault="00926ACD" w:rsidP="00D61CD6">
      <w:pPr>
        <w:spacing w:after="0" w:line="240" w:lineRule="auto"/>
        <w:rPr>
          <w:rFonts w:ascii="Garamond" w:hAnsi="Garamond" w:cs="Calibri"/>
          <w:sz w:val="24"/>
          <w:szCs w:val="24"/>
        </w:rPr>
      </w:pPr>
      <w:r w:rsidRPr="007915F2">
        <w:rPr>
          <w:rFonts w:ascii="Garamond" w:hAnsi="Garamond" w:cs="Calibri"/>
          <w:sz w:val="24"/>
          <w:szCs w:val="24"/>
        </w:rPr>
        <w:t>Taleb N.N. (2007). The Black Swan: The impact of highly improbable. Random House Inc., NYC, US.</w:t>
      </w:r>
    </w:p>
    <w:p w14:paraId="20364F54" w14:textId="77777777" w:rsidR="00A146BC" w:rsidRPr="007915F2" w:rsidRDefault="00A146BC" w:rsidP="00A146BC">
      <w:pPr>
        <w:spacing w:after="0" w:line="240" w:lineRule="auto"/>
        <w:jc w:val="both"/>
        <w:rPr>
          <w:rFonts w:ascii="Garamond" w:hAnsi="Garamond"/>
          <w:sz w:val="24"/>
          <w:szCs w:val="24"/>
        </w:rPr>
      </w:pPr>
      <w:r w:rsidRPr="007915F2">
        <w:rPr>
          <w:rFonts w:ascii="Garamond" w:hAnsi="Garamond"/>
          <w:sz w:val="24"/>
          <w:szCs w:val="24"/>
        </w:rPr>
        <w:t>Todo, Y., Matous P. and Inoue H. (2016). The strength of long ties and the weakness of strong ties: Knowledge diffusion through supply chain networks, Research Policy, 45(9),pp: 1890-1906.</w:t>
      </w:r>
    </w:p>
    <w:p w14:paraId="5E8E127F"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Wang, J., R. Dou, R. R. Muddada, and W. Zhang. 2018. “Management of a Holistic Supply Chain Network for Proactive Resilience: Theory and Case Study.” Computers and Industrial Engineering 125: 668–677.</w:t>
      </w:r>
    </w:p>
    <w:p w14:paraId="0B6868D5"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Wang, J., R. R. Muddada, H. Wang, J. Ding, Y. Lin, C. Liu, and W. Zhang. 2014. “Toward a Resilient Holistic Supply Chain Network System: Concept, Review</w:t>
      </w:r>
      <w:r w:rsidR="0055198F" w:rsidRPr="007915F2">
        <w:rPr>
          <w:rFonts w:ascii="Garamond" w:hAnsi="Garamond" w:cs="Calibri"/>
          <w:sz w:val="24"/>
          <w:szCs w:val="24"/>
        </w:rPr>
        <w:t>,</w:t>
      </w:r>
      <w:r w:rsidRPr="007915F2">
        <w:rPr>
          <w:rFonts w:ascii="Garamond" w:hAnsi="Garamond" w:cs="Calibri"/>
          <w:sz w:val="24"/>
          <w:szCs w:val="24"/>
        </w:rPr>
        <w:t xml:space="preserve"> and Future Direction.” IEEE Systems Journal 10 (2): 410–421.</w:t>
      </w:r>
    </w:p>
    <w:p w14:paraId="3F8A6CED" w14:textId="77777777" w:rsidR="00845AB5" w:rsidRPr="007915F2" w:rsidRDefault="00845AB5" w:rsidP="00D61CD6">
      <w:pPr>
        <w:spacing w:after="0" w:line="240" w:lineRule="auto"/>
        <w:rPr>
          <w:rFonts w:ascii="Garamond" w:hAnsi="Garamond" w:cs="Calibri"/>
          <w:sz w:val="24"/>
          <w:szCs w:val="24"/>
        </w:rPr>
      </w:pPr>
      <w:r w:rsidRPr="007915F2">
        <w:rPr>
          <w:rFonts w:ascii="Garamond" w:hAnsi="Garamond" w:cs="Calibri"/>
          <w:sz w:val="24"/>
          <w:szCs w:val="24"/>
        </w:rPr>
        <w:t>Willis H. H. (2006). Protecting Emergency Responders: Personal Protective Equipment Guidelines for Structural Collapse Events, Vol. 4. Rand Corporation, Santa Monica, CA, USA.</w:t>
      </w:r>
    </w:p>
    <w:p w14:paraId="3C8186C1" w14:textId="77777777" w:rsidR="00CE42E9" w:rsidRPr="007915F2" w:rsidRDefault="00CE42E9" w:rsidP="00D61CD6">
      <w:pPr>
        <w:spacing w:after="0" w:line="240" w:lineRule="auto"/>
        <w:jc w:val="both"/>
        <w:rPr>
          <w:rFonts w:ascii="Garamond" w:hAnsi="Garamond"/>
          <w:sz w:val="24"/>
          <w:szCs w:val="24"/>
        </w:rPr>
      </w:pPr>
      <w:r w:rsidRPr="007915F2">
        <w:rPr>
          <w:rFonts w:ascii="Garamond" w:hAnsi="Garamond"/>
          <w:sz w:val="24"/>
          <w:szCs w:val="24"/>
        </w:rPr>
        <w:t xml:space="preserve">World Trade Organization (2020). Trade set to plunge as COVID-19 pandemic upends global economy, URL </w:t>
      </w:r>
      <w:hyperlink r:id="rId10" w:history="1">
        <w:r w:rsidRPr="007915F2">
          <w:rPr>
            <w:rStyle w:val="Hyperlink"/>
            <w:rFonts w:ascii="Garamond" w:hAnsi="Garamond"/>
            <w:sz w:val="24"/>
            <w:szCs w:val="24"/>
          </w:rPr>
          <w:t>https://www.wto.org/english/news_e/pres20_e/pr855_e.htm</w:t>
        </w:r>
      </w:hyperlink>
      <w:r w:rsidRPr="007915F2">
        <w:rPr>
          <w:rFonts w:ascii="Garamond" w:hAnsi="Garamond"/>
          <w:sz w:val="24"/>
          <w:szCs w:val="24"/>
        </w:rPr>
        <w:t xml:space="preserve"> [Last accessed, 8/6/2020]</w:t>
      </w:r>
    </w:p>
    <w:p w14:paraId="501B7EF7" w14:textId="77777777" w:rsidR="00845AB5" w:rsidRPr="007915F2" w:rsidRDefault="00845AB5" w:rsidP="00D61CD6">
      <w:pPr>
        <w:spacing w:after="0" w:line="240" w:lineRule="auto"/>
        <w:jc w:val="both"/>
        <w:rPr>
          <w:rFonts w:ascii="Garamond" w:hAnsi="Garamond" w:cs="Calibri"/>
          <w:sz w:val="24"/>
          <w:szCs w:val="24"/>
        </w:rPr>
      </w:pPr>
      <w:r w:rsidRPr="007915F2">
        <w:rPr>
          <w:rFonts w:ascii="Garamond" w:hAnsi="Garamond" w:cs="Calibri"/>
          <w:sz w:val="24"/>
          <w:szCs w:val="24"/>
        </w:rPr>
        <w:t>Yacoub, . R. and El-Zomor, M. (2020) Would COVID-19 Be the Turning Point in History for the Globalization Era? The Short-Term and Long-Term Impact of COVID-19 on Globalization (April 6, 2020). Available at SSRN: https://ssrn.com/abstract=3570142 or http://dx.doi.org/10.2139/ssrn.3570142</w:t>
      </w:r>
    </w:p>
    <w:p w14:paraId="49E2B64D" w14:textId="77777777" w:rsidR="00901634" w:rsidRPr="007915F2" w:rsidRDefault="00901634" w:rsidP="00D61CD6">
      <w:pPr>
        <w:spacing w:after="0" w:line="240" w:lineRule="auto"/>
        <w:rPr>
          <w:rFonts w:ascii="Garamond" w:hAnsi="Garamond" w:cs="Calibri"/>
          <w:b/>
          <w:sz w:val="24"/>
          <w:szCs w:val="24"/>
        </w:rPr>
      </w:pPr>
    </w:p>
    <w:p w14:paraId="19788962" w14:textId="77777777" w:rsidR="00901634" w:rsidRPr="007915F2" w:rsidRDefault="00901634" w:rsidP="00D61CD6">
      <w:pPr>
        <w:spacing w:after="0" w:line="240" w:lineRule="auto"/>
        <w:rPr>
          <w:rFonts w:ascii="Garamond" w:hAnsi="Garamond" w:cs="Calibri"/>
          <w:b/>
          <w:sz w:val="24"/>
          <w:szCs w:val="24"/>
        </w:rPr>
      </w:pPr>
    </w:p>
    <w:p w14:paraId="17EF1410" w14:textId="77777777" w:rsidR="00E573DF" w:rsidRDefault="00E573DF" w:rsidP="00273B0B">
      <w:pPr>
        <w:spacing w:after="0" w:line="240" w:lineRule="auto"/>
        <w:rPr>
          <w:rFonts w:ascii="Garamond" w:hAnsi="Garamond" w:cs="Calibri"/>
          <w:b/>
          <w:sz w:val="24"/>
          <w:szCs w:val="24"/>
        </w:rPr>
      </w:pPr>
      <w:r w:rsidRPr="00E573DF">
        <w:rPr>
          <w:rFonts w:ascii="Garamond" w:hAnsi="Garamond" w:cs="Calibri"/>
          <w:b/>
          <w:sz w:val="24"/>
          <w:szCs w:val="24"/>
        </w:rPr>
        <w:t>Appendices</w:t>
      </w:r>
    </w:p>
    <w:p w14:paraId="3940D025" w14:textId="32FC6658" w:rsidR="00EA153A" w:rsidRPr="007915F2" w:rsidRDefault="00EA153A" w:rsidP="00273B0B">
      <w:pPr>
        <w:spacing w:after="0" w:line="240" w:lineRule="auto"/>
        <w:rPr>
          <w:rFonts w:ascii="Garamond" w:hAnsi="Garamond" w:cs="Calibri"/>
          <w:b/>
          <w:sz w:val="24"/>
          <w:szCs w:val="24"/>
        </w:rPr>
      </w:pPr>
      <w:r w:rsidRPr="007915F2">
        <w:rPr>
          <w:rFonts w:ascii="Garamond" w:hAnsi="Garamond" w:cs="Calibri"/>
          <w:b/>
          <w:sz w:val="24"/>
          <w:szCs w:val="24"/>
        </w:rPr>
        <w:t xml:space="preserve">Appendix 1: </w:t>
      </w:r>
      <w:r w:rsidR="00B77050" w:rsidRPr="007915F2">
        <w:rPr>
          <w:rFonts w:ascii="Garamond" w:hAnsi="Garamond" w:cs="Calibri"/>
          <w:b/>
          <w:sz w:val="24"/>
          <w:szCs w:val="24"/>
        </w:rPr>
        <w:t>Size of the communities of firms: 5 tiers of backward supply chain for medical equipment</w:t>
      </w:r>
    </w:p>
    <w:p w14:paraId="067DE925" w14:textId="77777777" w:rsidR="00B77050" w:rsidRPr="007915F2" w:rsidRDefault="00CE0DB8" w:rsidP="00D61CD6">
      <w:pPr>
        <w:spacing w:after="0" w:line="240" w:lineRule="auto"/>
        <w:jc w:val="center"/>
        <w:rPr>
          <w:rFonts w:ascii="Garamond" w:hAnsi="Garamond" w:cs="Calibri"/>
          <w:b/>
          <w:sz w:val="24"/>
          <w:szCs w:val="24"/>
        </w:rPr>
      </w:pPr>
      <w:r w:rsidRPr="007915F2">
        <w:rPr>
          <w:rFonts w:ascii="Garamond" w:hAnsi="Garamond" w:cs="Calibri"/>
          <w:b/>
          <w:noProof/>
          <w:sz w:val="24"/>
          <w:szCs w:val="24"/>
        </w:rPr>
        <w:lastRenderedPageBreak/>
        <w:drawing>
          <wp:inline distT="0" distB="0" distL="0" distR="0" wp14:anchorId="23DD7E41" wp14:editId="03414807">
            <wp:extent cx="2910840" cy="1912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0840" cy="1912620"/>
                    </a:xfrm>
                    <a:prstGeom prst="rect">
                      <a:avLst/>
                    </a:prstGeom>
                    <a:noFill/>
                    <a:ln>
                      <a:noFill/>
                    </a:ln>
                  </pic:spPr>
                </pic:pic>
              </a:graphicData>
            </a:graphic>
          </wp:inline>
        </w:drawing>
      </w:r>
    </w:p>
    <w:p w14:paraId="2765F1C8" w14:textId="77777777" w:rsidR="00B77050" w:rsidRPr="007915F2" w:rsidRDefault="00B77050" w:rsidP="00D61CD6">
      <w:pPr>
        <w:spacing w:after="0" w:line="240" w:lineRule="auto"/>
        <w:jc w:val="center"/>
        <w:rPr>
          <w:rFonts w:ascii="Garamond" w:hAnsi="Garamond" w:cs="Calibri"/>
          <w:b/>
          <w:sz w:val="24"/>
          <w:szCs w:val="24"/>
        </w:rPr>
      </w:pPr>
    </w:p>
    <w:p w14:paraId="52508528" w14:textId="77777777" w:rsidR="00B77050" w:rsidRPr="007915F2" w:rsidRDefault="00B77050" w:rsidP="00D61CD6">
      <w:pPr>
        <w:spacing w:after="0" w:line="240" w:lineRule="auto"/>
        <w:jc w:val="center"/>
        <w:rPr>
          <w:rFonts w:ascii="Garamond" w:hAnsi="Garamond" w:cs="Calibri"/>
          <w:b/>
          <w:sz w:val="24"/>
          <w:szCs w:val="24"/>
        </w:rPr>
      </w:pPr>
    </w:p>
    <w:p w14:paraId="76113CB3" w14:textId="219B178C" w:rsidR="00B64EBE" w:rsidRPr="007915F2" w:rsidRDefault="00B64EBE" w:rsidP="00D61CD6">
      <w:pPr>
        <w:spacing w:after="0" w:line="240" w:lineRule="auto"/>
        <w:jc w:val="center"/>
        <w:rPr>
          <w:rFonts w:ascii="Garamond" w:hAnsi="Garamond" w:cs="Calibri"/>
          <w:b/>
          <w:sz w:val="24"/>
          <w:szCs w:val="24"/>
        </w:rPr>
      </w:pPr>
    </w:p>
    <w:tbl>
      <w:tblPr>
        <w:tblW w:w="9619" w:type="dxa"/>
        <w:tblInd w:w="-360" w:type="dxa"/>
        <w:tblLook w:val="04A0" w:firstRow="1" w:lastRow="0" w:firstColumn="1" w:lastColumn="0" w:noHBand="0" w:noVBand="1"/>
      </w:tblPr>
      <w:tblGrid>
        <w:gridCol w:w="4320"/>
        <w:gridCol w:w="1080"/>
        <w:gridCol w:w="270"/>
        <w:gridCol w:w="2610"/>
        <w:gridCol w:w="1339"/>
      </w:tblGrid>
      <w:tr w:rsidR="00273B0B" w:rsidRPr="007915F2" w14:paraId="79BD1CFC" w14:textId="77777777" w:rsidTr="00245E38">
        <w:trPr>
          <w:trHeight w:val="360"/>
        </w:trPr>
        <w:tc>
          <w:tcPr>
            <w:tcW w:w="9617" w:type="dxa"/>
            <w:gridSpan w:val="5"/>
            <w:tcBorders>
              <w:top w:val="nil"/>
              <w:left w:val="nil"/>
              <w:right w:val="nil"/>
            </w:tcBorders>
            <w:shd w:val="clear" w:color="auto" w:fill="auto"/>
            <w:noWrap/>
            <w:vAlign w:val="bottom"/>
            <w:hideMark/>
          </w:tcPr>
          <w:p w14:paraId="05A72EDA" w14:textId="0AC36CC7" w:rsidR="00273B0B" w:rsidRPr="007915F2" w:rsidRDefault="00273B0B" w:rsidP="00273B0B">
            <w:pPr>
              <w:spacing w:after="0" w:line="240" w:lineRule="auto"/>
              <w:jc w:val="center"/>
              <w:rPr>
                <w:rFonts w:ascii="Garamond" w:eastAsia="Times New Roman" w:hAnsi="Garamond"/>
                <w:b/>
                <w:bCs/>
                <w:color w:val="000000"/>
                <w:sz w:val="24"/>
                <w:szCs w:val="24"/>
              </w:rPr>
            </w:pPr>
            <w:r w:rsidRPr="007915F2">
              <w:rPr>
                <w:rFonts w:ascii="Garamond" w:eastAsia="Times New Roman" w:hAnsi="Garamond"/>
                <w:b/>
                <w:bCs/>
                <w:color w:val="000000"/>
                <w:sz w:val="24"/>
                <w:szCs w:val="24"/>
              </w:rPr>
              <w:t>Appendix 2: Industry Composition and Distribution of Firms Headquarters</w:t>
            </w:r>
          </w:p>
        </w:tc>
      </w:tr>
      <w:tr w:rsidR="00273B0B" w:rsidRPr="007915F2" w14:paraId="6214D580" w14:textId="77777777" w:rsidTr="00245E38">
        <w:trPr>
          <w:trHeight w:val="720"/>
        </w:trPr>
        <w:tc>
          <w:tcPr>
            <w:tcW w:w="4320" w:type="dxa"/>
            <w:tcBorders>
              <w:top w:val="nil"/>
              <w:left w:val="nil"/>
              <w:bottom w:val="single" w:sz="4" w:space="0" w:color="auto"/>
              <w:right w:val="nil"/>
            </w:tcBorders>
            <w:shd w:val="clear" w:color="auto" w:fill="auto"/>
            <w:noWrap/>
            <w:vAlign w:val="bottom"/>
            <w:hideMark/>
          </w:tcPr>
          <w:p w14:paraId="670DEDCD"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Top Six Industries</w:t>
            </w:r>
          </w:p>
        </w:tc>
        <w:tc>
          <w:tcPr>
            <w:tcW w:w="1080" w:type="dxa"/>
            <w:tcBorders>
              <w:top w:val="nil"/>
              <w:left w:val="nil"/>
              <w:bottom w:val="single" w:sz="4" w:space="0" w:color="auto"/>
              <w:right w:val="nil"/>
            </w:tcBorders>
            <w:shd w:val="clear" w:color="auto" w:fill="auto"/>
            <w:vAlign w:val="bottom"/>
            <w:hideMark/>
          </w:tcPr>
          <w:p w14:paraId="1C68ADDD" w14:textId="77777777" w:rsidR="00273B0B" w:rsidRPr="007915F2" w:rsidRDefault="00273B0B" w:rsidP="000E764B">
            <w:pPr>
              <w:spacing w:after="0" w:line="240" w:lineRule="auto"/>
              <w:jc w:val="center"/>
              <w:rPr>
                <w:rFonts w:ascii="Garamond" w:eastAsia="Times New Roman" w:hAnsi="Garamond"/>
                <w:color w:val="000000"/>
                <w:sz w:val="24"/>
                <w:szCs w:val="24"/>
              </w:rPr>
            </w:pPr>
            <w:r w:rsidRPr="007915F2">
              <w:rPr>
                <w:rFonts w:ascii="Garamond" w:eastAsia="Times New Roman" w:hAnsi="Garamond"/>
                <w:color w:val="000000"/>
                <w:sz w:val="24"/>
                <w:szCs w:val="24"/>
              </w:rPr>
              <w:t>Number of Edges</w:t>
            </w:r>
          </w:p>
        </w:tc>
        <w:tc>
          <w:tcPr>
            <w:tcW w:w="270" w:type="dxa"/>
            <w:tcBorders>
              <w:top w:val="nil"/>
              <w:left w:val="nil"/>
              <w:bottom w:val="single" w:sz="4" w:space="0" w:color="auto"/>
              <w:right w:val="nil"/>
            </w:tcBorders>
            <w:shd w:val="clear" w:color="auto" w:fill="auto"/>
            <w:noWrap/>
            <w:vAlign w:val="bottom"/>
            <w:hideMark/>
          </w:tcPr>
          <w:p w14:paraId="76E2A956" w14:textId="77777777" w:rsidR="00273B0B" w:rsidRPr="007915F2" w:rsidRDefault="00273B0B" w:rsidP="000E764B">
            <w:pPr>
              <w:spacing w:after="0" w:line="240" w:lineRule="auto"/>
              <w:rPr>
                <w:rFonts w:ascii="Garamond" w:eastAsia="Times New Roman" w:hAnsi="Garamond"/>
                <w:color w:val="000000"/>
                <w:sz w:val="24"/>
                <w:szCs w:val="24"/>
              </w:rPr>
            </w:pPr>
          </w:p>
        </w:tc>
        <w:tc>
          <w:tcPr>
            <w:tcW w:w="2610" w:type="dxa"/>
            <w:tcBorders>
              <w:top w:val="nil"/>
              <w:left w:val="nil"/>
              <w:bottom w:val="single" w:sz="4" w:space="0" w:color="auto"/>
              <w:right w:val="nil"/>
            </w:tcBorders>
            <w:shd w:val="clear" w:color="auto" w:fill="auto"/>
            <w:noWrap/>
            <w:vAlign w:val="bottom"/>
            <w:hideMark/>
          </w:tcPr>
          <w:p w14:paraId="70872EF7"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Top Six Firms' Headquartered in</w:t>
            </w:r>
          </w:p>
        </w:tc>
        <w:tc>
          <w:tcPr>
            <w:tcW w:w="1339" w:type="dxa"/>
            <w:tcBorders>
              <w:top w:val="nil"/>
              <w:left w:val="nil"/>
              <w:bottom w:val="single" w:sz="4" w:space="0" w:color="auto"/>
              <w:right w:val="nil"/>
            </w:tcBorders>
            <w:shd w:val="clear" w:color="auto" w:fill="auto"/>
            <w:vAlign w:val="bottom"/>
            <w:hideMark/>
          </w:tcPr>
          <w:p w14:paraId="0D21BB23" w14:textId="77777777" w:rsidR="00273B0B" w:rsidRPr="007915F2" w:rsidRDefault="00273B0B" w:rsidP="000E764B">
            <w:pPr>
              <w:spacing w:after="0" w:line="240" w:lineRule="auto"/>
              <w:jc w:val="center"/>
              <w:rPr>
                <w:rFonts w:ascii="Garamond" w:eastAsia="Times New Roman" w:hAnsi="Garamond"/>
                <w:color w:val="000000"/>
                <w:sz w:val="24"/>
                <w:szCs w:val="24"/>
              </w:rPr>
            </w:pPr>
            <w:r w:rsidRPr="007915F2">
              <w:rPr>
                <w:rFonts w:ascii="Garamond" w:eastAsia="Times New Roman" w:hAnsi="Garamond"/>
                <w:color w:val="000000"/>
                <w:sz w:val="24"/>
                <w:szCs w:val="24"/>
              </w:rPr>
              <w:t>Number of Edges</w:t>
            </w:r>
          </w:p>
        </w:tc>
      </w:tr>
      <w:tr w:rsidR="00273B0B" w:rsidRPr="007915F2" w14:paraId="40A79DCE" w14:textId="77777777" w:rsidTr="00245E38">
        <w:trPr>
          <w:trHeight w:val="360"/>
        </w:trPr>
        <w:tc>
          <w:tcPr>
            <w:tcW w:w="4320" w:type="dxa"/>
            <w:tcBorders>
              <w:top w:val="single" w:sz="4" w:space="0" w:color="auto"/>
              <w:left w:val="nil"/>
              <w:bottom w:val="nil"/>
              <w:right w:val="nil"/>
            </w:tcBorders>
            <w:shd w:val="clear" w:color="auto" w:fill="auto"/>
            <w:noWrap/>
            <w:vAlign w:val="bottom"/>
            <w:hideMark/>
          </w:tcPr>
          <w:p w14:paraId="544F7AA6"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Computer Programming &amp; Data Processing</w:t>
            </w:r>
          </w:p>
        </w:tc>
        <w:tc>
          <w:tcPr>
            <w:tcW w:w="1080" w:type="dxa"/>
            <w:tcBorders>
              <w:top w:val="single" w:sz="4" w:space="0" w:color="auto"/>
              <w:left w:val="nil"/>
              <w:bottom w:val="nil"/>
              <w:right w:val="nil"/>
            </w:tcBorders>
            <w:shd w:val="clear" w:color="auto" w:fill="auto"/>
            <w:noWrap/>
            <w:vAlign w:val="bottom"/>
            <w:hideMark/>
          </w:tcPr>
          <w:p w14:paraId="08210268"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10559</w:t>
            </w:r>
          </w:p>
        </w:tc>
        <w:tc>
          <w:tcPr>
            <w:tcW w:w="270" w:type="dxa"/>
            <w:tcBorders>
              <w:top w:val="single" w:sz="4" w:space="0" w:color="auto"/>
              <w:left w:val="nil"/>
              <w:bottom w:val="nil"/>
              <w:right w:val="nil"/>
            </w:tcBorders>
            <w:shd w:val="clear" w:color="auto" w:fill="auto"/>
            <w:noWrap/>
            <w:vAlign w:val="bottom"/>
            <w:hideMark/>
          </w:tcPr>
          <w:p w14:paraId="756609EC" w14:textId="77777777" w:rsidR="00273B0B" w:rsidRPr="007915F2" w:rsidRDefault="00273B0B" w:rsidP="000E764B">
            <w:pPr>
              <w:spacing w:after="0" w:line="240" w:lineRule="auto"/>
              <w:rPr>
                <w:rFonts w:ascii="Garamond" w:eastAsia="Times New Roman" w:hAnsi="Garamond"/>
                <w:color w:val="000000"/>
                <w:sz w:val="24"/>
                <w:szCs w:val="24"/>
              </w:rPr>
            </w:pPr>
          </w:p>
        </w:tc>
        <w:tc>
          <w:tcPr>
            <w:tcW w:w="2610" w:type="dxa"/>
            <w:tcBorders>
              <w:top w:val="single" w:sz="4" w:space="0" w:color="auto"/>
              <w:left w:val="nil"/>
              <w:bottom w:val="nil"/>
              <w:right w:val="nil"/>
            </w:tcBorders>
            <w:shd w:val="clear" w:color="auto" w:fill="auto"/>
            <w:noWrap/>
            <w:vAlign w:val="bottom"/>
            <w:hideMark/>
          </w:tcPr>
          <w:p w14:paraId="6697A123"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U.S.A</w:t>
            </w:r>
          </w:p>
        </w:tc>
        <w:tc>
          <w:tcPr>
            <w:tcW w:w="1339" w:type="dxa"/>
            <w:tcBorders>
              <w:top w:val="single" w:sz="4" w:space="0" w:color="auto"/>
              <w:left w:val="nil"/>
              <w:bottom w:val="nil"/>
              <w:right w:val="nil"/>
            </w:tcBorders>
            <w:shd w:val="clear" w:color="auto" w:fill="auto"/>
            <w:noWrap/>
            <w:vAlign w:val="bottom"/>
            <w:hideMark/>
          </w:tcPr>
          <w:p w14:paraId="620DA609"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52108</w:t>
            </w:r>
          </w:p>
        </w:tc>
      </w:tr>
      <w:tr w:rsidR="00273B0B" w:rsidRPr="007915F2" w14:paraId="1CACDF24" w14:textId="77777777" w:rsidTr="00245E38">
        <w:trPr>
          <w:trHeight w:val="408"/>
        </w:trPr>
        <w:tc>
          <w:tcPr>
            <w:tcW w:w="4320" w:type="dxa"/>
            <w:tcBorders>
              <w:top w:val="nil"/>
              <w:left w:val="nil"/>
              <w:bottom w:val="nil"/>
              <w:right w:val="nil"/>
            </w:tcBorders>
            <w:shd w:val="clear" w:color="auto" w:fill="auto"/>
            <w:noWrap/>
            <w:vAlign w:val="bottom"/>
            <w:hideMark/>
          </w:tcPr>
          <w:p w14:paraId="795DCF4F"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Motor Vehicles and Car Bodies</w:t>
            </w:r>
          </w:p>
        </w:tc>
        <w:tc>
          <w:tcPr>
            <w:tcW w:w="1080" w:type="dxa"/>
            <w:tcBorders>
              <w:top w:val="nil"/>
              <w:left w:val="nil"/>
              <w:bottom w:val="nil"/>
              <w:right w:val="nil"/>
            </w:tcBorders>
            <w:shd w:val="clear" w:color="auto" w:fill="auto"/>
            <w:noWrap/>
            <w:vAlign w:val="bottom"/>
            <w:hideMark/>
          </w:tcPr>
          <w:p w14:paraId="1EE703FC"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9225</w:t>
            </w:r>
          </w:p>
        </w:tc>
        <w:tc>
          <w:tcPr>
            <w:tcW w:w="270" w:type="dxa"/>
            <w:tcBorders>
              <w:top w:val="nil"/>
              <w:left w:val="nil"/>
              <w:bottom w:val="nil"/>
              <w:right w:val="nil"/>
            </w:tcBorders>
            <w:shd w:val="clear" w:color="auto" w:fill="auto"/>
            <w:noWrap/>
            <w:vAlign w:val="bottom"/>
            <w:hideMark/>
          </w:tcPr>
          <w:p w14:paraId="1F909ECF" w14:textId="77777777" w:rsidR="00273B0B" w:rsidRPr="007915F2" w:rsidRDefault="00273B0B" w:rsidP="000E764B">
            <w:pPr>
              <w:spacing w:after="0" w:line="240" w:lineRule="auto"/>
              <w:rPr>
                <w:rFonts w:ascii="Garamond" w:eastAsia="Times New Roman" w:hAnsi="Garamond"/>
                <w:color w:val="000000"/>
                <w:sz w:val="24"/>
                <w:szCs w:val="24"/>
              </w:rPr>
            </w:pPr>
          </w:p>
        </w:tc>
        <w:tc>
          <w:tcPr>
            <w:tcW w:w="2610" w:type="dxa"/>
            <w:tcBorders>
              <w:top w:val="nil"/>
              <w:left w:val="nil"/>
              <w:bottom w:val="nil"/>
              <w:right w:val="nil"/>
            </w:tcBorders>
            <w:shd w:val="clear" w:color="auto" w:fill="auto"/>
            <w:noWrap/>
            <w:vAlign w:val="bottom"/>
            <w:hideMark/>
          </w:tcPr>
          <w:p w14:paraId="0A2930E3"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China</w:t>
            </w:r>
            <w:r w:rsidRPr="007915F2">
              <w:rPr>
                <w:rFonts w:ascii="Garamond" w:eastAsia="Times New Roman" w:hAnsi="Garamond"/>
                <w:color w:val="000000"/>
                <w:sz w:val="24"/>
                <w:szCs w:val="24"/>
                <w:vertAlign w:val="superscript"/>
              </w:rPr>
              <w:t>*</w:t>
            </w:r>
          </w:p>
        </w:tc>
        <w:tc>
          <w:tcPr>
            <w:tcW w:w="1339" w:type="dxa"/>
            <w:tcBorders>
              <w:top w:val="nil"/>
              <w:left w:val="nil"/>
              <w:bottom w:val="nil"/>
              <w:right w:val="nil"/>
            </w:tcBorders>
            <w:shd w:val="clear" w:color="auto" w:fill="auto"/>
            <w:noWrap/>
            <w:vAlign w:val="bottom"/>
            <w:hideMark/>
          </w:tcPr>
          <w:p w14:paraId="69452517"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22752</w:t>
            </w:r>
          </w:p>
        </w:tc>
      </w:tr>
      <w:tr w:rsidR="00273B0B" w:rsidRPr="007915F2" w14:paraId="411C2819" w14:textId="77777777" w:rsidTr="00245E38">
        <w:trPr>
          <w:trHeight w:val="360"/>
        </w:trPr>
        <w:tc>
          <w:tcPr>
            <w:tcW w:w="4320" w:type="dxa"/>
            <w:tcBorders>
              <w:top w:val="nil"/>
              <w:left w:val="nil"/>
              <w:bottom w:val="nil"/>
              <w:right w:val="nil"/>
            </w:tcBorders>
            <w:shd w:val="clear" w:color="auto" w:fill="auto"/>
            <w:noWrap/>
            <w:vAlign w:val="bottom"/>
            <w:hideMark/>
          </w:tcPr>
          <w:p w14:paraId="2EF91E41"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Semiconductors and Related Devices</w:t>
            </w:r>
          </w:p>
        </w:tc>
        <w:tc>
          <w:tcPr>
            <w:tcW w:w="1080" w:type="dxa"/>
            <w:tcBorders>
              <w:top w:val="nil"/>
              <w:left w:val="nil"/>
              <w:bottom w:val="nil"/>
              <w:right w:val="nil"/>
            </w:tcBorders>
            <w:shd w:val="clear" w:color="auto" w:fill="auto"/>
            <w:noWrap/>
            <w:vAlign w:val="bottom"/>
            <w:hideMark/>
          </w:tcPr>
          <w:p w14:paraId="260A639B"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8740</w:t>
            </w:r>
          </w:p>
        </w:tc>
        <w:tc>
          <w:tcPr>
            <w:tcW w:w="270" w:type="dxa"/>
            <w:tcBorders>
              <w:top w:val="nil"/>
              <w:left w:val="nil"/>
              <w:bottom w:val="nil"/>
              <w:right w:val="nil"/>
            </w:tcBorders>
            <w:shd w:val="clear" w:color="auto" w:fill="auto"/>
            <w:noWrap/>
            <w:vAlign w:val="bottom"/>
            <w:hideMark/>
          </w:tcPr>
          <w:p w14:paraId="779BE96D" w14:textId="77777777" w:rsidR="00273B0B" w:rsidRPr="007915F2" w:rsidRDefault="00273B0B" w:rsidP="000E764B">
            <w:pPr>
              <w:spacing w:after="0" w:line="240" w:lineRule="auto"/>
              <w:rPr>
                <w:rFonts w:ascii="Garamond" w:eastAsia="Times New Roman" w:hAnsi="Garamond"/>
                <w:color w:val="000000"/>
                <w:sz w:val="24"/>
                <w:szCs w:val="24"/>
              </w:rPr>
            </w:pPr>
          </w:p>
        </w:tc>
        <w:tc>
          <w:tcPr>
            <w:tcW w:w="2610" w:type="dxa"/>
            <w:tcBorders>
              <w:top w:val="nil"/>
              <w:left w:val="nil"/>
              <w:bottom w:val="nil"/>
              <w:right w:val="nil"/>
            </w:tcBorders>
            <w:shd w:val="clear" w:color="auto" w:fill="auto"/>
            <w:noWrap/>
            <w:vAlign w:val="bottom"/>
            <w:hideMark/>
          </w:tcPr>
          <w:p w14:paraId="3356FCAD"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Japan</w:t>
            </w:r>
          </w:p>
        </w:tc>
        <w:tc>
          <w:tcPr>
            <w:tcW w:w="1339" w:type="dxa"/>
            <w:tcBorders>
              <w:top w:val="nil"/>
              <w:left w:val="nil"/>
              <w:bottom w:val="nil"/>
              <w:right w:val="nil"/>
            </w:tcBorders>
            <w:shd w:val="clear" w:color="auto" w:fill="auto"/>
            <w:noWrap/>
            <w:vAlign w:val="bottom"/>
            <w:hideMark/>
          </w:tcPr>
          <w:p w14:paraId="2B2838EA"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19709</w:t>
            </w:r>
          </w:p>
        </w:tc>
      </w:tr>
      <w:tr w:rsidR="00273B0B" w:rsidRPr="007915F2" w14:paraId="00B2E84D" w14:textId="77777777" w:rsidTr="00245E38">
        <w:trPr>
          <w:trHeight w:val="360"/>
        </w:trPr>
        <w:tc>
          <w:tcPr>
            <w:tcW w:w="4320" w:type="dxa"/>
            <w:tcBorders>
              <w:top w:val="nil"/>
              <w:left w:val="nil"/>
              <w:bottom w:val="nil"/>
              <w:right w:val="nil"/>
            </w:tcBorders>
            <w:shd w:val="clear" w:color="auto" w:fill="auto"/>
            <w:noWrap/>
            <w:vAlign w:val="bottom"/>
            <w:hideMark/>
          </w:tcPr>
          <w:p w14:paraId="703B1EAC"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Prepackaged Software</w:t>
            </w:r>
          </w:p>
        </w:tc>
        <w:tc>
          <w:tcPr>
            <w:tcW w:w="1080" w:type="dxa"/>
            <w:tcBorders>
              <w:top w:val="nil"/>
              <w:left w:val="nil"/>
              <w:bottom w:val="nil"/>
              <w:right w:val="nil"/>
            </w:tcBorders>
            <w:shd w:val="clear" w:color="auto" w:fill="auto"/>
            <w:noWrap/>
            <w:vAlign w:val="bottom"/>
            <w:hideMark/>
          </w:tcPr>
          <w:p w14:paraId="2714934A"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8246</w:t>
            </w:r>
          </w:p>
        </w:tc>
        <w:tc>
          <w:tcPr>
            <w:tcW w:w="270" w:type="dxa"/>
            <w:tcBorders>
              <w:top w:val="nil"/>
              <w:left w:val="nil"/>
              <w:bottom w:val="nil"/>
              <w:right w:val="nil"/>
            </w:tcBorders>
            <w:shd w:val="clear" w:color="auto" w:fill="auto"/>
            <w:noWrap/>
            <w:vAlign w:val="bottom"/>
            <w:hideMark/>
          </w:tcPr>
          <w:p w14:paraId="5B633973" w14:textId="77777777" w:rsidR="00273B0B" w:rsidRPr="007915F2" w:rsidRDefault="00273B0B" w:rsidP="000E764B">
            <w:pPr>
              <w:spacing w:after="0" w:line="240" w:lineRule="auto"/>
              <w:rPr>
                <w:rFonts w:ascii="Garamond" w:eastAsia="Times New Roman" w:hAnsi="Garamond"/>
                <w:color w:val="000000"/>
                <w:sz w:val="24"/>
                <w:szCs w:val="24"/>
              </w:rPr>
            </w:pPr>
          </w:p>
        </w:tc>
        <w:tc>
          <w:tcPr>
            <w:tcW w:w="2610" w:type="dxa"/>
            <w:tcBorders>
              <w:top w:val="nil"/>
              <w:left w:val="nil"/>
              <w:bottom w:val="nil"/>
              <w:right w:val="nil"/>
            </w:tcBorders>
            <w:shd w:val="clear" w:color="auto" w:fill="auto"/>
            <w:noWrap/>
            <w:vAlign w:val="bottom"/>
            <w:hideMark/>
          </w:tcPr>
          <w:p w14:paraId="089FDA21"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India</w:t>
            </w:r>
          </w:p>
        </w:tc>
        <w:tc>
          <w:tcPr>
            <w:tcW w:w="1339" w:type="dxa"/>
            <w:tcBorders>
              <w:top w:val="nil"/>
              <w:left w:val="nil"/>
              <w:bottom w:val="nil"/>
              <w:right w:val="nil"/>
            </w:tcBorders>
            <w:shd w:val="clear" w:color="auto" w:fill="auto"/>
            <w:noWrap/>
            <w:vAlign w:val="bottom"/>
            <w:hideMark/>
          </w:tcPr>
          <w:p w14:paraId="777FE64C"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10844</w:t>
            </w:r>
          </w:p>
        </w:tc>
      </w:tr>
      <w:tr w:rsidR="00273B0B" w:rsidRPr="007915F2" w14:paraId="6C2640F7" w14:textId="77777777" w:rsidTr="00245E38">
        <w:trPr>
          <w:trHeight w:val="360"/>
        </w:trPr>
        <w:tc>
          <w:tcPr>
            <w:tcW w:w="4320" w:type="dxa"/>
            <w:tcBorders>
              <w:top w:val="nil"/>
              <w:left w:val="nil"/>
              <w:right w:val="nil"/>
            </w:tcBorders>
            <w:shd w:val="clear" w:color="auto" w:fill="auto"/>
            <w:noWrap/>
            <w:vAlign w:val="bottom"/>
            <w:hideMark/>
          </w:tcPr>
          <w:p w14:paraId="6A867AA8"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Motor Vehicle Parts and Accessories</w:t>
            </w:r>
          </w:p>
        </w:tc>
        <w:tc>
          <w:tcPr>
            <w:tcW w:w="1080" w:type="dxa"/>
            <w:tcBorders>
              <w:top w:val="nil"/>
              <w:left w:val="nil"/>
              <w:right w:val="nil"/>
            </w:tcBorders>
            <w:shd w:val="clear" w:color="auto" w:fill="auto"/>
            <w:noWrap/>
            <w:vAlign w:val="bottom"/>
            <w:hideMark/>
          </w:tcPr>
          <w:p w14:paraId="441C7113"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6363</w:t>
            </w:r>
          </w:p>
        </w:tc>
        <w:tc>
          <w:tcPr>
            <w:tcW w:w="270" w:type="dxa"/>
            <w:tcBorders>
              <w:top w:val="nil"/>
              <w:left w:val="nil"/>
              <w:right w:val="nil"/>
            </w:tcBorders>
            <w:shd w:val="clear" w:color="auto" w:fill="auto"/>
            <w:noWrap/>
            <w:vAlign w:val="bottom"/>
            <w:hideMark/>
          </w:tcPr>
          <w:p w14:paraId="122AB661" w14:textId="77777777" w:rsidR="00273B0B" w:rsidRPr="007915F2" w:rsidRDefault="00273B0B" w:rsidP="000E764B">
            <w:pPr>
              <w:spacing w:after="0" w:line="240" w:lineRule="auto"/>
              <w:rPr>
                <w:rFonts w:ascii="Garamond" w:eastAsia="Times New Roman" w:hAnsi="Garamond"/>
                <w:color w:val="000000"/>
                <w:sz w:val="24"/>
                <w:szCs w:val="24"/>
              </w:rPr>
            </w:pPr>
          </w:p>
        </w:tc>
        <w:tc>
          <w:tcPr>
            <w:tcW w:w="2610" w:type="dxa"/>
            <w:tcBorders>
              <w:top w:val="nil"/>
              <w:left w:val="nil"/>
              <w:right w:val="nil"/>
            </w:tcBorders>
            <w:shd w:val="clear" w:color="auto" w:fill="auto"/>
            <w:noWrap/>
            <w:vAlign w:val="bottom"/>
            <w:hideMark/>
          </w:tcPr>
          <w:p w14:paraId="0BA35DDD"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South Korea</w:t>
            </w:r>
          </w:p>
        </w:tc>
        <w:tc>
          <w:tcPr>
            <w:tcW w:w="1339" w:type="dxa"/>
            <w:tcBorders>
              <w:top w:val="nil"/>
              <w:left w:val="nil"/>
              <w:right w:val="nil"/>
            </w:tcBorders>
            <w:shd w:val="clear" w:color="auto" w:fill="auto"/>
            <w:noWrap/>
            <w:vAlign w:val="bottom"/>
            <w:hideMark/>
          </w:tcPr>
          <w:p w14:paraId="1554AAB9"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8112</w:t>
            </w:r>
          </w:p>
        </w:tc>
      </w:tr>
      <w:tr w:rsidR="00273B0B" w:rsidRPr="007915F2" w14:paraId="536F9BC3" w14:textId="77777777" w:rsidTr="00245E38">
        <w:trPr>
          <w:trHeight w:val="360"/>
        </w:trPr>
        <w:tc>
          <w:tcPr>
            <w:tcW w:w="4320" w:type="dxa"/>
            <w:tcBorders>
              <w:top w:val="nil"/>
              <w:left w:val="nil"/>
              <w:bottom w:val="single" w:sz="4" w:space="0" w:color="auto"/>
              <w:right w:val="nil"/>
            </w:tcBorders>
            <w:shd w:val="clear" w:color="auto" w:fill="auto"/>
            <w:noWrap/>
            <w:vAlign w:val="bottom"/>
            <w:hideMark/>
          </w:tcPr>
          <w:p w14:paraId="129721B2"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Pharmaceautical Preparations</w:t>
            </w:r>
          </w:p>
        </w:tc>
        <w:tc>
          <w:tcPr>
            <w:tcW w:w="1080" w:type="dxa"/>
            <w:tcBorders>
              <w:top w:val="nil"/>
              <w:left w:val="nil"/>
              <w:bottom w:val="single" w:sz="4" w:space="0" w:color="auto"/>
              <w:right w:val="nil"/>
            </w:tcBorders>
            <w:shd w:val="clear" w:color="auto" w:fill="auto"/>
            <w:noWrap/>
            <w:vAlign w:val="bottom"/>
            <w:hideMark/>
          </w:tcPr>
          <w:p w14:paraId="4AF454BF"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5513</w:t>
            </w:r>
          </w:p>
        </w:tc>
        <w:tc>
          <w:tcPr>
            <w:tcW w:w="270" w:type="dxa"/>
            <w:tcBorders>
              <w:top w:val="nil"/>
              <w:left w:val="nil"/>
              <w:bottom w:val="single" w:sz="4" w:space="0" w:color="auto"/>
              <w:right w:val="nil"/>
            </w:tcBorders>
            <w:shd w:val="clear" w:color="auto" w:fill="auto"/>
            <w:noWrap/>
            <w:vAlign w:val="bottom"/>
            <w:hideMark/>
          </w:tcPr>
          <w:p w14:paraId="1A640E3D" w14:textId="77777777" w:rsidR="00273B0B" w:rsidRPr="007915F2" w:rsidRDefault="00273B0B" w:rsidP="000E764B">
            <w:pPr>
              <w:spacing w:after="0" w:line="240" w:lineRule="auto"/>
              <w:rPr>
                <w:rFonts w:ascii="Garamond" w:eastAsia="Times New Roman" w:hAnsi="Garamond"/>
                <w:color w:val="000000"/>
                <w:sz w:val="24"/>
                <w:szCs w:val="24"/>
              </w:rPr>
            </w:pPr>
          </w:p>
        </w:tc>
        <w:tc>
          <w:tcPr>
            <w:tcW w:w="2610" w:type="dxa"/>
            <w:tcBorders>
              <w:top w:val="nil"/>
              <w:left w:val="nil"/>
              <w:bottom w:val="single" w:sz="4" w:space="0" w:color="auto"/>
              <w:right w:val="nil"/>
            </w:tcBorders>
            <w:shd w:val="clear" w:color="auto" w:fill="auto"/>
            <w:noWrap/>
            <w:vAlign w:val="bottom"/>
            <w:hideMark/>
          </w:tcPr>
          <w:p w14:paraId="0B82EE64"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Germany</w:t>
            </w:r>
          </w:p>
        </w:tc>
        <w:tc>
          <w:tcPr>
            <w:tcW w:w="1339" w:type="dxa"/>
            <w:tcBorders>
              <w:top w:val="nil"/>
              <w:left w:val="nil"/>
              <w:bottom w:val="single" w:sz="4" w:space="0" w:color="auto"/>
              <w:right w:val="nil"/>
            </w:tcBorders>
            <w:shd w:val="clear" w:color="auto" w:fill="auto"/>
            <w:noWrap/>
            <w:vAlign w:val="bottom"/>
            <w:hideMark/>
          </w:tcPr>
          <w:p w14:paraId="39001698"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6992</w:t>
            </w:r>
          </w:p>
        </w:tc>
      </w:tr>
      <w:tr w:rsidR="00273B0B" w:rsidRPr="007915F2" w14:paraId="757C0A1D" w14:textId="77777777" w:rsidTr="00245E38">
        <w:trPr>
          <w:trHeight w:val="360"/>
        </w:trPr>
        <w:tc>
          <w:tcPr>
            <w:tcW w:w="4320" w:type="dxa"/>
            <w:tcBorders>
              <w:top w:val="single" w:sz="4" w:space="0" w:color="auto"/>
              <w:left w:val="nil"/>
              <w:bottom w:val="nil"/>
              <w:right w:val="nil"/>
            </w:tcBorders>
            <w:shd w:val="clear" w:color="auto" w:fill="auto"/>
            <w:noWrap/>
            <w:vAlign w:val="bottom"/>
            <w:hideMark/>
          </w:tcPr>
          <w:p w14:paraId="7BB759CF"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Total</w:t>
            </w:r>
          </w:p>
        </w:tc>
        <w:tc>
          <w:tcPr>
            <w:tcW w:w="1080" w:type="dxa"/>
            <w:tcBorders>
              <w:top w:val="single" w:sz="4" w:space="0" w:color="auto"/>
              <w:left w:val="nil"/>
              <w:bottom w:val="nil"/>
              <w:right w:val="nil"/>
            </w:tcBorders>
            <w:shd w:val="clear" w:color="auto" w:fill="auto"/>
            <w:noWrap/>
            <w:vAlign w:val="bottom"/>
            <w:hideMark/>
          </w:tcPr>
          <w:p w14:paraId="43FD4F76"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48646</w:t>
            </w:r>
          </w:p>
        </w:tc>
        <w:tc>
          <w:tcPr>
            <w:tcW w:w="270" w:type="dxa"/>
            <w:tcBorders>
              <w:top w:val="single" w:sz="4" w:space="0" w:color="auto"/>
              <w:left w:val="nil"/>
              <w:bottom w:val="nil"/>
              <w:right w:val="nil"/>
            </w:tcBorders>
            <w:shd w:val="clear" w:color="auto" w:fill="auto"/>
            <w:noWrap/>
            <w:vAlign w:val="bottom"/>
            <w:hideMark/>
          </w:tcPr>
          <w:p w14:paraId="67DE460B" w14:textId="77777777" w:rsidR="00273B0B" w:rsidRPr="007915F2" w:rsidRDefault="00273B0B" w:rsidP="000E764B">
            <w:pPr>
              <w:spacing w:after="0" w:line="240" w:lineRule="auto"/>
              <w:rPr>
                <w:rFonts w:ascii="Garamond" w:eastAsia="Times New Roman" w:hAnsi="Garamond"/>
                <w:color w:val="000000"/>
                <w:sz w:val="24"/>
                <w:szCs w:val="24"/>
              </w:rPr>
            </w:pPr>
          </w:p>
        </w:tc>
        <w:tc>
          <w:tcPr>
            <w:tcW w:w="2610" w:type="dxa"/>
            <w:tcBorders>
              <w:top w:val="single" w:sz="4" w:space="0" w:color="auto"/>
              <w:left w:val="nil"/>
              <w:bottom w:val="nil"/>
              <w:right w:val="nil"/>
            </w:tcBorders>
            <w:shd w:val="clear" w:color="auto" w:fill="auto"/>
            <w:noWrap/>
            <w:vAlign w:val="bottom"/>
            <w:hideMark/>
          </w:tcPr>
          <w:p w14:paraId="55320E94"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Total</w:t>
            </w:r>
          </w:p>
        </w:tc>
        <w:tc>
          <w:tcPr>
            <w:tcW w:w="1339" w:type="dxa"/>
            <w:tcBorders>
              <w:top w:val="single" w:sz="4" w:space="0" w:color="auto"/>
              <w:left w:val="nil"/>
              <w:bottom w:val="nil"/>
              <w:right w:val="nil"/>
            </w:tcBorders>
            <w:shd w:val="clear" w:color="auto" w:fill="auto"/>
            <w:noWrap/>
            <w:vAlign w:val="bottom"/>
            <w:hideMark/>
          </w:tcPr>
          <w:p w14:paraId="7C6623E5" w14:textId="77777777" w:rsidR="00273B0B" w:rsidRPr="007915F2" w:rsidRDefault="00273B0B" w:rsidP="000E764B">
            <w:pPr>
              <w:spacing w:after="0" w:line="240" w:lineRule="auto"/>
              <w:jc w:val="right"/>
              <w:rPr>
                <w:rFonts w:ascii="Garamond" w:eastAsia="Times New Roman" w:hAnsi="Garamond"/>
                <w:color w:val="000000"/>
                <w:sz w:val="24"/>
                <w:szCs w:val="24"/>
              </w:rPr>
            </w:pPr>
            <w:r w:rsidRPr="007915F2">
              <w:rPr>
                <w:rFonts w:ascii="Garamond" w:eastAsia="Times New Roman" w:hAnsi="Garamond"/>
                <w:color w:val="000000"/>
                <w:sz w:val="24"/>
                <w:szCs w:val="24"/>
              </w:rPr>
              <w:t>120517</w:t>
            </w:r>
          </w:p>
        </w:tc>
      </w:tr>
      <w:tr w:rsidR="00273B0B" w:rsidRPr="007915F2" w14:paraId="6A858AD7" w14:textId="77777777" w:rsidTr="00245E38">
        <w:trPr>
          <w:trHeight w:val="360"/>
        </w:trPr>
        <w:tc>
          <w:tcPr>
            <w:tcW w:w="4320" w:type="dxa"/>
            <w:tcBorders>
              <w:top w:val="nil"/>
              <w:left w:val="nil"/>
              <w:bottom w:val="nil"/>
              <w:right w:val="nil"/>
            </w:tcBorders>
            <w:shd w:val="clear" w:color="auto" w:fill="auto"/>
            <w:noWrap/>
            <w:vAlign w:val="bottom"/>
            <w:hideMark/>
          </w:tcPr>
          <w:p w14:paraId="329CF98A" w14:textId="77777777" w:rsidR="00273B0B" w:rsidRPr="007915F2" w:rsidRDefault="00273B0B" w:rsidP="000E764B">
            <w:pPr>
              <w:spacing w:after="0" w:line="240" w:lineRule="auto"/>
              <w:rPr>
                <w:rFonts w:ascii="Garamond" w:eastAsia="Times New Roman" w:hAnsi="Garamond"/>
                <w:color w:val="000000"/>
                <w:sz w:val="24"/>
                <w:szCs w:val="24"/>
              </w:rPr>
            </w:pPr>
          </w:p>
        </w:tc>
        <w:tc>
          <w:tcPr>
            <w:tcW w:w="1080" w:type="dxa"/>
            <w:tcBorders>
              <w:top w:val="nil"/>
              <w:left w:val="nil"/>
              <w:bottom w:val="nil"/>
              <w:right w:val="nil"/>
            </w:tcBorders>
            <w:shd w:val="clear" w:color="auto" w:fill="auto"/>
            <w:noWrap/>
            <w:vAlign w:val="bottom"/>
            <w:hideMark/>
          </w:tcPr>
          <w:p w14:paraId="4B1DF87A" w14:textId="77777777" w:rsidR="00273B0B" w:rsidRPr="007915F2" w:rsidRDefault="00273B0B" w:rsidP="000E764B">
            <w:pPr>
              <w:spacing w:after="0" w:line="240" w:lineRule="auto"/>
              <w:rPr>
                <w:rFonts w:ascii="Garamond" w:eastAsia="Times New Roman" w:hAnsi="Garamond"/>
                <w:color w:val="000000"/>
                <w:sz w:val="24"/>
                <w:szCs w:val="24"/>
              </w:rPr>
            </w:pPr>
          </w:p>
        </w:tc>
        <w:tc>
          <w:tcPr>
            <w:tcW w:w="270" w:type="dxa"/>
            <w:tcBorders>
              <w:top w:val="nil"/>
              <w:left w:val="nil"/>
              <w:bottom w:val="nil"/>
              <w:right w:val="nil"/>
            </w:tcBorders>
            <w:shd w:val="clear" w:color="auto" w:fill="auto"/>
            <w:noWrap/>
            <w:vAlign w:val="bottom"/>
            <w:hideMark/>
          </w:tcPr>
          <w:p w14:paraId="57D235E3" w14:textId="77777777" w:rsidR="00273B0B" w:rsidRPr="007915F2" w:rsidRDefault="00273B0B" w:rsidP="000E764B">
            <w:pPr>
              <w:spacing w:after="0" w:line="240" w:lineRule="auto"/>
              <w:rPr>
                <w:rFonts w:ascii="Garamond" w:eastAsia="Times New Roman" w:hAnsi="Garamond"/>
                <w:color w:val="000000"/>
                <w:sz w:val="24"/>
                <w:szCs w:val="24"/>
              </w:rPr>
            </w:pPr>
          </w:p>
        </w:tc>
        <w:tc>
          <w:tcPr>
            <w:tcW w:w="2610" w:type="dxa"/>
            <w:tcBorders>
              <w:top w:val="nil"/>
              <w:left w:val="nil"/>
              <w:bottom w:val="nil"/>
              <w:right w:val="nil"/>
            </w:tcBorders>
            <w:shd w:val="clear" w:color="auto" w:fill="auto"/>
            <w:noWrap/>
            <w:vAlign w:val="bottom"/>
            <w:hideMark/>
          </w:tcPr>
          <w:p w14:paraId="366A2FF0" w14:textId="77777777" w:rsidR="00273B0B" w:rsidRPr="007915F2" w:rsidRDefault="00273B0B" w:rsidP="000E764B">
            <w:pPr>
              <w:spacing w:after="0" w:line="240" w:lineRule="auto"/>
              <w:rPr>
                <w:rFonts w:ascii="Garamond" w:eastAsia="Times New Roman" w:hAnsi="Garamond"/>
                <w:color w:val="000000"/>
                <w:sz w:val="24"/>
                <w:szCs w:val="24"/>
              </w:rPr>
            </w:pPr>
          </w:p>
        </w:tc>
        <w:tc>
          <w:tcPr>
            <w:tcW w:w="1339" w:type="dxa"/>
            <w:tcBorders>
              <w:top w:val="nil"/>
              <w:left w:val="nil"/>
              <w:bottom w:val="nil"/>
              <w:right w:val="nil"/>
            </w:tcBorders>
            <w:shd w:val="clear" w:color="auto" w:fill="auto"/>
            <w:noWrap/>
            <w:vAlign w:val="bottom"/>
            <w:hideMark/>
          </w:tcPr>
          <w:p w14:paraId="22BDE84D" w14:textId="77777777" w:rsidR="00273B0B" w:rsidRPr="007915F2" w:rsidRDefault="00273B0B" w:rsidP="000E764B">
            <w:pPr>
              <w:spacing w:after="0" w:line="240" w:lineRule="auto"/>
              <w:rPr>
                <w:rFonts w:ascii="Garamond" w:eastAsia="Times New Roman" w:hAnsi="Garamond"/>
                <w:color w:val="000000"/>
                <w:sz w:val="24"/>
                <w:szCs w:val="24"/>
              </w:rPr>
            </w:pPr>
          </w:p>
        </w:tc>
      </w:tr>
      <w:tr w:rsidR="00273B0B" w:rsidRPr="007915F2" w14:paraId="5FCB034B" w14:textId="77777777" w:rsidTr="00245E38">
        <w:trPr>
          <w:trHeight w:val="408"/>
        </w:trPr>
        <w:tc>
          <w:tcPr>
            <w:tcW w:w="9617" w:type="dxa"/>
            <w:gridSpan w:val="5"/>
            <w:tcBorders>
              <w:top w:val="nil"/>
              <w:left w:val="nil"/>
              <w:bottom w:val="nil"/>
              <w:right w:val="nil"/>
            </w:tcBorders>
            <w:shd w:val="clear" w:color="auto" w:fill="auto"/>
            <w:noWrap/>
            <w:vAlign w:val="bottom"/>
            <w:hideMark/>
          </w:tcPr>
          <w:p w14:paraId="202C5524" w14:textId="77777777" w:rsidR="00273B0B" w:rsidRPr="007915F2" w:rsidRDefault="00273B0B" w:rsidP="000E764B">
            <w:pPr>
              <w:spacing w:after="0" w:line="240" w:lineRule="auto"/>
              <w:rPr>
                <w:rFonts w:ascii="Garamond" w:eastAsia="Times New Roman" w:hAnsi="Garamond"/>
                <w:color w:val="000000"/>
                <w:sz w:val="24"/>
                <w:szCs w:val="24"/>
              </w:rPr>
            </w:pPr>
            <w:r w:rsidRPr="007915F2">
              <w:rPr>
                <w:rFonts w:ascii="Garamond" w:eastAsia="Times New Roman" w:hAnsi="Garamond"/>
                <w:color w:val="000000"/>
                <w:sz w:val="24"/>
                <w:szCs w:val="24"/>
              </w:rPr>
              <w:t xml:space="preserve"> </w:t>
            </w:r>
            <w:r w:rsidRPr="007915F2">
              <w:rPr>
                <w:rFonts w:ascii="Garamond" w:eastAsia="Times New Roman" w:hAnsi="Garamond"/>
                <w:color w:val="000000"/>
                <w:sz w:val="24"/>
                <w:szCs w:val="24"/>
                <w:vertAlign w:val="superscript"/>
              </w:rPr>
              <w:t>*</w:t>
            </w:r>
            <w:r w:rsidRPr="007915F2">
              <w:rPr>
                <w:rFonts w:ascii="Garamond" w:eastAsia="Times New Roman" w:hAnsi="Garamond"/>
                <w:color w:val="000000"/>
                <w:sz w:val="24"/>
                <w:szCs w:val="24"/>
              </w:rPr>
              <w:t>Includes Taiwan (9696 edges), and Hong Kong (1349 edges).</w:t>
            </w:r>
          </w:p>
        </w:tc>
      </w:tr>
    </w:tbl>
    <w:p w14:paraId="6D0B16C4" w14:textId="5AD1DA93" w:rsidR="004E37EE" w:rsidRPr="007915F2" w:rsidRDefault="00273B0B" w:rsidP="00D61CD6">
      <w:pPr>
        <w:spacing w:after="0" w:line="240" w:lineRule="auto"/>
        <w:jc w:val="center"/>
        <w:rPr>
          <w:rFonts w:ascii="Garamond" w:hAnsi="Garamond"/>
          <w:b/>
          <w:sz w:val="24"/>
          <w:szCs w:val="24"/>
        </w:rPr>
      </w:pPr>
      <w:r w:rsidRPr="007915F2">
        <w:rPr>
          <w:rFonts w:ascii="Garamond" w:hAnsi="Garamond"/>
          <w:b/>
          <w:sz w:val="24"/>
          <w:szCs w:val="24"/>
        </w:rPr>
        <w:t>Appendix 3</w:t>
      </w:r>
    </w:p>
    <w:p w14:paraId="5D755B75" w14:textId="77777777" w:rsidR="004E37EE" w:rsidRPr="007915F2" w:rsidRDefault="004E37EE" w:rsidP="00D61CD6">
      <w:pPr>
        <w:spacing w:after="0" w:line="240" w:lineRule="auto"/>
        <w:jc w:val="center"/>
        <w:rPr>
          <w:rFonts w:ascii="Garamond" w:hAnsi="Garamond"/>
          <w:b/>
          <w:sz w:val="24"/>
          <w:szCs w:val="24"/>
        </w:rPr>
      </w:pPr>
      <w:r w:rsidRPr="007915F2">
        <w:rPr>
          <w:rFonts w:ascii="Garamond" w:hAnsi="Garamond"/>
          <w:b/>
          <w:sz w:val="24"/>
          <w:szCs w:val="24"/>
        </w:rPr>
        <w:t>Robustness checks on alternative model specifications and variable definitions</w:t>
      </w:r>
    </w:p>
    <w:p w14:paraId="7A4273E3" w14:textId="77777777" w:rsidR="004E37EE" w:rsidRPr="007915F2" w:rsidRDefault="004E37EE" w:rsidP="00D61CD6">
      <w:pPr>
        <w:spacing w:after="0" w:line="240" w:lineRule="auto"/>
        <w:rPr>
          <w:rFonts w:ascii="Garamond" w:hAnsi="Garamond"/>
          <w:sz w:val="24"/>
          <w:szCs w:val="24"/>
        </w:rPr>
      </w:pPr>
    </w:p>
    <w:p w14:paraId="6264CA3E" w14:textId="77777777" w:rsidR="004E37EE" w:rsidRPr="007915F2" w:rsidRDefault="004E37EE" w:rsidP="00D61CD6">
      <w:pPr>
        <w:spacing w:after="0" w:line="240" w:lineRule="auto"/>
        <w:rPr>
          <w:rFonts w:ascii="Garamond" w:hAnsi="Garamond"/>
          <w:sz w:val="24"/>
          <w:szCs w:val="24"/>
        </w:rPr>
      </w:pPr>
      <w:r w:rsidRPr="007915F2">
        <w:rPr>
          <w:rFonts w:ascii="Garamond" w:hAnsi="Garamond"/>
          <w:sz w:val="24"/>
          <w:szCs w:val="24"/>
        </w:rPr>
        <w:t>All regressions include the same control variables as those used in Tables 3 through 6, but the coefficients on these control variables are not tabulated. The symbols ***, **, *, denote significance at the 1%, 5% and 10% levels, respectively.</w:t>
      </w:r>
    </w:p>
    <w:p w14:paraId="4FAF9340" w14:textId="77777777" w:rsidR="004E37EE" w:rsidRPr="007915F2" w:rsidRDefault="004E37EE" w:rsidP="00D61CD6">
      <w:pPr>
        <w:pBdr>
          <w:bottom w:val="single" w:sz="12" w:space="1" w:color="auto"/>
        </w:pBdr>
        <w:spacing w:after="0" w:line="240" w:lineRule="auto"/>
        <w:rPr>
          <w:rFonts w:ascii="Garamond" w:hAnsi="Garamond"/>
          <w:sz w:val="24"/>
          <w:szCs w:val="24"/>
        </w:rPr>
      </w:pPr>
    </w:p>
    <w:p w14:paraId="1DB0D937" w14:textId="77777777" w:rsidR="004E37EE" w:rsidRPr="007915F2" w:rsidRDefault="004E37EE" w:rsidP="00D61CD6">
      <w:pPr>
        <w:spacing w:after="0" w:line="240" w:lineRule="auto"/>
        <w:rPr>
          <w:rFonts w:ascii="Garamond" w:hAnsi="Garamond"/>
          <w:sz w:val="24"/>
          <w:szCs w:val="24"/>
        </w:rPr>
      </w:pPr>
    </w:p>
    <w:p w14:paraId="2489DA17" w14:textId="77777777" w:rsidR="004E37EE" w:rsidRPr="007915F2" w:rsidRDefault="004E37EE" w:rsidP="00D61CD6">
      <w:pPr>
        <w:spacing w:after="0" w:line="240" w:lineRule="auto"/>
        <w:rPr>
          <w:rFonts w:ascii="Garamond" w:hAnsi="Garamond"/>
          <w:b/>
          <w:sz w:val="24"/>
          <w:szCs w:val="24"/>
        </w:rPr>
      </w:pPr>
      <w:r w:rsidRPr="007915F2">
        <w:rPr>
          <w:rFonts w:ascii="Garamond" w:hAnsi="Garamond"/>
          <w:b/>
          <w:sz w:val="24"/>
          <w:szCs w:val="24"/>
        </w:rPr>
        <w:t>Part I:  Using firm's average accounting return (replication of results of Table 3)</w:t>
      </w:r>
    </w:p>
    <w:p w14:paraId="5780664B" w14:textId="77777777" w:rsidR="004E37EE" w:rsidRPr="007915F2" w:rsidRDefault="004E37EE" w:rsidP="00D61CD6">
      <w:pPr>
        <w:spacing w:after="0" w:line="240" w:lineRule="auto"/>
        <w:rPr>
          <w:rFonts w:ascii="Garamond" w:hAnsi="Garamond"/>
          <w:sz w:val="24"/>
          <w:szCs w:val="24"/>
        </w:rPr>
      </w:pPr>
    </w:p>
    <w:p w14:paraId="73E11F17" w14:textId="77777777" w:rsidR="004E37EE" w:rsidRPr="007915F2" w:rsidRDefault="004E37EE" w:rsidP="00D61CD6">
      <w:pPr>
        <w:numPr>
          <w:ilvl w:val="0"/>
          <w:numId w:val="1"/>
        </w:numPr>
        <w:spacing w:after="0" w:line="240" w:lineRule="auto"/>
        <w:ind w:left="360"/>
        <w:rPr>
          <w:rFonts w:ascii="Garamond" w:hAnsi="Garamond"/>
          <w:sz w:val="24"/>
          <w:szCs w:val="24"/>
        </w:rPr>
      </w:pPr>
      <w:r w:rsidRPr="007915F2">
        <w:rPr>
          <w:rFonts w:ascii="Garamond" w:hAnsi="Garamond"/>
          <w:sz w:val="24"/>
          <w:szCs w:val="24"/>
        </w:rPr>
        <w:t>Using Return on Capital (</w:t>
      </w:r>
      <w:r w:rsidRPr="007915F2">
        <w:rPr>
          <w:rFonts w:ascii="Garamond" w:hAnsi="Garamond"/>
          <w:i/>
          <w:sz w:val="24"/>
          <w:szCs w:val="24"/>
        </w:rPr>
        <w:t>ROC</w:t>
      </w:r>
      <w:r w:rsidRPr="007915F2">
        <w:rPr>
          <w:rFonts w:ascii="Garamond" w:hAnsi="Garamond"/>
          <w:sz w:val="24"/>
          <w:szCs w:val="24"/>
        </w:rPr>
        <w:t xml:space="preserve">) instead of </w:t>
      </w:r>
      <w:r w:rsidRPr="007915F2">
        <w:rPr>
          <w:rFonts w:ascii="Garamond" w:hAnsi="Garamond"/>
          <w:i/>
          <w:sz w:val="24"/>
          <w:szCs w:val="24"/>
        </w:rPr>
        <w:t>ROE</w:t>
      </w:r>
      <w:r w:rsidRPr="007915F2">
        <w:rPr>
          <w:rFonts w:ascii="Garamond" w:hAnsi="Garamond"/>
          <w:sz w:val="24"/>
          <w:szCs w:val="24"/>
        </w:rPr>
        <w:t xml:space="preserve"> as a measure of accounting return (N=2,826).</w:t>
      </w:r>
    </w:p>
    <w:p w14:paraId="1E729903" w14:textId="77777777" w:rsidR="004E37EE" w:rsidRPr="007915F2" w:rsidRDefault="004E37EE" w:rsidP="00D61CD6">
      <w:pPr>
        <w:tabs>
          <w:tab w:val="left" w:pos="1800"/>
          <w:tab w:val="left" w:pos="2880"/>
          <w:tab w:val="left" w:pos="4140"/>
          <w:tab w:val="left" w:pos="5220"/>
          <w:tab w:val="left" w:pos="7020"/>
        </w:tabs>
        <w:spacing w:after="0" w:line="240" w:lineRule="auto"/>
        <w:rPr>
          <w:rFonts w:ascii="Garamond" w:hAnsi="Garamond"/>
          <w:i/>
          <w:iCs/>
          <w:sz w:val="24"/>
          <w:szCs w:val="24"/>
        </w:rPr>
      </w:pPr>
      <w:r w:rsidRPr="007915F2">
        <w:rPr>
          <w:rFonts w:ascii="Garamond" w:hAnsi="Garamond"/>
          <w:sz w:val="24"/>
          <w:szCs w:val="24"/>
        </w:rPr>
        <w:tab/>
      </w:r>
      <w:r w:rsidRPr="007915F2">
        <w:rPr>
          <w:rFonts w:ascii="Garamond" w:hAnsi="Garamond"/>
          <w:i/>
          <w:sz w:val="24"/>
          <w:szCs w:val="24"/>
        </w:rPr>
        <w:t xml:space="preserve">      </w:t>
      </w:r>
      <w:r w:rsidRPr="007915F2">
        <w:rPr>
          <w:rFonts w:ascii="Garamond" w:hAnsi="Garamond"/>
          <w:i/>
          <w:sz w:val="24"/>
          <w:szCs w:val="24"/>
        </w:rPr>
        <w:tab/>
        <w:t xml:space="preserve">  EIG</w:t>
      </w:r>
      <w:r w:rsidRPr="007915F2">
        <w:rPr>
          <w:rFonts w:ascii="Garamond" w:hAnsi="Garamond"/>
          <w:i/>
          <w:iCs/>
          <w:sz w:val="24"/>
          <w:szCs w:val="24"/>
        </w:rPr>
        <w:t xml:space="preserve">         </w:t>
      </w:r>
      <w:r w:rsidRPr="007915F2">
        <w:rPr>
          <w:rFonts w:ascii="Garamond" w:hAnsi="Garamond"/>
          <w:i/>
          <w:sz w:val="24"/>
          <w:szCs w:val="24"/>
        </w:rPr>
        <w:t xml:space="preserve">    ECC</w:t>
      </w:r>
      <w:r w:rsidRPr="007915F2">
        <w:rPr>
          <w:rFonts w:ascii="Garamond" w:hAnsi="Garamond"/>
          <w:i/>
          <w:sz w:val="24"/>
          <w:szCs w:val="24"/>
        </w:rPr>
        <w:tab/>
        <w:t xml:space="preserve">  </w:t>
      </w:r>
      <w:r w:rsidRPr="007915F2">
        <w:rPr>
          <w:rFonts w:ascii="Garamond" w:hAnsi="Garamond"/>
          <w:i/>
          <w:iCs/>
          <w:sz w:val="24"/>
          <w:szCs w:val="24"/>
        </w:rPr>
        <w:t>IDEG            ODEG          CSZ</w:t>
      </w:r>
    </w:p>
    <w:p w14:paraId="2D64D20C" w14:textId="77777777" w:rsidR="004E37EE" w:rsidRPr="007915F2" w:rsidRDefault="004E37EE" w:rsidP="00D61CD6">
      <w:pPr>
        <w:tabs>
          <w:tab w:val="left" w:pos="1800"/>
          <w:tab w:val="left" w:pos="2880"/>
          <w:tab w:val="left" w:pos="4140"/>
          <w:tab w:val="left" w:pos="5220"/>
          <w:tab w:val="left" w:pos="7020"/>
        </w:tabs>
        <w:spacing w:after="0" w:line="240" w:lineRule="auto"/>
        <w:rPr>
          <w:rFonts w:ascii="Garamond" w:hAnsi="Garamond"/>
          <w:sz w:val="24"/>
          <w:szCs w:val="24"/>
        </w:rPr>
      </w:pPr>
      <w:r w:rsidRPr="007915F2">
        <w:rPr>
          <w:rFonts w:ascii="Garamond" w:hAnsi="Garamond"/>
          <w:i/>
          <w:sz w:val="24"/>
          <w:szCs w:val="24"/>
        </w:rPr>
        <w:t xml:space="preserve">      Panel A</w:t>
      </w:r>
      <w:r w:rsidRPr="007915F2">
        <w:rPr>
          <w:rFonts w:ascii="Garamond" w:hAnsi="Garamond"/>
          <w:i/>
          <w:sz w:val="24"/>
          <w:szCs w:val="24"/>
        </w:rPr>
        <w:tab/>
      </w:r>
      <w:r w:rsidRPr="007915F2">
        <w:rPr>
          <w:rFonts w:ascii="Garamond" w:hAnsi="Garamond"/>
          <w:sz w:val="24"/>
          <w:szCs w:val="24"/>
        </w:rPr>
        <w:t xml:space="preserve">    </w:t>
      </w:r>
      <w:r w:rsidRPr="007915F2">
        <w:rPr>
          <w:rFonts w:ascii="Garamond" w:hAnsi="Garamond"/>
          <w:sz w:val="24"/>
          <w:szCs w:val="24"/>
        </w:rPr>
        <w:tab/>
        <w:t>17.258</w:t>
      </w:r>
      <w:r w:rsidRPr="007915F2">
        <w:rPr>
          <w:rFonts w:ascii="Garamond" w:hAnsi="Garamond"/>
          <w:sz w:val="24"/>
          <w:szCs w:val="24"/>
          <w:vertAlign w:val="superscript"/>
        </w:rPr>
        <w:t>*</w:t>
      </w:r>
      <w:r w:rsidRPr="007915F2">
        <w:rPr>
          <w:rFonts w:ascii="Garamond" w:hAnsi="Garamond"/>
          <w:sz w:val="24"/>
          <w:szCs w:val="24"/>
        </w:rPr>
        <w:t xml:space="preserve">        -0.928</w:t>
      </w:r>
      <w:r w:rsidRPr="007915F2">
        <w:rPr>
          <w:rFonts w:ascii="Garamond" w:hAnsi="Garamond"/>
          <w:sz w:val="24"/>
          <w:szCs w:val="24"/>
          <w:vertAlign w:val="superscript"/>
        </w:rPr>
        <w:t>***</w:t>
      </w:r>
      <w:r w:rsidRPr="007915F2">
        <w:rPr>
          <w:rFonts w:ascii="Garamond" w:hAnsi="Garamond"/>
          <w:sz w:val="24"/>
          <w:szCs w:val="24"/>
        </w:rPr>
        <w:tab/>
        <w:t xml:space="preserve">   0.041</w:t>
      </w:r>
      <w:r w:rsidRPr="007915F2">
        <w:rPr>
          <w:rFonts w:ascii="Garamond" w:hAnsi="Garamond"/>
          <w:sz w:val="24"/>
          <w:szCs w:val="24"/>
          <w:vertAlign w:val="superscript"/>
        </w:rPr>
        <w:t>**</w:t>
      </w:r>
      <w:r w:rsidRPr="007915F2">
        <w:rPr>
          <w:rFonts w:ascii="Garamond" w:hAnsi="Garamond"/>
          <w:sz w:val="24"/>
          <w:szCs w:val="24"/>
        </w:rPr>
        <w:t xml:space="preserve">          -0.076</w:t>
      </w:r>
      <w:r w:rsidRPr="007915F2">
        <w:rPr>
          <w:rFonts w:ascii="Garamond" w:hAnsi="Garamond"/>
          <w:sz w:val="24"/>
          <w:szCs w:val="24"/>
          <w:vertAlign w:val="superscript"/>
        </w:rPr>
        <w:t>**</w:t>
      </w:r>
      <w:r w:rsidRPr="007915F2">
        <w:rPr>
          <w:rFonts w:ascii="Garamond" w:hAnsi="Garamond"/>
          <w:sz w:val="24"/>
          <w:szCs w:val="24"/>
        </w:rPr>
        <w:t xml:space="preserve">        -0.001</w:t>
      </w:r>
      <w:r w:rsidRPr="007915F2">
        <w:rPr>
          <w:rFonts w:ascii="Garamond" w:hAnsi="Garamond"/>
          <w:sz w:val="24"/>
          <w:szCs w:val="24"/>
          <w:vertAlign w:val="superscript"/>
        </w:rPr>
        <w:t xml:space="preserve">** </w:t>
      </w:r>
    </w:p>
    <w:p w14:paraId="0FDAD48E"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rPr>
      </w:pPr>
      <w:r w:rsidRPr="007915F2">
        <w:rPr>
          <w:rFonts w:ascii="Garamond" w:hAnsi="Garamond"/>
          <w:sz w:val="24"/>
          <w:szCs w:val="24"/>
        </w:rPr>
        <w:tab/>
      </w:r>
      <w:r w:rsidRPr="007915F2">
        <w:rPr>
          <w:rFonts w:ascii="Garamond" w:hAnsi="Garamond"/>
          <w:i/>
          <w:sz w:val="24"/>
          <w:szCs w:val="24"/>
        </w:rPr>
        <w:t>Panel B</w:t>
      </w:r>
      <w:r w:rsidRPr="007915F2">
        <w:rPr>
          <w:rFonts w:ascii="Garamond" w:hAnsi="Garamond"/>
          <w:i/>
          <w:sz w:val="24"/>
          <w:szCs w:val="24"/>
        </w:rPr>
        <w:tab/>
      </w:r>
      <w:r w:rsidRPr="007915F2">
        <w:rPr>
          <w:rFonts w:ascii="Garamond" w:hAnsi="Garamond"/>
          <w:sz w:val="24"/>
          <w:szCs w:val="24"/>
        </w:rPr>
        <w:t xml:space="preserve">    </w:t>
      </w:r>
      <w:r w:rsidRPr="007915F2">
        <w:rPr>
          <w:rFonts w:ascii="Garamond" w:hAnsi="Garamond"/>
          <w:sz w:val="24"/>
          <w:szCs w:val="24"/>
        </w:rPr>
        <w:tab/>
        <w:t>15.449</w:t>
      </w:r>
      <w:r w:rsidRPr="007915F2">
        <w:rPr>
          <w:rFonts w:ascii="Garamond" w:hAnsi="Garamond"/>
          <w:sz w:val="24"/>
          <w:szCs w:val="24"/>
          <w:vertAlign w:val="superscript"/>
        </w:rPr>
        <w:t>*</w:t>
      </w:r>
      <w:r w:rsidRPr="007915F2">
        <w:rPr>
          <w:rFonts w:ascii="Garamond" w:hAnsi="Garamond"/>
          <w:sz w:val="24"/>
          <w:szCs w:val="24"/>
        </w:rPr>
        <w:t xml:space="preserve">        -0.878</w:t>
      </w:r>
      <w:r w:rsidRPr="007915F2">
        <w:rPr>
          <w:rFonts w:ascii="Garamond" w:hAnsi="Garamond"/>
          <w:sz w:val="24"/>
          <w:szCs w:val="24"/>
          <w:vertAlign w:val="superscript"/>
        </w:rPr>
        <w:t>***</w:t>
      </w:r>
      <w:r w:rsidRPr="007915F2">
        <w:rPr>
          <w:rFonts w:ascii="Garamond" w:hAnsi="Garamond"/>
          <w:sz w:val="24"/>
          <w:szCs w:val="24"/>
        </w:rPr>
        <w:tab/>
        <w:t xml:space="preserve">   0.067</w:t>
      </w:r>
      <w:r w:rsidRPr="007915F2">
        <w:rPr>
          <w:rFonts w:ascii="Garamond" w:hAnsi="Garamond"/>
          <w:sz w:val="24"/>
          <w:szCs w:val="24"/>
          <w:vertAlign w:val="superscript"/>
        </w:rPr>
        <w:t>***</w:t>
      </w:r>
      <w:r w:rsidRPr="007915F2">
        <w:rPr>
          <w:rFonts w:ascii="Garamond" w:hAnsi="Garamond"/>
          <w:sz w:val="24"/>
          <w:szCs w:val="24"/>
        </w:rPr>
        <w:t xml:space="preserve">         -0.082</w:t>
      </w:r>
      <w:r w:rsidRPr="007915F2">
        <w:rPr>
          <w:rFonts w:ascii="Garamond" w:hAnsi="Garamond"/>
          <w:sz w:val="24"/>
          <w:szCs w:val="24"/>
          <w:vertAlign w:val="superscript"/>
        </w:rPr>
        <w:t>**</w:t>
      </w:r>
      <w:r w:rsidRPr="007915F2">
        <w:rPr>
          <w:rFonts w:ascii="Garamond" w:hAnsi="Garamond"/>
          <w:sz w:val="24"/>
          <w:szCs w:val="24"/>
        </w:rPr>
        <w:t xml:space="preserve">        -0.001</w:t>
      </w:r>
      <w:r w:rsidRPr="007915F2">
        <w:rPr>
          <w:rFonts w:ascii="Garamond" w:hAnsi="Garamond"/>
          <w:sz w:val="24"/>
          <w:szCs w:val="24"/>
          <w:vertAlign w:val="superscript"/>
        </w:rPr>
        <w:t>**</w:t>
      </w:r>
    </w:p>
    <w:p w14:paraId="5918F5EB"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rPr>
      </w:pPr>
    </w:p>
    <w:p w14:paraId="2D9F2A43" w14:textId="77777777" w:rsidR="004E37EE" w:rsidRPr="007915F2" w:rsidRDefault="004E37EE" w:rsidP="00D61CD6">
      <w:pPr>
        <w:spacing w:after="0" w:line="240" w:lineRule="auto"/>
        <w:rPr>
          <w:rFonts w:ascii="Garamond" w:hAnsi="Garamond"/>
          <w:b/>
          <w:sz w:val="24"/>
          <w:szCs w:val="24"/>
        </w:rPr>
      </w:pPr>
    </w:p>
    <w:p w14:paraId="4E2529C6" w14:textId="77777777" w:rsidR="004E37EE" w:rsidRPr="007915F2" w:rsidRDefault="004E37EE" w:rsidP="00D61CD6">
      <w:pPr>
        <w:spacing w:after="0" w:line="240" w:lineRule="auto"/>
        <w:rPr>
          <w:rFonts w:ascii="Garamond" w:hAnsi="Garamond"/>
          <w:b/>
          <w:sz w:val="24"/>
          <w:szCs w:val="24"/>
        </w:rPr>
      </w:pPr>
      <w:r w:rsidRPr="007915F2">
        <w:rPr>
          <w:rFonts w:ascii="Garamond" w:hAnsi="Garamond"/>
          <w:b/>
          <w:sz w:val="24"/>
          <w:szCs w:val="24"/>
        </w:rPr>
        <w:t>Part II:  Using firm's average market return (replication of results of Table 4)</w:t>
      </w:r>
    </w:p>
    <w:p w14:paraId="02C07E2E"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rPr>
      </w:pPr>
    </w:p>
    <w:p w14:paraId="2DB557BF" w14:textId="77777777" w:rsidR="004E37EE" w:rsidRPr="007915F2" w:rsidRDefault="004E37EE" w:rsidP="00D61CD6">
      <w:pPr>
        <w:numPr>
          <w:ilvl w:val="0"/>
          <w:numId w:val="1"/>
        </w:numPr>
        <w:tabs>
          <w:tab w:val="left" w:pos="360"/>
          <w:tab w:val="left" w:pos="1800"/>
          <w:tab w:val="left" w:pos="2880"/>
          <w:tab w:val="left" w:pos="4140"/>
          <w:tab w:val="left" w:pos="5220"/>
          <w:tab w:val="left" w:pos="7020"/>
        </w:tabs>
        <w:spacing w:after="0" w:line="240" w:lineRule="auto"/>
        <w:ind w:left="360"/>
        <w:rPr>
          <w:rFonts w:ascii="Garamond" w:hAnsi="Garamond"/>
          <w:sz w:val="24"/>
          <w:szCs w:val="24"/>
        </w:rPr>
      </w:pPr>
      <w:r w:rsidRPr="007915F2">
        <w:rPr>
          <w:rFonts w:ascii="Garamond" w:hAnsi="Garamond"/>
          <w:sz w:val="24"/>
          <w:szCs w:val="24"/>
        </w:rPr>
        <w:t>Using stock return (</w:t>
      </w:r>
      <w:r w:rsidRPr="007915F2">
        <w:rPr>
          <w:rFonts w:ascii="Garamond" w:hAnsi="Garamond"/>
          <w:i/>
          <w:sz w:val="24"/>
          <w:szCs w:val="24"/>
        </w:rPr>
        <w:t>MKRTN</w:t>
      </w:r>
      <w:r w:rsidRPr="007915F2">
        <w:rPr>
          <w:rFonts w:ascii="Garamond" w:hAnsi="Garamond"/>
          <w:sz w:val="24"/>
          <w:szCs w:val="24"/>
        </w:rPr>
        <w:t>) instead of Tobin's Q (</w:t>
      </w:r>
      <w:r w:rsidRPr="007915F2">
        <w:rPr>
          <w:rFonts w:ascii="Garamond" w:hAnsi="Garamond"/>
          <w:i/>
          <w:sz w:val="24"/>
          <w:szCs w:val="24"/>
        </w:rPr>
        <w:t>TBQ</w:t>
      </w:r>
      <w:r w:rsidRPr="007915F2">
        <w:rPr>
          <w:rFonts w:ascii="Garamond" w:hAnsi="Garamond"/>
          <w:sz w:val="24"/>
          <w:szCs w:val="24"/>
        </w:rPr>
        <w:t>) as a measure of firm's market return (N=3,816).</w:t>
      </w:r>
    </w:p>
    <w:p w14:paraId="20F3F43C" w14:textId="77777777" w:rsidR="004E37EE" w:rsidRPr="007915F2" w:rsidRDefault="004E37EE" w:rsidP="00D61CD6">
      <w:pPr>
        <w:tabs>
          <w:tab w:val="left" w:pos="1800"/>
          <w:tab w:val="left" w:pos="2880"/>
          <w:tab w:val="left" w:pos="4140"/>
          <w:tab w:val="left" w:pos="5220"/>
          <w:tab w:val="left" w:pos="7020"/>
        </w:tabs>
        <w:spacing w:after="0" w:line="240" w:lineRule="auto"/>
        <w:rPr>
          <w:rFonts w:ascii="Garamond" w:hAnsi="Garamond"/>
          <w:i/>
          <w:iCs/>
          <w:sz w:val="24"/>
          <w:szCs w:val="24"/>
        </w:rPr>
      </w:pPr>
      <w:r w:rsidRPr="007915F2">
        <w:rPr>
          <w:rFonts w:ascii="Garamond" w:hAnsi="Garamond"/>
          <w:i/>
          <w:sz w:val="24"/>
          <w:szCs w:val="24"/>
        </w:rPr>
        <w:tab/>
      </w:r>
      <w:r w:rsidRPr="007915F2">
        <w:rPr>
          <w:rFonts w:ascii="Garamond" w:hAnsi="Garamond"/>
          <w:i/>
          <w:sz w:val="24"/>
          <w:szCs w:val="24"/>
        </w:rPr>
        <w:tab/>
        <w:t xml:space="preserve">  EIG</w:t>
      </w:r>
      <w:r w:rsidRPr="007915F2">
        <w:rPr>
          <w:rFonts w:ascii="Garamond" w:hAnsi="Garamond"/>
          <w:i/>
          <w:iCs/>
          <w:sz w:val="24"/>
          <w:szCs w:val="24"/>
        </w:rPr>
        <w:t xml:space="preserve">         </w:t>
      </w:r>
      <w:r w:rsidRPr="007915F2">
        <w:rPr>
          <w:rFonts w:ascii="Garamond" w:hAnsi="Garamond"/>
          <w:i/>
          <w:sz w:val="24"/>
          <w:szCs w:val="24"/>
        </w:rPr>
        <w:t xml:space="preserve">    ECC</w:t>
      </w:r>
      <w:r w:rsidRPr="007915F2">
        <w:rPr>
          <w:rFonts w:ascii="Garamond" w:hAnsi="Garamond"/>
          <w:i/>
          <w:sz w:val="24"/>
          <w:szCs w:val="24"/>
        </w:rPr>
        <w:tab/>
        <w:t xml:space="preserve">  </w:t>
      </w:r>
      <w:r w:rsidRPr="007915F2">
        <w:rPr>
          <w:rFonts w:ascii="Garamond" w:hAnsi="Garamond"/>
          <w:i/>
          <w:iCs/>
          <w:sz w:val="24"/>
          <w:szCs w:val="24"/>
        </w:rPr>
        <w:t>IDEG            ODEG          CSZ</w:t>
      </w:r>
    </w:p>
    <w:p w14:paraId="49ED74F8" w14:textId="77777777" w:rsidR="004E37EE" w:rsidRPr="007915F2" w:rsidRDefault="004E37EE" w:rsidP="00D61CD6">
      <w:pPr>
        <w:tabs>
          <w:tab w:val="left" w:pos="1800"/>
          <w:tab w:val="left" w:pos="2880"/>
          <w:tab w:val="left" w:pos="4140"/>
          <w:tab w:val="left" w:pos="5220"/>
          <w:tab w:val="left" w:pos="7020"/>
        </w:tabs>
        <w:spacing w:after="0" w:line="240" w:lineRule="auto"/>
        <w:rPr>
          <w:rFonts w:ascii="Garamond" w:hAnsi="Garamond"/>
          <w:sz w:val="24"/>
          <w:szCs w:val="24"/>
        </w:rPr>
      </w:pPr>
      <w:r w:rsidRPr="007915F2">
        <w:rPr>
          <w:rFonts w:ascii="Garamond" w:hAnsi="Garamond"/>
          <w:i/>
          <w:sz w:val="24"/>
          <w:szCs w:val="24"/>
        </w:rPr>
        <w:t xml:space="preserve">      Panel A</w:t>
      </w:r>
      <w:r w:rsidRPr="007915F2">
        <w:rPr>
          <w:rFonts w:ascii="Garamond" w:hAnsi="Garamond"/>
          <w:i/>
          <w:sz w:val="24"/>
          <w:szCs w:val="24"/>
        </w:rPr>
        <w:tab/>
      </w:r>
      <w:r w:rsidRPr="007915F2">
        <w:rPr>
          <w:rFonts w:ascii="Garamond" w:hAnsi="Garamond"/>
          <w:sz w:val="24"/>
          <w:szCs w:val="24"/>
        </w:rPr>
        <w:t xml:space="preserve">                     49.44</w:t>
      </w:r>
      <w:r w:rsidRPr="007915F2">
        <w:rPr>
          <w:rFonts w:ascii="Garamond" w:hAnsi="Garamond"/>
          <w:sz w:val="24"/>
          <w:szCs w:val="24"/>
          <w:vertAlign w:val="superscript"/>
        </w:rPr>
        <w:t>*</w:t>
      </w:r>
      <w:r w:rsidRPr="007915F2">
        <w:rPr>
          <w:rFonts w:ascii="Garamond" w:hAnsi="Garamond"/>
          <w:sz w:val="24"/>
          <w:szCs w:val="24"/>
        </w:rPr>
        <w:t xml:space="preserve">            0.638</w:t>
      </w:r>
      <w:r w:rsidRPr="007915F2">
        <w:rPr>
          <w:rFonts w:ascii="Garamond" w:hAnsi="Garamond"/>
          <w:sz w:val="24"/>
          <w:szCs w:val="24"/>
        </w:rPr>
        <w:tab/>
        <w:t xml:space="preserve">   0.035              0.075           0.000</w:t>
      </w:r>
    </w:p>
    <w:p w14:paraId="35AD1966"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rPr>
      </w:pPr>
      <w:r w:rsidRPr="007915F2">
        <w:rPr>
          <w:rFonts w:ascii="Garamond" w:hAnsi="Garamond"/>
          <w:sz w:val="24"/>
          <w:szCs w:val="24"/>
        </w:rPr>
        <w:tab/>
      </w:r>
      <w:r w:rsidRPr="007915F2">
        <w:rPr>
          <w:rFonts w:ascii="Garamond" w:hAnsi="Garamond"/>
          <w:i/>
          <w:sz w:val="24"/>
          <w:szCs w:val="24"/>
        </w:rPr>
        <w:t>Panel B</w:t>
      </w:r>
      <w:r w:rsidRPr="007915F2">
        <w:rPr>
          <w:rFonts w:ascii="Garamond" w:hAnsi="Garamond"/>
          <w:i/>
          <w:sz w:val="24"/>
          <w:szCs w:val="24"/>
        </w:rPr>
        <w:tab/>
      </w:r>
      <w:r w:rsidRPr="007915F2">
        <w:rPr>
          <w:rFonts w:ascii="Garamond" w:hAnsi="Garamond"/>
          <w:sz w:val="24"/>
          <w:szCs w:val="24"/>
        </w:rPr>
        <w:t xml:space="preserve">                   191.759</w:t>
      </w:r>
      <w:r w:rsidRPr="007915F2">
        <w:rPr>
          <w:rFonts w:ascii="Garamond" w:hAnsi="Garamond"/>
          <w:sz w:val="24"/>
          <w:szCs w:val="24"/>
          <w:vertAlign w:val="superscript"/>
        </w:rPr>
        <w:t>***</w:t>
      </w:r>
      <w:r w:rsidRPr="007915F2">
        <w:rPr>
          <w:rFonts w:ascii="Garamond" w:hAnsi="Garamond"/>
          <w:sz w:val="24"/>
          <w:szCs w:val="24"/>
        </w:rPr>
        <w:t xml:space="preserve">       -0.750</w:t>
      </w:r>
      <w:r w:rsidRPr="007915F2">
        <w:rPr>
          <w:rFonts w:ascii="Garamond" w:hAnsi="Garamond"/>
          <w:sz w:val="24"/>
          <w:szCs w:val="24"/>
        </w:rPr>
        <w:tab/>
        <w:t xml:space="preserve">   0.430</w:t>
      </w:r>
      <w:r w:rsidRPr="007915F2">
        <w:rPr>
          <w:rFonts w:ascii="Garamond" w:hAnsi="Garamond"/>
          <w:sz w:val="24"/>
          <w:szCs w:val="24"/>
          <w:vertAlign w:val="superscript"/>
        </w:rPr>
        <w:t>***</w:t>
      </w:r>
      <w:r w:rsidRPr="007915F2">
        <w:rPr>
          <w:rFonts w:ascii="Garamond" w:hAnsi="Garamond"/>
          <w:sz w:val="24"/>
          <w:szCs w:val="24"/>
        </w:rPr>
        <w:t xml:space="preserve">           0.032          -0.000</w:t>
      </w:r>
    </w:p>
    <w:p w14:paraId="4CB42696"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rPr>
      </w:pPr>
    </w:p>
    <w:p w14:paraId="36391BBD"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b/>
          <w:sz w:val="24"/>
          <w:szCs w:val="24"/>
        </w:rPr>
      </w:pPr>
    </w:p>
    <w:p w14:paraId="47E9F3EE"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b/>
          <w:sz w:val="24"/>
          <w:szCs w:val="24"/>
        </w:rPr>
      </w:pPr>
      <w:r w:rsidRPr="007915F2">
        <w:rPr>
          <w:rFonts w:ascii="Garamond" w:hAnsi="Garamond"/>
          <w:b/>
          <w:sz w:val="24"/>
          <w:szCs w:val="24"/>
        </w:rPr>
        <w:t>Part III: Using firm's industry-average return (replication of results of Table 5)</w:t>
      </w:r>
    </w:p>
    <w:p w14:paraId="753FDC3B"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rPr>
      </w:pPr>
    </w:p>
    <w:p w14:paraId="2DF0BD6B" w14:textId="77777777" w:rsidR="004E37EE" w:rsidRPr="007915F2" w:rsidRDefault="004E37EE" w:rsidP="00D61CD6">
      <w:pPr>
        <w:numPr>
          <w:ilvl w:val="0"/>
          <w:numId w:val="1"/>
        </w:numPr>
        <w:tabs>
          <w:tab w:val="left" w:pos="360"/>
          <w:tab w:val="left" w:pos="1800"/>
          <w:tab w:val="left" w:pos="2880"/>
          <w:tab w:val="left" w:pos="4140"/>
          <w:tab w:val="left" w:pos="5220"/>
          <w:tab w:val="left" w:pos="7020"/>
        </w:tabs>
        <w:spacing w:after="0" w:line="240" w:lineRule="auto"/>
        <w:ind w:left="360"/>
        <w:rPr>
          <w:rFonts w:ascii="Garamond" w:hAnsi="Garamond"/>
          <w:sz w:val="24"/>
          <w:szCs w:val="24"/>
        </w:rPr>
      </w:pPr>
      <w:r w:rsidRPr="007915F2">
        <w:rPr>
          <w:rFonts w:ascii="Garamond" w:hAnsi="Garamond"/>
          <w:sz w:val="24"/>
          <w:szCs w:val="24"/>
        </w:rPr>
        <w:t xml:space="preserve"> Using industry-adjusted Return on Assets (</w:t>
      </w:r>
      <w:r w:rsidRPr="007915F2">
        <w:rPr>
          <w:rFonts w:ascii="Garamond" w:hAnsi="Garamond"/>
          <w:i/>
          <w:sz w:val="24"/>
          <w:szCs w:val="24"/>
        </w:rPr>
        <w:t>A_ROA</w:t>
      </w:r>
      <w:r w:rsidRPr="007915F2">
        <w:rPr>
          <w:rFonts w:ascii="Garamond" w:hAnsi="Garamond"/>
          <w:sz w:val="24"/>
          <w:szCs w:val="24"/>
        </w:rPr>
        <w:t xml:space="preserve">) instead of firm’s </w:t>
      </w:r>
      <w:r w:rsidRPr="007915F2">
        <w:rPr>
          <w:rFonts w:ascii="Garamond" w:hAnsi="Garamond"/>
          <w:i/>
          <w:sz w:val="24"/>
          <w:szCs w:val="24"/>
        </w:rPr>
        <w:t xml:space="preserve">ROE </w:t>
      </w:r>
      <w:r w:rsidRPr="007915F2">
        <w:rPr>
          <w:rFonts w:ascii="Garamond" w:hAnsi="Garamond"/>
          <w:sz w:val="24"/>
          <w:szCs w:val="24"/>
        </w:rPr>
        <w:t>as a measure of accounting return (N=2,545).</w:t>
      </w:r>
    </w:p>
    <w:p w14:paraId="079F80A0" w14:textId="77777777" w:rsidR="004E37EE" w:rsidRPr="007915F2" w:rsidRDefault="004E37EE" w:rsidP="00D61CD6">
      <w:pPr>
        <w:tabs>
          <w:tab w:val="left" w:pos="1800"/>
          <w:tab w:val="left" w:pos="2880"/>
          <w:tab w:val="left" w:pos="4140"/>
          <w:tab w:val="left" w:pos="5220"/>
          <w:tab w:val="left" w:pos="7020"/>
        </w:tabs>
        <w:spacing w:after="0" w:line="240" w:lineRule="auto"/>
        <w:rPr>
          <w:rFonts w:ascii="Garamond" w:hAnsi="Garamond"/>
          <w:i/>
          <w:iCs/>
          <w:sz w:val="24"/>
          <w:szCs w:val="24"/>
        </w:rPr>
      </w:pPr>
      <w:r w:rsidRPr="007915F2">
        <w:rPr>
          <w:rFonts w:ascii="Garamond" w:hAnsi="Garamond"/>
          <w:sz w:val="24"/>
          <w:szCs w:val="24"/>
        </w:rPr>
        <w:tab/>
      </w:r>
      <w:r w:rsidRPr="007915F2">
        <w:rPr>
          <w:rFonts w:ascii="Garamond" w:hAnsi="Garamond"/>
          <w:i/>
          <w:sz w:val="24"/>
          <w:szCs w:val="24"/>
        </w:rPr>
        <w:t xml:space="preserve">        EIG</w:t>
      </w:r>
      <w:r w:rsidRPr="007915F2">
        <w:rPr>
          <w:rFonts w:ascii="Garamond" w:hAnsi="Garamond"/>
          <w:i/>
          <w:iCs/>
          <w:sz w:val="24"/>
          <w:szCs w:val="24"/>
        </w:rPr>
        <w:t xml:space="preserve">         </w:t>
      </w:r>
      <w:r w:rsidRPr="007915F2">
        <w:rPr>
          <w:rFonts w:ascii="Garamond" w:hAnsi="Garamond"/>
          <w:i/>
          <w:sz w:val="24"/>
          <w:szCs w:val="24"/>
        </w:rPr>
        <w:t xml:space="preserve">    ECC</w:t>
      </w:r>
      <w:r w:rsidRPr="007915F2">
        <w:rPr>
          <w:rFonts w:ascii="Garamond" w:hAnsi="Garamond"/>
          <w:i/>
          <w:sz w:val="24"/>
          <w:szCs w:val="24"/>
        </w:rPr>
        <w:tab/>
        <w:t xml:space="preserve">  PGE             </w:t>
      </w:r>
      <w:r w:rsidRPr="007915F2">
        <w:rPr>
          <w:rFonts w:ascii="Garamond" w:hAnsi="Garamond"/>
          <w:i/>
          <w:iCs/>
          <w:sz w:val="24"/>
          <w:szCs w:val="24"/>
        </w:rPr>
        <w:t>IDEG         ODEG          CSZ</w:t>
      </w:r>
    </w:p>
    <w:p w14:paraId="0D1629EF" w14:textId="77777777" w:rsidR="004E37EE" w:rsidRPr="007915F2" w:rsidRDefault="004E37EE" w:rsidP="00D61CD6">
      <w:pPr>
        <w:tabs>
          <w:tab w:val="left" w:pos="1800"/>
          <w:tab w:val="left" w:pos="2880"/>
          <w:tab w:val="left" w:pos="4140"/>
          <w:tab w:val="left" w:pos="5220"/>
          <w:tab w:val="left" w:pos="7020"/>
        </w:tabs>
        <w:spacing w:after="0" w:line="240" w:lineRule="auto"/>
        <w:rPr>
          <w:rFonts w:ascii="Garamond" w:hAnsi="Garamond"/>
          <w:sz w:val="24"/>
          <w:szCs w:val="24"/>
          <w:vertAlign w:val="superscript"/>
        </w:rPr>
      </w:pPr>
      <w:r w:rsidRPr="007915F2">
        <w:rPr>
          <w:rFonts w:ascii="Garamond" w:hAnsi="Garamond"/>
          <w:i/>
          <w:sz w:val="24"/>
          <w:szCs w:val="24"/>
        </w:rPr>
        <w:t xml:space="preserve">      Panel A</w:t>
      </w:r>
      <w:r w:rsidRPr="007915F2">
        <w:rPr>
          <w:rFonts w:ascii="Garamond" w:hAnsi="Garamond"/>
          <w:i/>
          <w:sz w:val="24"/>
          <w:szCs w:val="24"/>
        </w:rPr>
        <w:tab/>
      </w:r>
      <w:r w:rsidRPr="007915F2">
        <w:rPr>
          <w:rFonts w:ascii="Garamond" w:hAnsi="Garamond"/>
          <w:sz w:val="24"/>
          <w:szCs w:val="24"/>
        </w:rPr>
        <w:t xml:space="preserve">   </w:t>
      </w:r>
      <w:r w:rsidR="008B24D1" w:rsidRPr="007915F2">
        <w:rPr>
          <w:rFonts w:ascii="Garamond" w:hAnsi="Garamond"/>
          <w:sz w:val="24"/>
          <w:szCs w:val="24"/>
        </w:rPr>
        <w:t xml:space="preserve">   </w:t>
      </w:r>
      <w:r w:rsidRPr="007915F2">
        <w:rPr>
          <w:rFonts w:ascii="Garamond" w:hAnsi="Garamond"/>
          <w:sz w:val="24"/>
          <w:szCs w:val="24"/>
        </w:rPr>
        <w:t xml:space="preserve"> 1.422            0.060</w:t>
      </w:r>
      <w:r w:rsidRPr="007915F2">
        <w:rPr>
          <w:rFonts w:ascii="Garamond" w:hAnsi="Garamond"/>
          <w:sz w:val="24"/>
          <w:szCs w:val="24"/>
        </w:rPr>
        <w:tab/>
        <w:t>-2252.88</w:t>
      </w:r>
      <w:r w:rsidRPr="007915F2">
        <w:rPr>
          <w:rFonts w:ascii="Garamond" w:hAnsi="Garamond"/>
          <w:sz w:val="24"/>
          <w:szCs w:val="24"/>
          <w:vertAlign w:val="superscript"/>
        </w:rPr>
        <w:t>**</w:t>
      </w:r>
      <w:r w:rsidRPr="007915F2">
        <w:rPr>
          <w:rFonts w:ascii="Garamond" w:hAnsi="Garamond"/>
          <w:sz w:val="24"/>
          <w:szCs w:val="24"/>
        </w:rPr>
        <w:t xml:space="preserve">        0.012           -0.001</w:t>
      </w:r>
      <w:r w:rsidRPr="007915F2">
        <w:rPr>
          <w:rFonts w:ascii="Garamond" w:hAnsi="Garamond"/>
          <w:sz w:val="24"/>
          <w:szCs w:val="24"/>
          <w:vertAlign w:val="superscript"/>
        </w:rPr>
        <w:tab/>
      </w:r>
      <w:r w:rsidRPr="007915F2">
        <w:rPr>
          <w:rFonts w:ascii="Garamond" w:hAnsi="Garamond"/>
          <w:sz w:val="24"/>
          <w:szCs w:val="24"/>
        </w:rPr>
        <w:t>-0.001</w:t>
      </w:r>
      <w:r w:rsidRPr="007915F2">
        <w:rPr>
          <w:rFonts w:ascii="Garamond" w:hAnsi="Garamond"/>
          <w:sz w:val="24"/>
          <w:szCs w:val="24"/>
          <w:vertAlign w:val="superscript"/>
        </w:rPr>
        <w:t>**</w:t>
      </w:r>
    </w:p>
    <w:p w14:paraId="265364F5"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vertAlign w:val="superscript"/>
        </w:rPr>
      </w:pPr>
      <w:r w:rsidRPr="007915F2">
        <w:rPr>
          <w:rFonts w:ascii="Garamond" w:hAnsi="Garamond"/>
          <w:sz w:val="24"/>
          <w:szCs w:val="24"/>
        </w:rPr>
        <w:tab/>
      </w:r>
      <w:r w:rsidRPr="007915F2">
        <w:rPr>
          <w:rFonts w:ascii="Garamond" w:hAnsi="Garamond"/>
          <w:i/>
          <w:sz w:val="24"/>
          <w:szCs w:val="24"/>
        </w:rPr>
        <w:t>Panel B</w:t>
      </w:r>
      <w:r w:rsidRPr="007915F2">
        <w:rPr>
          <w:rFonts w:ascii="Garamond" w:hAnsi="Garamond"/>
          <w:i/>
          <w:sz w:val="24"/>
          <w:szCs w:val="24"/>
        </w:rPr>
        <w:tab/>
      </w:r>
      <w:r w:rsidRPr="007915F2">
        <w:rPr>
          <w:rFonts w:ascii="Garamond" w:hAnsi="Garamond"/>
          <w:sz w:val="24"/>
          <w:szCs w:val="24"/>
        </w:rPr>
        <w:t xml:space="preserve">    </w:t>
      </w:r>
      <w:r w:rsidR="008B24D1" w:rsidRPr="007915F2">
        <w:rPr>
          <w:rFonts w:ascii="Garamond" w:hAnsi="Garamond"/>
          <w:sz w:val="24"/>
          <w:szCs w:val="24"/>
        </w:rPr>
        <w:t xml:space="preserve">  </w:t>
      </w:r>
      <w:r w:rsidRPr="007915F2">
        <w:rPr>
          <w:rFonts w:ascii="Garamond" w:hAnsi="Garamond"/>
          <w:sz w:val="24"/>
          <w:szCs w:val="24"/>
        </w:rPr>
        <w:t xml:space="preserve"> 1.438            0.013</w:t>
      </w:r>
      <w:r w:rsidRPr="007915F2">
        <w:rPr>
          <w:rFonts w:ascii="Garamond" w:hAnsi="Garamond"/>
          <w:sz w:val="24"/>
          <w:szCs w:val="24"/>
        </w:rPr>
        <w:tab/>
        <w:t>-1957.42</w:t>
      </w:r>
      <w:r w:rsidRPr="007915F2">
        <w:rPr>
          <w:rFonts w:ascii="Garamond" w:hAnsi="Garamond"/>
          <w:sz w:val="24"/>
          <w:szCs w:val="24"/>
          <w:vertAlign w:val="superscript"/>
        </w:rPr>
        <w:t>**</w:t>
      </w:r>
      <w:r w:rsidRPr="007915F2">
        <w:rPr>
          <w:rFonts w:ascii="Garamond" w:hAnsi="Garamond"/>
          <w:sz w:val="24"/>
          <w:szCs w:val="24"/>
        </w:rPr>
        <w:t xml:space="preserve">        0.030</w:t>
      </w:r>
      <w:r w:rsidRPr="007915F2">
        <w:rPr>
          <w:rFonts w:ascii="Garamond" w:hAnsi="Garamond"/>
          <w:sz w:val="24"/>
          <w:szCs w:val="24"/>
          <w:vertAlign w:val="superscript"/>
        </w:rPr>
        <w:t>***</w:t>
      </w:r>
      <w:r w:rsidRPr="007915F2">
        <w:rPr>
          <w:rFonts w:ascii="Garamond" w:hAnsi="Garamond"/>
          <w:sz w:val="24"/>
          <w:szCs w:val="24"/>
        </w:rPr>
        <w:t xml:space="preserve">        -0.013       </w:t>
      </w:r>
      <w:r w:rsidR="008B24D1" w:rsidRPr="007915F2">
        <w:rPr>
          <w:rFonts w:ascii="Garamond" w:hAnsi="Garamond"/>
          <w:sz w:val="24"/>
          <w:szCs w:val="24"/>
        </w:rPr>
        <w:t xml:space="preserve">  </w:t>
      </w:r>
      <w:r w:rsidRPr="007915F2">
        <w:rPr>
          <w:rFonts w:ascii="Garamond" w:hAnsi="Garamond"/>
          <w:sz w:val="24"/>
          <w:szCs w:val="24"/>
        </w:rPr>
        <w:t xml:space="preserve">  -0.001</w:t>
      </w:r>
      <w:r w:rsidRPr="007915F2">
        <w:rPr>
          <w:rFonts w:ascii="Garamond" w:hAnsi="Garamond"/>
          <w:sz w:val="24"/>
          <w:szCs w:val="24"/>
          <w:vertAlign w:val="superscript"/>
        </w:rPr>
        <w:t>**</w:t>
      </w:r>
    </w:p>
    <w:p w14:paraId="6854C825"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rPr>
      </w:pPr>
    </w:p>
    <w:p w14:paraId="178F15AD"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b/>
          <w:sz w:val="24"/>
          <w:szCs w:val="24"/>
        </w:rPr>
      </w:pPr>
    </w:p>
    <w:p w14:paraId="673F4657"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b/>
          <w:sz w:val="24"/>
          <w:szCs w:val="24"/>
        </w:rPr>
      </w:pPr>
      <w:r w:rsidRPr="007915F2">
        <w:rPr>
          <w:rFonts w:ascii="Garamond" w:hAnsi="Garamond"/>
          <w:b/>
          <w:sz w:val="24"/>
          <w:szCs w:val="24"/>
        </w:rPr>
        <w:t>Part IV: Using firm's industry-average return (replication of results of Table 6)</w:t>
      </w:r>
    </w:p>
    <w:p w14:paraId="017A762A"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rPr>
      </w:pPr>
      <w:r w:rsidRPr="007915F2">
        <w:rPr>
          <w:rFonts w:ascii="Garamond" w:hAnsi="Garamond"/>
          <w:sz w:val="24"/>
          <w:szCs w:val="24"/>
        </w:rPr>
        <w:t xml:space="preserve"> </w:t>
      </w:r>
    </w:p>
    <w:p w14:paraId="5213D4B7" w14:textId="77777777" w:rsidR="004E37EE" w:rsidRPr="007915F2" w:rsidRDefault="004E37EE" w:rsidP="00D61CD6">
      <w:pPr>
        <w:numPr>
          <w:ilvl w:val="0"/>
          <w:numId w:val="1"/>
        </w:numPr>
        <w:tabs>
          <w:tab w:val="left" w:pos="360"/>
          <w:tab w:val="left" w:pos="1800"/>
          <w:tab w:val="left" w:pos="2880"/>
          <w:tab w:val="left" w:pos="4140"/>
          <w:tab w:val="left" w:pos="5220"/>
          <w:tab w:val="left" w:pos="7020"/>
        </w:tabs>
        <w:spacing w:after="0" w:line="240" w:lineRule="auto"/>
        <w:ind w:left="360"/>
        <w:rPr>
          <w:rFonts w:ascii="Garamond" w:hAnsi="Garamond"/>
          <w:sz w:val="24"/>
          <w:szCs w:val="24"/>
        </w:rPr>
      </w:pPr>
      <w:r w:rsidRPr="007915F2">
        <w:rPr>
          <w:rFonts w:ascii="Garamond" w:hAnsi="Garamond"/>
          <w:sz w:val="24"/>
          <w:szCs w:val="24"/>
        </w:rPr>
        <w:t>Using industry-adjusted Tobin's Q (</w:t>
      </w:r>
      <w:r w:rsidRPr="007915F2">
        <w:rPr>
          <w:rFonts w:ascii="Garamond" w:hAnsi="Garamond"/>
          <w:i/>
          <w:sz w:val="24"/>
          <w:szCs w:val="24"/>
        </w:rPr>
        <w:t>A_TBQ</w:t>
      </w:r>
      <w:r w:rsidRPr="007915F2">
        <w:rPr>
          <w:rFonts w:ascii="Garamond" w:hAnsi="Garamond"/>
          <w:sz w:val="24"/>
          <w:szCs w:val="24"/>
        </w:rPr>
        <w:t>) instead of firm’s Tobin's Q (</w:t>
      </w:r>
      <w:r w:rsidRPr="007915F2">
        <w:rPr>
          <w:rFonts w:ascii="Garamond" w:hAnsi="Garamond"/>
          <w:i/>
          <w:sz w:val="24"/>
          <w:szCs w:val="24"/>
        </w:rPr>
        <w:t>TBQ</w:t>
      </w:r>
      <w:r w:rsidRPr="007915F2">
        <w:rPr>
          <w:rFonts w:ascii="Garamond" w:hAnsi="Garamond"/>
          <w:sz w:val="24"/>
          <w:szCs w:val="24"/>
        </w:rPr>
        <w:t>) as a measure of firm's market return (N=3,179).</w:t>
      </w:r>
    </w:p>
    <w:p w14:paraId="5DD457CE" w14:textId="77777777" w:rsidR="004E37EE" w:rsidRPr="007915F2" w:rsidRDefault="004E37EE" w:rsidP="00D61CD6">
      <w:pPr>
        <w:tabs>
          <w:tab w:val="left" w:pos="1800"/>
          <w:tab w:val="left" w:pos="2880"/>
          <w:tab w:val="left" w:pos="4140"/>
          <w:tab w:val="left" w:pos="5220"/>
          <w:tab w:val="left" w:pos="7020"/>
        </w:tabs>
        <w:spacing w:after="0" w:line="240" w:lineRule="auto"/>
        <w:rPr>
          <w:rFonts w:ascii="Garamond" w:hAnsi="Garamond"/>
          <w:i/>
          <w:iCs/>
          <w:sz w:val="24"/>
          <w:szCs w:val="24"/>
        </w:rPr>
      </w:pPr>
      <w:r w:rsidRPr="007915F2">
        <w:rPr>
          <w:rFonts w:ascii="Garamond" w:hAnsi="Garamond"/>
          <w:sz w:val="24"/>
          <w:szCs w:val="24"/>
        </w:rPr>
        <w:tab/>
      </w:r>
      <w:r w:rsidRPr="007915F2">
        <w:rPr>
          <w:rFonts w:ascii="Garamond" w:hAnsi="Garamond"/>
          <w:i/>
          <w:sz w:val="24"/>
          <w:szCs w:val="24"/>
        </w:rPr>
        <w:t xml:space="preserve">       EIG</w:t>
      </w:r>
      <w:r w:rsidRPr="007915F2">
        <w:rPr>
          <w:rFonts w:ascii="Garamond" w:hAnsi="Garamond"/>
          <w:i/>
          <w:iCs/>
          <w:sz w:val="24"/>
          <w:szCs w:val="24"/>
        </w:rPr>
        <w:t xml:space="preserve">      </w:t>
      </w:r>
      <w:r w:rsidR="008B24D1" w:rsidRPr="007915F2">
        <w:rPr>
          <w:rFonts w:ascii="Garamond" w:hAnsi="Garamond"/>
          <w:i/>
          <w:iCs/>
          <w:sz w:val="24"/>
          <w:szCs w:val="24"/>
        </w:rPr>
        <w:t xml:space="preserve"> </w:t>
      </w:r>
      <w:r w:rsidRPr="007915F2">
        <w:rPr>
          <w:rFonts w:ascii="Garamond" w:hAnsi="Garamond"/>
          <w:i/>
          <w:sz w:val="24"/>
          <w:szCs w:val="24"/>
        </w:rPr>
        <w:t xml:space="preserve">    ECC</w:t>
      </w:r>
      <w:r w:rsidRPr="007915F2">
        <w:rPr>
          <w:rFonts w:ascii="Garamond" w:hAnsi="Garamond"/>
          <w:i/>
          <w:sz w:val="24"/>
          <w:szCs w:val="24"/>
        </w:rPr>
        <w:tab/>
        <w:t xml:space="preserve">  </w:t>
      </w:r>
      <w:r w:rsidR="008B24D1" w:rsidRPr="007915F2">
        <w:rPr>
          <w:rFonts w:ascii="Garamond" w:hAnsi="Garamond"/>
          <w:i/>
          <w:sz w:val="24"/>
          <w:szCs w:val="24"/>
        </w:rPr>
        <w:t xml:space="preserve">  </w:t>
      </w:r>
      <w:r w:rsidRPr="007915F2">
        <w:rPr>
          <w:rFonts w:ascii="Garamond" w:hAnsi="Garamond"/>
          <w:i/>
          <w:sz w:val="24"/>
          <w:szCs w:val="24"/>
        </w:rPr>
        <w:t xml:space="preserve">PGE            </w:t>
      </w:r>
      <w:r w:rsidRPr="007915F2">
        <w:rPr>
          <w:rFonts w:ascii="Garamond" w:hAnsi="Garamond"/>
          <w:i/>
          <w:iCs/>
          <w:sz w:val="24"/>
          <w:szCs w:val="24"/>
        </w:rPr>
        <w:t>IDEG         ODEG          CSZ</w:t>
      </w:r>
    </w:p>
    <w:p w14:paraId="363971A6" w14:textId="77777777" w:rsidR="004E37EE" w:rsidRPr="007915F2" w:rsidRDefault="004E37EE" w:rsidP="00D61CD6">
      <w:pPr>
        <w:tabs>
          <w:tab w:val="left" w:pos="1800"/>
          <w:tab w:val="left" w:pos="2880"/>
          <w:tab w:val="left" w:pos="4140"/>
          <w:tab w:val="left" w:pos="5220"/>
          <w:tab w:val="left" w:pos="7020"/>
        </w:tabs>
        <w:spacing w:after="0" w:line="240" w:lineRule="auto"/>
        <w:rPr>
          <w:rFonts w:ascii="Garamond" w:hAnsi="Garamond"/>
          <w:sz w:val="24"/>
          <w:szCs w:val="24"/>
          <w:vertAlign w:val="superscript"/>
        </w:rPr>
      </w:pPr>
      <w:r w:rsidRPr="007915F2">
        <w:rPr>
          <w:rFonts w:ascii="Garamond" w:hAnsi="Garamond"/>
          <w:i/>
          <w:sz w:val="24"/>
          <w:szCs w:val="24"/>
        </w:rPr>
        <w:t xml:space="preserve">      Panel A</w:t>
      </w:r>
      <w:r w:rsidRPr="007915F2">
        <w:rPr>
          <w:rFonts w:ascii="Garamond" w:hAnsi="Garamond"/>
          <w:i/>
          <w:sz w:val="24"/>
          <w:szCs w:val="24"/>
        </w:rPr>
        <w:tab/>
      </w:r>
      <w:r w:rsidRPr="007915F2">
        <w:rPr>
          <w:rFonts w:ascii="Garamond" w:hAnsi="Garamond"/>
          <w:sz w:val="24"/>
          <w:szCs w:val="24"/>
        </w:rPr>
        <w:t xml:space="preserve">    </w:t>
      </w:r>
      <w:r w:rsidR="008B24D1" w:rsidRPr="007915F2">
        <w:rPr>
          <w:rFonts w:ascii="Garamond" w:hAnsi="Garamond"/>
          <w:sz w:val="24"/>
          <w:szCs w:val="24"/>
        </w:rPr>
        <w:t xml:space="preserve">  </w:t>
      </w:r>
      <w:r w:rsidRPr="007915F2">
        <w:rPr>
          <w:rFonts w:ascii="Garamond" w:hAnsi="Garamond"/>
          <w:sz w:val="24"/>
          <w:szCs w:val="24"/>
        </w:rPr>
        <w:t xml:space="preserve"> 0.574          -0.022</w:t>
      </w:r>
      <w:r w:rsidRPr="007915F2">
        <w:rPr>
          <w:rFonts w:ascii="Garamond" w:hAnsi="Garamond"/>
          <w:sz w:val="24"/>
          <w:szCs w:val="24"/>
        </w:rPr>
        <w:tab/>
      </w:r>
      <w:r w:rsidR="008B24D1" w:rsidRPr="007915F2">
        <w:rPr>
          <w:rFonts w:ascii="Garamond" w:hAnsi="Garamond"/>
          <w:sz w:val="24"/>
          <w:szCs w:val="24"/>
        </w:rPr>
        <w:t xml:space="preserve">  </w:t>
      </w:r>
      <w:r w:rsidRPr="007915F2">
        <w:rPr>
          <w:rFonts w:ascii="Garamond" w:hAnsi="Garamond"/>
          <w:sz w:val="24"/>
          <w:szCs w:val="24"/>
        </w:rPr>
        <w:t>-405.05</w:t>
      </w:r>
      <w:r w:rsidRPr="007915F2">
        <w:rPr>
          <w:rFonts w:ascii="Garamond" w:hAnsi="Garamond"/>
          <w:sz w:val="24"/>
          <w:szCs w:val="24"/>
          <w:vertAlign w:val="superscript"/>
        </w:rPr>
        <w:t>*</w:t>
      </w:r>
      <w:r w:rsidRPr="007915F2">
        <w:rPr>
          <w:rFonts w:ascii="Garamond" w:hAnsi="Garamond"/>
          <w:sz w:val="24"/>
          <w:szCs w:val="24"/>
        </w:rPr>
        <w:t xml:space="preserve">          0.012</w:t>
      </w:r>
      <w:r w:rsidRPr="007915F2">
        <w:rPr>
          <w:rFonts w:ascii="Garamond" w:hAnsi="Garamond"/>
          <w:sz w:val="24"/>
          <w:szCs w:val="24"/>
          <w:vertAlign w:val="superscript"/>
        </w:rPr>
        <w:t>***</w:t>
      </w:r>
      <w:r w:rsidRPr="007915F2">
        <w:rPr>
          <w:rFonts w:ascii="Garamond" w:hAnsi="Garamond"/>
          <w:sz w:val="24"/>
          <w:szCs w:val="24"/>
        </w:rPr>
        <w:t xml:space="preserve">       -0.004</w:t>
      </w:r>
      <w:r w:rsidRPr="007915F2">
        <w:rPr>
          <w:rFonts w:ascii="Garamond" w:hAnsi="Garamond"/>
          <w:sz w:val="24"/>
          <w:szCs w:val="24"/>
          <w:vertAlign w:val="superscript"/>
        </w:rPr>
        <w:t xml:space="preserve"> </w:t>
      </w:r>
      <w:r w:rsidRPr="007915F2">
        <w:rPr>
          <w:rFonts w:ascii="Garamond" w:hAnsi="Garamond"/>
          <w:sz w:val="24"/>
          <w:szCs w:val="24"/>
        </w:rPr>
        <w:t xml:space="preserve">         -0.001</w:t>
      </w:r>
      <w:r w:rsidRPr="007915F2">
        <w:rPr>
          <w:rFonts w:ascii="Garamond" w:hAnsi="Garamond"/>
          <w:sz w:val="24"/>
          <w:szCs w:val="24"/>
          <w:vertAlign w:val="superscript"/>
        </w:rPr>
        <w:t>***</w:t>
      </w:r>
    </w:p>
    <w:p w14:paraId="54C9B1CA"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vertAlign w:val="superscript"/>
        </w:rPr>
      </w:pPr>
      <w:r w:rsidRPr="007915F2">
        <w:rPr>
          <w:rFonts w:ascii="Garamond" w:hAnsi="Garamond"/>
          <w:sz w:val="24"/>
          <w:szCs w:val="24"/>
        </w:rPr>
        <w:tab/>
      </w:r>
      <w:r w:rsidRPr="007915F2">
        <w:rPr>
          <w:rFonts w:ascii="Garamond" w:hAnsi="Garamond"/>
          <w:i/>
          <w:sz w:val="24"/>
          <w:szCs w:val="24"/>
        </w:rPr>
        <w:t>Panel B</w:t>
      </w:r>
      <w:r w:rsidRPr="007915F2">
        <w:rPr>
          <w:rFonts w:ascii="Garamond" w:hAnsi="Garamond"/>
          <w:i/>
          <w:sz w:val="24"/>
          <w:szCs w:val="24"/>
        </w:rPr>
        <w:tab/>
      </w:r>
      <w:r w:rsidRPr="007915F2">
        <w:rPr>
          <w:rFonts w:ascii="Garamond" w:hAnsi="Garamond"/>
          <w:sz w:val="24"/>
          <w:szCs w:val="24"/>
        </w:rPr>
        <w:t xml:space="preserve">   </w:t>
      </w:r>
      <w:r w:rsidR="008B24D1" w:rsidRPr="007915F2">
        <w:rPr>
          <w:rFonts w:ascii="Garamond" w:hAnsi="Garamond"/>
          <w:sz w:val="24"/>
          <w:szCs w:val="24"/>
        </w:rPr>
        <w:t xml:space="preserve">   </w:t>
      </w:r>
      <w:r w:rsidRPr="007915F2">
        <w:rPr>
          <w:rFonts w:ascii="Garamond" w:hAnsi="Garamond"/>
          <w:sz w:val="24"/>
          <w:szCs w:val="24"/>
        </w:rPr>
        <w:t xml:space="preserve"> 0.613          -0.044</w:t>
      </w:r>
      <w:r w:rsidRPr="007915F2">
        <w:rPr>
          <w:rFonts w:ascii="Garamond" w:hAnsi="Garamond"/>
          <w:sz w:val="24"/>
          <w:szCs w:val="24"/>
          <w:vertAlign w:val="superscript"/>
        </w:rPr>
        <w:t>**</w:t>
      </w:r>
      <w:r w:rsidRPr="007915F2">
        <w:rPr>
          <w:rFonts w:ascii="Garamond" w:hAnsi="Garamond"/>
          <w:sz w:val="24"/>
          <w:szCs w:val="24"/>
        </w:rPr>
        <w:t xml:space="preserve">    -278.11           0.020</w:t>
      </w:r>
      <w:r w:rsidRPr="007915F2">
        <w:rPr>
          <w:rFonts w:ascii="Garamond" w:hAnsi="Garamond"/>
          <w:sz w:val="24"/>
          <w:szCs w:val="24"/>
          <w:vertAlign w:val="superscript"/>
        </w:rPr>
        <w:t>***</w:t>
      </w:r>
      <w:r w:rsidRPr="007915F2">
        <w:rPr>
          <w:rFonts w:ascii="Garamond" w:hAnsi="Garamond"/>
          <w:sz w:val="24"/>
          <w:szCs w:val="24"/>
        </w:rPr>
        <w:t xml:space="preserve">       -0.009</w:t>
      </w:r>
      <w:r w:rsidRPr="007915F2">
        <w:rPr>
          <w:rFonts w:ascii="Garamond" w:hAnsi="Garamond"/>
          <w:sz w:val="24"/>
          <w:szCs w:val="24"/>
          <w:vertAlign w:val="superscript"/>
        </w:rPr>
        <w:t>**</w:t>
      </w:r>
      <w:r w:rsidRPr="007915F2">
        <w:rPr>
          <w:rFonts w:ascii="Garamond" w:hAnsi="Garamond"/>
          <w:sz w:val="24"/>
          <w:szCs w:val="24"/>
        </w:rPr>
        <w:t xml:space="preserve">       -0.001</w:t>
      </w:r>
      <w:r w:rsidRPr="007915F2">
        <w:rPr>
          <w:rFonts w:ascii="Garamond" w:hAnsi="Garamond"/>
          <w:sz w:val="24"/>
          <w:szCs w:val="24"/>
          <w:vertAlign w:val="superscript"/>
        </w:rPr>
        <w:t>***</w:t>
      </w:r>
    </w:p>
    <w:p w14:paraId="58B66CF8" w14:textId="77777777" w:rsidR="004E37EE" w:rsidRPr="007915F2" w:rsidRDefault="004E37EE" w:rsidP="00D61CD6">
      <w:pPr>
        <w:tabs>
          <w:tab w:val="left" w:pos="360"/>
          <w:tab w:val="left" w:pos="1800"/>
          <w:tab w:val="left" w:pos="2880"/>
          <w:tab w:val="left" w:pos="4140"/>
          <w:tab w:val="left" w:pos="5220"/>
          <w:tab w:val="left" w:pos="7020"/>
        </w:tabs>
        <w:spacing w:after="0" w:line="240" w:lineRule="auto"/>
        <w:rPr>
          <w:rFonts w:ascii="Garamond" w:hAnsi="Garamond"/>
          <w:sz w:val="24"/>
          <w:szCs w:val="24"/>
        </w:rPr>
      </w:pPr>
    </w:p>
    <w:p w14:paraId="697F5715" w14:textId="77777777" w:rsidR="004E37EE" w:rsidRPr="007915F2" w:rsidRDefault="004E37EE" w:rsidP="00D61CD6">
      <w:pPr>
        <w:tabs>
          <w:tab w:val="left" w:pos="-1440"/>
          <w:tab w:val="left" w:pos="-720"/>
          <w:tab w:val="left" w:pos="-270"/>
          <w:tab w:val="left" w:pos="720"/>
          <w:tab w:val="left" w:pos="1080"/>
          <w:tab w:val="left" w:pos="1440"/>
          <w:tab w:val="left" w:pos="1800"/>
          <w:tab w:val="left" w:pos="2160"/>
          <w:tab w:val="left" w:pos="2610"/>
        </w:tabs>
        <w:spacing w:after="0" w:line="240" w:lineRule="auto"/>
        <w:outlineLvl w:val="0"/>
        <w:rPr>
          <w:rFonts w:ascii="Garamond" w:hAnsi="Garamond"/>
          <w:sz w:val="24"/>
          <w:szCs w:val="24"/>
        </w:rPr>
      </w:pPr>
    </w:p>
    <w:p w14:paraId="553CBD89" w14:textId="77777777" w:rsidR="002D50C3" w:rsidRPr="007915F2" w:rsidRDefault="004E37EE" w:rsidP="00D61CD6">
      <w:pPr>
        <w:tabs>
          <w:tab w:val="left" w:pos="-1440"/>
          <w:tab w:val="left" w:pos="-720"/>
          <w:tab w:val="left" w:pos="-270"/>
          <w:tab w:val="left" w:pos="720"/>
          <w:tab w:val="left" w:pos="1080"/>
          <w:tab w:val="left" w:pos="1440"/>
          <w:tab w:val="left" w:pos="1800"/>
          <w:tab w:val="left" w:pos="2160"/>
          <w:tab w:val="left" w:pos="2610"/>
        </w:tabs>
        <w:spacing w:after="0" w:line="240" w:lineRule="auto"/>
        <w:outlineLvl w:val="0"/>
        <w:rPr>
          <w:rFonts w:ascii="Garamond" w:hAnsi="Garamond"/>
          <w:sz w:val="24"/>
          <w:szCs w:val="24"/>
        </w:rPr>
      </w:pPr>
      <w:r w:rsidRPr="007915F2">
        <w:rPr>
          <w:rFonts w:ascii="Garamond" w:hAnsi="Garamond"/>
          <w:sz w:val="24"/>
          <w:szCs w:val="24"/>
          <w:vertAlign w:val="superscript"/>
        </w:rPr>
        <w:t>***</w:t>
      </w:r>
      <w:r w:rsidRPr="007915F2">
        <w:rPr>
          <w:rFonts w:ascii="Garamond" w:hAnsi="Garamond"/>
          <w:sz w:val="24"/>
          <w:szCs w:val="24"/>
        </w:rPr>
        <w:t xml:space="preserve"> p&lt;0.01, </w:t>
      </w:r>
      <w:r w:rsidRPr="007915F2">
        <w:rPr>
          <w:rFonts w:ascii="Garamond" w:hAnsi="Garamond"/>
          <w:sz w:val="24"/>
          <w:szCs w:val="24"/>
          <w:vertAlign w:val="superscript"/>
        </w:rPr>
        <w:t>**</w:t>
      </w:r>
      <w:r w:rsidRPr="007915F2">
        <w:rPr>
          <w:rFonts w:ascii="Garamond" w:hAnsi="Garamond"/>
          <w:sz w:val="24"/>
          <w:szCs w:val="24"/>
        </w:rPr>
        <w:t xml:space="preserve"> p&lt;0.05, </w:t>
      </w:r>
      <w:r w:rsidRPr="007915F2">
        <w:rPr>
          <w:rFonts w:ascii="Garamond" w:hAnsi="Garamond"/>
          <w:sz w:val="24"/>
          <w:szCs w:val="24"/>
          <w:vertAlign w:val="superscript"/>
        </w:rPr>
        <w:t>*</w:t>
      </w:r>
      <w:r w:rsidRPr="007915F2">
        <w:rPr>
          <w:rFonts w:ascii="Garamond" w:hAnsi="Garamond"/>
          <w:sz w:val="24"/>
          <w:szCs w:val="24"/>
        </w:rPr>
        <w:t xml:space="preserve"> p&lt;0.1</w:t>
      </w:r>
    </w:p>
    <w:p w14:paraId="164002BE" w14:textId="77777777" w:rsidR="002D50C3" w:rsidRPr="007915F2" w:rsidRDefault="002D50C3">
      <w:pPr>
        <w:spacing w:after="0" w:line="240" w:lineRule="auto"/>
        <w:rPr>
          <w:rFonts w:ascii="Garamond" w:hAnsi="Garamond"/>
          <w:sz w:val="24"/>
          <w:szCs w:val="24"/>
        </w:rPr>
      </w:pPr>
      <w:r w:rsidRPr="007915F2">
        <w:rPr>
          <w:rFonts w:ascii="Garamond" w:hAnsi="Garamond"/>
          <w:sz w:val="24"/>
          <w:szCs w:val="24"/>
        </w:rPr>
        <w:br w:type="page"/>
      </w:r>
    </w:p>
    <w:p w14:paraId="30B601ED" w14:textId="45D38313" w:rsidR="0093071C" w:rsidRPr="007915F2" w:rsidRDefault="0093071C" w:rsidP="00D61CD6">
      <w:pPr>
        <w:tabs>
          <w:tab w:val="left" w:pos="-1440"/>
          <w:tab w:val="left" w:pos="-720"/>
          <w:tab w:val="left" w:pos="-270"/>
          <w:tab w:val="left" w:pos="720"/>
          <w:tab w:val="left" w:pos="1080"/>
          <w:tab w:val="left" w:pos="1440"/>
          <w:tab w:val="left" w:pos="1800"/>
          <w:tab w:val="left" w:pos="2160"/>
          <w:tab w:val="left" w:pos="2610"/>
        </w:tabs>
        <w:spacing w:after="0" w:line="240" w:lineRule="auto"/>
        <w:outlineLvl w:val="0"/>
        <w:rPr>
          <w:rFonts w:ascii="Garamond" w:hAnsi="Garamond"/>
          <w:sz w:val="24"/>
          <w:szCs w:val="24"/>
        </w:rPr>
      </w:pPr>
    </w:p>
    <w:p w14:paraId="7CEF25BC" w14:textId="77777777" w:rsidR="00391D37" w:rsidRPr="007915F2" w:rsidRDefault="00391D37" w:rsidP="00391D37">
      <w:pPr>
        <w:spacing w:after="0" w:line="240" w:lineRule="auto"/>
        <w:jc w:val="center"/>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Table 1: Degree &amp; Tier Correlation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9"/>
        <w:gridCol w:w="975"/>
        <w:gridCol w:w="1170"/>
        <w:gridCol w:w="1260"/>
        <w:gridCol w:w="2520"/>
      </w:tblGrid>
      <w:tr w:rsidR="00391D37" w:rsidRPr="007915F2" w14:paraId="4734DE03" w14:textId="77777777" w:rsidTr="000E764B">
        <w:trPr>
          <w:jc w:val="center"/>
        </w:trPr>
        <w:tc>
          <w:tcPr>
            <w:tcW w:w="1769" w:type="dxa"/>
            <w:shd w:val="clear" w:color="auto" w:fill="auto"/>
          </w:tcPr>
          <w:p w14:paraId="7D8792A2" w14:textId="77777777" w:rsidR="00391D37" w:rsidRPr="007915F2" w:rsidRDefault="00391D37" w:rsidP="000E764B">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Correlation</w:t>
            </w:r>
          </w:p>
        </w:tc>
        <w:tc>
          <w:tcPr>
            <w:tcW w:w="975" w:type="dxa"/>
            <w:shd w:val="clear" w:color="auto" w:fill="auto"/>
          </w:tcPr>
          <w:p w14:paraId="55113C13" w14:textId="77777777" w:rsidR="00391D37" w:rsidRPr="007915F2" w:rsidRDefault="00391D37" w:rsidP="000E764B">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Degree</w:t>
            </w:r>
          </w:p>
        </w:tc>
        <w:tc>
          <w:tcPr>
            <w:tcW w:w="1170" w:type="dxa"/>
            <w:shd w:val="clear" w:color="auto" w:fill="auto"/>
          </w:tcPr>
          <w:p w14:paraId="113A7C0C" w14:textId="77777777" w:rsidR="00391D37" w:rsidRPr="007915F2" w:rsidRDefault="00391D37" w:rsidP="000E764B">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In-degree</w:t>
            </w:r>
          </w:p>
        </w:tc>
        <w:tc>
          <w:tcPr>
            <w:tcW w:w="1260" w:type="dxa"/>
            <w:shd w:val="clear" w:color="auto" w:fill="auto"/>
          </w:tcPr>
          <w:p w14:paraId="0BB5955B" w14:textId="77777777" w:rsidR="00391D37" w:rsidRPr="007915F2" w:rsidRDefault="00391D37" w:rsidP="000E764B">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Out-degree</w:t>
            </w:r>
          </w:p>
        </w:tc>
        <w:tc>
          <w:tcPr>
            <w:tcW w:w="2520" w:type="dxa"/>
            <w:shd w:val="clear" w:color="auto" w:fill="auto"/>
          </w:tcPr>
          <w:p w14:paraId="502F71FD" w14:textId="77777777" w:rsidR="00391D37" w:rsidRPr="007915F2" w:rsidRDefault="00391D37" w:rsidP="000E764B">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The ratio of In/Out degree</w:t>
            </w:r>
          </w:p>
        </w:tc>
      </w:tr>
      <w:tr w:rsidR="00391D37" w:rsidRPr="007915F2" w14:paraId="04F6B03B" w14:textId="77777777" w:rsidTr="000E764B">
        <w:trPr>
          <w:jc w:val="center"/>
        </w:trPr>
        <w:tc>
          <w:tcPr>
            <w:tcW w:w="1769" w:type="dxa"/>
            <w:shd w:val="clear" w:color="auto" w:fill="auto"/>
          </w:tcPr>
          <w:p w14:paraId="5235F088" w14:textId="77777777" w:rsidR="00391D37" w:rsidRPr="007915F2" w:rsidRDefault="00391D37" w:rsidP="000E764B">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Weighted Tier</w:t>
            </w:r>
          </w:p>
        </w:tc>
        <w:tc>
          <w:tcPr>
            <w:tcW w:w="975" w:type="dxa"/>
            <w:shd w:val="clear" w:color="auto" w:fill="auto"/>
          </w:tcPr>
          <w:p w14:paraId="7A596A45" w14:textId="77777777" w:rsidR="00391D37" w:rsidRPr="007915F2" w:rsidRDefault="00391D37" w:rsidP="000E764B">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-0.1</w:t>
            </w:r>
          </w:p>
        </w:tc>
        <w:tc>
          <w:tcPr>
            <w:tcW w:w="1170" w:type="dxa"/>
            <w:shd w:val="clear" w:color="auto" w:fill="auto"/>
          </w:tcPr>
          <w:p w14:paraId="534EC33D" w14:textId="77777777" w:rsidR="00391D37" w:rsidRPr="007915F2" w:rsidRDefault="00391D37" w:rsidP="000E764B">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0.08</w:t>
            </w:r>
          </w:p>
        </w:tc>
        <w:tc>
          <w:tcPr>
            <w:tcW w:w="1260" w:type="dxa"/>
            <w:shd w:val="clear" w:color="auto" w:fill="auto"/>
          </w:tcPr>
          <w:p w14:paraId="0FA4E3D7" w14:textId="77777777" w:rsidR="00391D37" w:rsidRPr="007915F2" w:rsidRDefault="00391D37" w:rsidP="000E764B">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-0.17</w:t>
            </w:r>
          </w:p>
        </w:tc>
        <w:tc>
          <w:tcPr>
            <w:tcW w:w="2520" w:type="dxa"/>
            <w:shd w:val="clear" w:color="auto" w:fill="auto"/>
          </w:tcPr>
          <w:p w14:paraId="43C55911" w14:textId="77777777" w:rsidR="00391D37" w:rsidRPr="007915F2" w:rsidRDefault="00391D37" w:rsidP="000E764B">
            <w:pPr>
              <w:spacing w:after="0" w:line="240" w:lineRule="auto"/>
              <w:jc w:val="both"/>
              <w:rPr>
                <w:rFonts w:ascii="Garamond" w:hAnsi="Garamond"/>
                <w:color w:val="333333"/>
                <w:sz w:val="24"/>
                <w:szCs w:val="24"/>
                <w:shd w:val="clear" w:color="auto" w:fill="FFFFFF"/>
              </w:rPr>
            </w:pPr>
            <w:r w:rsidRPr="007915F2">
              <w:rPr>
                <w:rFonts w:ascii="Garamond" w:hAnsi="Garamond"/>
                <w:color w:val="333333"/>
                <w:sz w:val="24"/>
                <w:szCs w:val="24"/>
                <w:shd w:val="clear" w:color="auto" w:fill="FFFFFF"/>
              </w:rPr>
              <w:t>-0.16</w:t>
            </w:r>
          </w:p>
        </w:tc>
      </w:tr>
    </w:tbl>
    <w:p w14:paraId="5E584F82" w14:textId="77777777" w:rsidR="00391D37" w:rsidRPr="007915F2" w:rsidRDefault="00391D37" w:rsidP="00D61CD6">
      <w:pPr>
        <w:tabs>
          <w:tab w:val="left" w:pos="-1440"/>
          <w:tab w:val="left" w:pos="-720"/>
          <w:tab w:val="left" w:pos="-270"/>
          <w:tab w:val="left" w:pos="720"/>
          <w:tab w:val="left" w:pos="1080"/>
          <w:tab w:val="left" w:pos="1440"/>
          <w:tab w:val="left" w:pos="1800"/>
          <w:tab w:val="left" w:pos="2160"/>
          <w:tab w:val="left" w:pos="2610"/>
        </w:tabs>
        <w:spacing w:after="0" w:line="240" w:lineRule="auto"/>
        <w:outlineLvl w:val="0"/>
        <w:rPr>
          <w:rFonts w:ascii="Garamond" w:hAnsi="Garamond"/>
          <w:sz w:val="24"/>
          <w:szCs w:val="24"/>
        </w:rPr>
        <w:sectPr w:rsidR="00391D37" w:rsidRPr="007915F2" w:rsidSect="0093071C">
          <w:pgSz w:w="12240" w:h="15840"/>
          <w:pgMar w:top="1440" w:right="1440" w:bottom="1440" w:left="1440" w:header="720" w:footer="720" w:gutter="0"/>
          <w:cols w:space="720"/>
          <w:noEndnote/>
        </w:sectPr>
      </w:pPr>
    </w:p>
    <w:p w14:paraId="51749ED6" w14:textId="77777777" w:rsidR="004E37EE" w:rsidRPr="007915F2" w:rsidRDefault="004E37EE" w:rsidP="00D61CD6">
      <w:pPr>
        <w:tabs>
          <w:tab w:val="left" w:pos="-1440"/>
          <w:tab w:val="left" w:pos="-720"/>
          <w:tab w:val="left" w:pos="-270"/>
          <w:tab w:val="left" w:pos="720"/>
          <w:tab w:val="left" w:pos="1080"/>
          <w:tab w:val="left" w:pos="1440"/>
          <w:tab w:val="left" w:pos="1800"/>
          <w:tab w:val="left" w:pos="2160"/>
          <w:tab w:val="left" w:pos="2610"/>
        </w:tabs>
        <w:spacing w:after="0" w:line="240" w:lineRule="auto"/>
        <w:outlineLvl w:val="0"/>
        <w:rPr>
          <w:rFonts w:ascii="Garamond" w:hAnsi="Garamond"/>
          <w:sz w:val="24"/>
          <w:szCs w:val="24"/>
        </w:rPr>
      </w:pPr>
      <w:r w:rsidRPr="007915F2">
        <w:rPr>
          <w:rFonts w:ascii="Garamond" w:hAnsi="Garamond"/>
          <w:sz w:val="24"/>
          <w:szCs w:val="24"/>
        </w:rPr>
        <w:lastRenderedPageBreak/>
        <w:tab/>
      </w:r>
    </w:p>
    <w:p w14:paraId="4B4CF4AE" w14:textId="168A14D7" w:rsidR="004E37EE" w:rsidRPr="007915F2" w:rsidRDefault="004E37EE" w:rsidP="00D61CD6">
      <w:pPr>
        <w:pStyle w:val="Heading1"/>
        <w:jc w:val="center"/>
        <w:rPr>
          <w:rFonts w:ascii="Garamond" w:hAnsi="Garamond"/>
          <w:b/>
          <w:i w:val="0"/>
          <w:szCs w:val="24"/>
        </w:rPr>
      </w:pPr>
      <w:r w:rsidRPr="007915F2">
        <w:rPr>
          <w:rFonts w:ascii="Garamond" w:hAnsi="Garamond"/>
          <w:b/>
          <w:i w:val="0"/>
          <w:szCs w:val="24"/>
        </w:rPr>
        <w:t xml:space="preserve">TABLE </w:t>
      </w:r>
      <w:r w:rsidR="002D50C3" w:rsidRPr="007915F2">
        <w:rPr>
          <w:rFonts w:ascii="Garamond" w:hAnsi="Garamond"/>
          <w:b/>
          <w:i w:val="0"/>
          <w:szCs w:val="24"/>
        </w:rPr>
        <w:t>2</w:t>
      </w:r>
    </w:p>
    <w:p w14:paraId="6253A55B" w14:textId="77777777" w:rsidR="004E37EE" w:rsidRPr="007915F2" w:rsidRDefault="004E37EE" w:rsidP="00D61CD6">
      <w:pPr>
        <w:pStyle w:val="Heading1"/>
        <w:jc w:val="center"/>
        <w:rPr>
          <w:rFonts w:ascii="Garamond" w:hAnsi="Garamond"/>
          <w:b/>
          <w:bCs/>
          <w:szCs w:val="24"/>
        </w:rPr>
      </w:pPr>
      <w:r w:rsidRPr="007915F2">
        <w:rPr>
          <w:rFonts w:ascii="Garamond" w:hAnsi="Garamond"/>
          <w:szCs w:val="24"/>
        </w:rPr>
        <w:t>Distribution of Firm-Year Observations Across Industries</w:t>
      </w:r>
      <w:r w:rsidRPr="007915F2">
        <w:rPr>
          <w:rFonts w:ascii="Garamond" w:hAnsi="Garamond"/>
          <w:szCs w:val="24"/>
          <w:vertAlign w:val="superscript"/>
        </w:rPr>
        <w:t>*</w:t>
      </w:r>
      <w:r w:rsidRPr="007915F2">
        <w:rPr>
          <w:rFonts w:ascii="Garamond" w:hAnsi="Garamond"/>
          <w:szCs w:val="24"/>
        </w:rPr>
        <w:t xml:space="preserve"> and Median Values of Main Variables</w:t>
      </w:r>
    </w:p>
    <w:tbl>
      <w:tblPr>
        <w:tblW w:w="13515" w:type="dxa"/>
        <w:tblInd w:w="93" w:type="dxa"/>
        <w:tblLook w:val="04A0" w:firstRow="1" w:lastRow="0" w:firstColumn="1" w:lastColumn="0" w:noHBand="0" w:noVBand="1"/>
      </w:tblPr>
      <w:tblGrid>
        <w:gridCol w:w="2175"/>
        <w:gridCol w:w="754"/>
        <w:gridCol w:w="776"/>
        <w:gridCol w:w="990"/>
        <w:gridCol w:w="990"/>
        <w:gridCol w:w="1080"/>
        <w:gridCol w:w="990"/>
        <w:gridCol w:w="900"/>
        <w:gridCol w:w="990"/>
        <w:gridCol w:w="990"/>
        <w:gridCol w:w="990"/>
        <w:gridCol w:w="990"/>
        <w:gridCol w:w="900"/>
      </w:tblGrid>
      <w:tr w:rsidR="004E37EE" w:rsidRPr="007915F2" w14:paraId="177E69A1" w14:textId="77777777" w:rsidTr="008B24D1">
        <w:trPr>
          <w:trHeight w:val="264"/>
        </w:trPr>
        <w:tc>
          <w:tcPr>
            <w:tcW w:w="2175" w:type="dxa"/>
            <w:tcBorders>
              <w:top w:val="nil"/>
              <w:left w:val="nil"/>
              <w:bottom w:val="nil"/>
              <w:right w:val="nil"/>
            </w:tcBorders>
            <w:noWrap/>
            <w:vAlign w:val="center"/>
            <w:hideMark/>
          </w:tcPr>
          <w:p w14:paraId="3DFB855A" w14:textId="77777777" w:rsidR="004E37EE" w:rsidRPr="007915F2" w:rsidRDefault="004E37EE" w:rsidP="00D61CD6">
            <w:pPr>
              <w:spacing w:after="0" w:line="240" w:lineRule="auto"/>
              <w:rPr>
                <w:rFonts w:ascii="Garamond" w:hAnsi="Garamond"/>
                <w:b/>
                <w:bCs/>
                <w:color w:val="000000"/>
                <w:sz w:val="20"/>
                <w:szCs w:val="20"/>
              </w:rPr>
            </w:pPr>
            <w:r w:rsidRPr="007915F2">
              <w:rPr>
                <w:rFonts w:ascii="Garamond" w:hAnsi="Garamond"/>
                <w:b/>
                <w:bCs/>
                <w:color w:val="000000"/>
                <w:sz w:val="20"/>
                <w:szCs w:val="20"/>
              </w:rPr>
              <w:t xml:space="preserve">Fama &amp; French </w:t>
            </w:r>
          </w:p>
          <w:p w14:paraId="753799BF" w14:textId="77777777" w:rsidR="004E37EE" w:rsidRPr="007915F2" w:rsidRDefault="004E37EE" w:rsidP="00D61CD6">
            <w:pPr>
              <w:spacing w:after="0" w:line="240" w:lineRule="auto"/>
              <w:ind w:right="-108"/>
              <w:rPr>
                <w:rFonts w:ascii="Garamond" w:hAnsi="Garamond"/>
                <w:b/>
                <w:bCs/>
                <w:color w:val="000000"/>
                <w:sz w:val="20"/>
                <w:szCs w:val="20"/>
              </w:rPr>
            </w:pPr>
            <w:r w:rsidRPr="007915F2">
              <w:rPr>
                <w:rFonts w:ascii="Garamond" w:hAnsi="Garamond"/>
                <w:b/>
                <w:bCs/>
                <w:color w:val="000000"/>
                <w:sz w:val="20"/>
                <w:szCs w:val="20"/>
              </w:rPr>
              <w:t xml:space="preserve">Industry Classification </w:t>
            </w:r>
          </w:p>
        </w:tc>
        <w:tc>
          <w:tcPr>
            <w:tcW w:w="754" w:type="dxa"/>
            <w:tcBorders>
              <w:top w:val="nil"/>
              <w:left w:val="nil"/>
              <w:bottom w:val="nil"/>
              <w:right w:val="nil"/>
            </w:tcBorders>
            <w:noWrap/>
            <w:vAlign w:val="center"/>
            <w:hideMark/>
          </w:tcPr>
          <w:p w14:paraId="71121C3C" w14:textId="77777777" w:rsidR="004E37EE" w:rsidRPr="007915F2" w:rsidRDefault="004E37EE" w:rsidP="00D61CD6">
            <w:pPr>
              <w:spacing w:after="0" w:line="240" w:lineRule="auto"/>
              <w:jc w:val="right"/>
              <w:rPr>
                <w:rFonts w:ascii="Garamond" w:hAnsi="Garamond"/>
                <w:b/>
                <w:bCs/>
                <w:color w:val="000000"/>
                <w:sz w:val="20"/>
                <w:szCs w:val="20"/>
              </w:rPr>
            </w:pPr>
            <w:r w:rsidRPr="007915F2">
              <w:rPr>
                <w:rFonts w:ascii="Garamond" w:hAnsi="Garamond"/>
                <w:b/>
                <w:bCs/>
                <w:color w:val="000000"/>
                <w:sz w:val="20"/>
                <w:szCs w:val="20"/>
              </w:rPr>
              <w:t>Num</w:t>
            </w:r>
          </w:p>
        </w:tc>
        <w:tc>
          <w:tcPr>
            <w:tcW w:w="776" w:type="dxa"/>
            <w:tcBorders>
              <w:top w:val="nil"/>
              <w:left w:val="nil"/>
              <w:bottom w:val="nil"/>
              <w:right w:val="nil"/>
            </w:tcBorders>
            <w:vAlign w:val="center"/>
            <w:hideMark/>
          </w:tcPr>
          <w:p w14:paraId="5ED220B5"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ROE</w:t>
            </w:r>
          </w:p>
        </w:tc>
        <w:tc>
          <w:tcPr>
            <w:tcW w:w="990" w:type="dxa"/>
            <w:tcBorders>
              <w:top w:val="nil"/>
              <w:left w:val="nil"/>
              <w:bottom w:val="nil"/>
              <w:right w:val="nil"/>
            </w:tcBorders>
            <w:vAlign w:val="center"/>
            <w:hideMark/>
          </w:tcPr>
          <w:p w14:paraId="3E3DA3C9"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 xml:space="preserve"> CLS</w:t>
            </w:r>
          </w:p>
        </w:tc>
        <w:tc>
          <w:tcPr>
            <w:tcW w:w="990" w:type="dxa"/>
            <w:tcBorders>
              <w:top w:val="nil"/>
              <w:left w:val="nil"/>
              <w:bottom w:val="nil"/>
              <w:right w:val="nil"/>
            </w:tcBorders>
            <w:vAlign w:val="center"/>
            <w:hideMark/>
          </w:tcPr>
          <w:p w14:paraId="5DC11C4D"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 xml:space="preserve"> EIG</w:t>
            </w:r>
          </w:p>
        </w:tc>
        <w:tc>
          <w:tcPr>
            <w:tcW w:w="1080" w:type="dxa"/>
            <w:tcBorders>
              <w:top w:val="nil"/>
              <w:left w:val="nil"/>
              <w:bottom w:val="nil"/>
              <w:right w:val="nil"/>
            </w:tcBorders>
            <w:vAlign w:val="center"/>
            <w:hideMark/>
          </w:tcPr>
          <w:p w14:paraId="54679E59"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 xml:space="preserve"> ECC</w:t>
            </w:r>
          </w:p>
        </w:tc>
        <w:tc>
          <w:tcPr>
            <w:tcW w:w="990" w:type="dxa"/>
            <w:tcBorders>
              <w:top w:val="nil"/>
              <w:left w:val="nil"/>
              <w:bottom w:val="nil"/>
              <w:right w:val="nil"/>
            </w:tcBorders>
            <w:vAlign w:val="center"/>
            <w:hideMark/>
          </w:tcPr>
          <w:p w14:paraId="26329726"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 xml:space="preserve"> ATH</w:t>
            </w:r>
          </w:p>
        </w:tc>
        <w:tc>
          <w:tcPr>
            <w:tcW w:w="900" w:type="dxa"/>
            <w:tcBorders>
              <w:top w:val="nil"/>
              <w:left w:val="nil"/>
              <w:bottom w:val="nil"/>
              <w:right w:val="nil"/>
            </w:tcBorders>
            <w:vAlign w:val="center"/>
            <w:hideMark/>
          </w:tcPr>
          <w:p w14:paraId="7DDD45F9"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 xml:space="preserve"> PGE</w:t>
            </w:r>
          </w:p>
        </w:tc>
        <w:tc>
          <w:tcPr>
            <w:tcW w:w="990" w:type="dxa"/>
            <w:tcBorders>
              <w:top w:val="nil"/>
              <w:left w:val="nil"/>
              <w:bottom w:val="nil"/>
              <w:right w:val="nil"/>
            </w:tcBorders>
            <w:vAlign w:val="center"/>
            <w:hideMark/>
          </w:tcPr>
          <w:p w14:paraId="2CD25200"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 xml:space="preserve"> IDG</w:t>
            </w:r>
          </w:p>
        </w:tc>
        <w:tc>
          <w:tcPr>
            <w:tcW w:w="990" w:type="dxa"/>
            <w:tcBorders>
              <w:top w:val="nil"/>
              <w:left w:val="nil"/>
              <w:bottom w:val="nil"/>
              <w:right w:val="nil"/>
            </w:tcBorders>
            <w:vAlign w:val="center"/>
            <w:hideMark/>
          </w:tcPr>
          <w:p w14:paraId="1BA09D3F"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 xml:space="preserve"> ODG</w:t>
            </w:r>
          </w:p>
        </w:tc>
        <w:tc>
          <w:tcPr>
            <w:tcW w:w="990" w:type="dxa"/>
            <w:tcBorders>
              <w:top w:val="nil"/>
              <w:left w:val="nil"/>
              <w:bottom w:val="nil"/>
              <w:right w:val="nil"/>
            </w:tcBorders>
            <w:vAlign w:val="center"/>
            <w:hideMark/>
          </w:tcPr>
          <w:p w14:paraId="7BBD4C28"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 xml:space="preserve"> CLT</w:t>
            </w:r>
          </w:p>
        </w:tc>
        <w:tc>
          <w:tcPr>
            <w:tcW w:w="990" w:type="dxa"/>
            <w:tcBorders>
              <w:top w:val="nil"/>
              <w:left w:val="nil"/>
              <w:bottom w:val="nil"/>
              <w:right w:val="nil"/>
            </w:tcBorders>
            <w:vAlign w:val="center"/>
            <w:hideMark/>
          </w:tcPr>
          <w:p w14:paraId="281F854E"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 xml:space="preserve"> CSZ</w:t>
            </w:r>
          </w:p>
        </w:tc>
        <w:tc>
          <w:tcPr>
            <w:tcW w:w="900" w:type="dxa"/>
            <w:tcBorders>
              <w:top w:val="nil"/>
              <w:left w:val="nil"/>
              <w:bottom w:val="nil"/>
              <w:right w:val="nil"/>
            </w:tcBorders>
            <w:vAlign w:val="center"/>
            <w:hideMark/>
          </w:tcPr>
          <w:p w14:paraId="5C49D508"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 xml:space="preserve"> TIR</w:t>
            </w:r>
          </w:p>
        </w:tc>
      </w:tr>
      <w:tr w:rsidR="004E37EE" w:rsidRPr="007915F2" w14:paraId="1CDB279D" w14:textId="77777777" w:rsidTr="008B24D1">
        <w:trPr>
          <w:trHeight w:val="264"/>
        </w:trPr>
        <w:tc>
          <w:tcPr>
            <w:tcW w:w="2175" w:type="dxa"/>
            <w:tcBorders>
              <w:top w:val="nil"/>
              <w:left w:val="nil"/>
              <w:bottom w:val="nil"/>
              <w:right w:val="nil"/>
            </w:tcBorders>
            <w:noWrap/>
            <w:vAlign w:val="bottom"/>
            <w:hideMark/>
          </w:tcPr>
          <w:p w14:paraId="67A6F12B"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IND1: NoDur</w:t>
            </w:r>
          </w:p>
        </w:tc>
        <w:tc>
          <w:tcPr>
            <w:tcW w:w="754" w:type="dxa"/>
            <w:tcBorders>
              <w:top w:val="nil"/>
              <w:left w:val="nil"/>
              <w:bottom w:val="nil"/>
              <w:right w:val="nil"/>
            </w:tcBorders>
            <w:noWrap/>
            <w:vAlign w:val="bottom"/>
            <w:hideMark/>
          </w:tcPr>
          <w:p w14:paraId="0A7EFADB"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236</w:t>
            </w:r>
          </w:p>
        </w:tc>
        <w:tc>
          <w:tcPr>
            <w:tcW w:w="776" w:type="dxa"/>
            <w:tcBorders>
              <w:top w:val="nil"/>
              <w:left w:val="nil"/>
              <w:bottom w:val="nil"/>
              <w:right w:val="nil"/>
            </w:tcBorders>
            <w:vAlign w:val="center"/>
            <w:hideMark/>
          </w:tcPr>
          <w:p w14:paraId="446A5D2E"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10.21</w:t>
            </w:r>
          </w:p>
        </w:tc>
        <w:tc>
          <w:tcPr>
            <w:tcW w:w="990" w:type="dxa"/>
            <w:tcBorders>
              <w:top w:val="nil"/>
              <w:left w:val="nil"/>
              <w:bottom w:val="nil"/>
              <w:right w:val="nil"/>
            </w:tcBorders>
            <w:vAlign w:val="center"/>
            <w:hideMark/>
          </w:tcPr>
          <w:p w14:paraId="3F857B56"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7ED972F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1080" w:type="dxa"/>
            <w:tcBorders>
              <w:top w:val="nil"/>
              <w:left w:val="nil"/>
              <w:bottom w:val="nil"/>
              <w:right w:val="nil"/>
            </w:tcBorders>
            <w:vAlign w:val="center"/>
            <w:hideMark/>
          </w:tcPr>
          <w:p w14:paraId="771CA766"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13.81</w:t>
            </w:r>
          </w:p>
        </w:tc>
        <w:tc>
          <w:tcPr>
            <w:tcW w:w="990" w:type="dxa"/>
            <w:tcBorders>
              <w:top w:val="nil"/>
              <w:left w:val="nil"/>
              <w:bottom w:val="nil"/>
              <w:right w:val="nil"/>
            </w:tcBorders>
            <w:vAlign w:val="center"/>
            <w:hideMark/>
          </w:tcPr>
          <w:p w14:paraId="214EF875"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6D9E527B"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6DCF1871"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3.5</w:t>
            </w:r>
          </w:p>
        </w:tc>
        <w:tc>
          <w:tcPr>
            <w:tcW w:w="990" w:type="dxa"/>
            <w:tcBorders>
              <w:top w:val="nil"/>
              <w:left w:val="nil"/>
              <w:bottom w:val="nil"/>
              <w:right w:val="nil"/>
            </w:tcBorders>
            <w:vAlign w:val="center"/>
            <w:hideMark/>
          </w:tcPr>
          <w:p w14:paraId="3CE9864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3.27</w:t>
            </w:r>
          </w:p>
        </w:tc>
        <w:tc>
          <w:tcPr>
            <w:tcW w:w="990" w:type="dxa"/>
            <w:tcBorders>
              <w:top w:val="nil"/>
              <w:left w:val="nil"/>
              <w:bottom w:val="nil"/>
              <w:right w:val="nil"/>
            </w:tcBorders>
            <w:vAlign w:val="center"/>
            <w:hideMark/>
          </w:tcPr>
          <w:p w14:paraId="65D17343"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990" w:type="dxa"/>
            <w:tcBorders>
              <w:top w:val="nil"/>
              <w:left w:val="nil"/>
              <w:bottom w:val="nil"/>
              <w:right w:val="nil"/>
            </w:tcBorders>
            <w:vAlign w:val="center"/>
            <w:hideMark/>
          </w:tcPr>
          <w:p w14:paraId="2F3FBBE4"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1211.75</w:t>
            </w:r>
          </w:p>
        </w:tc>
        <w:tc>
          <w:tcPr>
            <w:tcW w:w="900" w:type="dxa"/>
            <w:tcBorders>
              <w:top w:val="nil"/>
              <w:left w:val="nil"/>
              <w:bottom w:val="nil"/>
              <w:right w:val="nil"/>
            </w:tcBorders>
            <w:vAlign w:val="center"/>
            <w:hideMark/>
          </w:tcPr>
          <w:p w14:paraId="3B17D88B"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4.72</w:t>
            </w:r>
          </w:p>
        </w:tc>
      </w:tr>
      <w:tr w:rsidR="004E37EE" w:rsidRPr="007915F2" w14:paraId="1CCD1522" w14:textId="77777777" w:rsidTr="008B24D1">
        <w:trPr>
          <w:trHeight w:val="264"/>
        </w:trPr>
        <w:tc>
          <w:tcPr>
            <w:tcW w:w="2175" w:type="dxa"/>
            <w:tcBorders>
              <w:top w:val="nil"/>
              <w:left w:val="nil"/>
              <w:bottom w:val="nil"/>
              <w:right w:val="nil"/>
            </w:tcBorders>
            <w:noWrap/>
            <w:vAlign w:val="bottom"/>
            <w:hideMark/>
          </w:tcPr>
          <w:p w14:paraId="1E8B60B8"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IND2: Durbl</w:t>
            </w:r>
          </w:p>
        </w:tc>
        <w:tc>
          <w:tcPr>
            <w:tcW w:w="754" w:type="dxa"/>
            <w:tcBorders>
              <w:top w:val="nil"/>
              <w:left w:val="nil"/>
              <w:bottom w:val="nil"/>
              <w:right w:val="nil"/>
            </w:tcBorders>
            <w:noWrap/>
            <w:vAlign w:val="bottom"/>
            <w:hideMark/>
          </w:tcPr>
          <w:p w14:paraId="640A2C8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340</w:t>
            </w:r>
          </w:p>
        </w:tc>
        <w:tc>
          <w:tcPr>
            <w:tcW w:w="776" w:type="dxa"/>
            <w:tcBorders>
              <w:top w:val="nil"/>
              <w:left w:val="nil"/>
              <w:bottom w:val="nil"/>
              <w:right w:val="nil"/>
            </w:tcBorders>
            <w:vAlign w:val="center"/>
            <w:hideMark/>
          </w:tcPr>
          <w:p w14:paraId="755B7EB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8.45</w:t>
            </w:r>
          </w:p>
        </w:tc>
        <w:tc>
          <w:tcPr>
            <w:tcW w:w="990" w:type="dxa"/>
            <w:tcBorders>
              <w:top w:val="nil"/>
              <w:left w:val="nil"/>
              <w:bottom w:val="nil"/>
              <w:right w:val="nil"/>
            </w:tcBorders>
            <w:vAlign w:val="center"/>
            <w:hideMark/>
          </w:tcPr>
          <w:p w14:paraId="5219822E"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37A40C08"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1080" w:type="dxa"/>
            <w:tcBorders>
              <w:top w:val="nil"/>
              <w:left w:val="nil"/>
              <w:bottom w:val="nil"/>
              <w:right w:val="nil"/>
            </w:tcBorders>
            <w:vAlign w:val="center"/>
            <w:hideMark/>
          </w:tcPr>
          <w:p w14:paraId="2B6E6945"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13.5</w:t>
            </w:r>
          </w:p>
        </w:tc>
        <w:tc>
          <w:tcPr>
            <w:tcW w:w="990" w:type="dxa"/>
            <w:tcBorders>
              <w:top w:val="nil"/>
              <w:left w:val="nil"/>
              <w:bottom w:val="nil"/>
              <w:right w:val="nil"/>
            </w:tcBorders>
            <w:vAlign w:val="center"/>
            <w:hideMark/>
          </w:tcPr>
          <w:p w14:paraId="45C9582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5847B312"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51ADB0C0"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6.39</w:t>
            </w:r>
          </w:p>
        </w:tc>
        <w:tc>
          <w:tcPr>
            <w:tcW w:w="990" w:type="dxa"/>
            <w:tcBorders>
              <w:top w:val="nil"/>
              <w:left w:val="nil"/>
              <w:bottom w:val="nil"/>
              <w:right w:val="nil"/>
            </w:tcBorders>
            <w:vAlign w:val="center"/>
            <w:hideMark/>
          </w:tcPr>
          <w:p w14:paraId="0F628F38"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9.52</w:t>
            </w:r>
          </w:p>
        </w:tc>
        <w:tc>
          <w:tcPr>
            <w:tcW w:w="990" w:type="dxa"/>
            <w:tcBorders>
              <w:top w:val="nil"/>
              <w:left w:val="nil"/>
              <w:bottom w:val="nil"/>
              <w:right w:val="nil"/>
            </w:tcBorders>
            <w:vAlign w:val="center"/>
            <w:hideMark/>
          </w:tcPr>
          <w:p w14:paraId="531D062C"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0.03</w:t>
            </w:r>
          </w:p>
        </w:tc>
        <w:tc>
          <w:tcPr>
            <w:tcW w:w="990" w:type="dxa"/>
            <w:tcBorders>
              <w:top w:val="nil"/>
              <w:left w:val="nil"/>
              <w:bottom w:val="nil"/>
              <w:right w:val="nil"/>
            </w:tcBorders>
            <w:vAlign w:val="center"/>
            <w:hideMark/>
          </w:tcPr>
          <w:p w14:paraId="1B82B3FB"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1694.55</w:t>
            </w:r>
          </w:p>
        </w:tc>
        <w:tc>
          <w:tcPr>
            <w:tcW w:w="900" w:type="dxa"/>
            <w:tcBorders>
              <w:top w:val="nil"/>
              <w:left w:val="nil"/>
              <w:bottom w:val="nil"/>
              <w:right w:val="nil"/>
            </w:tcBorders>
            <w:vAlign w:val="center"/>
            <w:hideMark/>
          </w:tcPr>
          <w:p w14:paraId="003F708A"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4.6</w:t>
            </w:r>
          </w:p>
        </w:tc>
      </w:tr>
      <w:tr w:rsidR="004E37EE" w:rsidRPr="007915F2" w14:paraId="71F04877" w14:textId="77777777" w:rsidTr="008B24D1">
        <w:trPr>
          <w:trHeight w:val="264"/>
        </w:trPr>
        <w:tc>
          <w:tcPr>
            <w:tcW w:w="2175" w:type="dxa"/>
            <w:tcBorders>
              <w:top w:val="nil"/>
              <w:left w:val="nil"/>
              <w:bottom w:val="nil"/>
              <w:right w:val="nil"/>
            </w:tcBorders>
            <w:noWrap/>
            <w:vAlign w:val="bottom"/>
            <w:hideMark/>
          </w:tcPr>
          <w:p w14:paraId="02B07945"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IND3: Manuf</w:t>
            </w:r>
          </w:p>
        </w:tc>
        <w:tc>
          <w:tcPr>
            <w:tcW w:w="754" w:type="dxa"/>
            <w:tcBorders>
              <w:top w:val="nil"/>
              <w:left w:val="nil"/>
              <w:bottom w:val="nil"/>
              <w:right w:val="nil"/>
            </w:tcBorders>
            <w:noWrap/>
            <w:vAlign w:val="bottom"/>
            <w:hideMark/>
          </w:tcPr>
          <w:p w14:paraId="47290B9B"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871</w:t>
            </w:r>
          </w:p>
        </w:tc>
        <w:tc>
          <w:tcPr>
            <w:tcW w:w="776" w:type="dxa"/>
            <w:tcBorders>
              <w:top w:val="nil"/>
              <w:left w:val="nil"/>
              <w:bottom w:val="nil"/>
              <w:right w:val="nil"/>
            </w:tcBorders>
            <w:vAlign w:val="center"/>
            <w:hideMark/>
          </w:tcPr>
          <w:p w14:paraId="0CAF145A"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9.07</w:t>
            </w:r>
          </w:p>
        </w:tc>
        <w:tc>
          <w:tcPr>
            <w:tcW w:w="990" w:type="dxa"/>
            <w:tcBorders>
              <w:top w:val="nil"/>
              <w:left w:val="nil"/>
              <w:bottom w:val="nil"/>
              <w:right w:val="nil"/>
            </w:tcBorders>
            <w:vAlign w:val="center"/>
            <w:hideMark/>
          </w:tcPr>
          <w:p w14:paraId="33AC7F6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7BA0BA41"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1080" w:type="dxa"/>
            <w:tcBorders>
              <w:top w:val="nil"/>
              <w:left w:val="nil"/>
              <w:bottom w:val="nil"/>
              <w:right w:val="nil"/>
            </w:tcBorders>
            <w:vAlign w:val="center"/>
            <w:hideMark/>
          </w:tcPr>
          <w:p w14:paraId="60164B05"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13.86</w:t>
            </w:r>
          </w:p>
        </w:tc>
        <w:tc>
          <w:tcPr>
            <w:tcW w:w="990" w:type="dxa"/>
            <w:tcBorders>
              <w:top w:val="nil"/>
              <w:left w:val="nil"/>
              <w:bottom w:val="nil"/>
              <w:right w:val="nil"/>
            </w:tcBorders>
            <w:vAlign w:val="center"/>
            <w:hideMark/>
          </w:tcPr>
          <w:p w14:paraId="5248DEF3"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509DEBD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556D6F98"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4.47</w:t>
            </w:r>
          </w:p>
        </w:tc>
        <w:tc>
          <w:tcPr>
            <w:tcW w:w="990" w:type="dxa"/>
            <w:tcBorders>
              <w:top w:val="nil"/>
              <w:left w:val="nil"/>
              <w:bottom w:val="nil"/>
              <w:right w:val="nil"/>
            </w:tcBorders>
            <w:vAlign w:val="center"/>
            <w:hideMark/>
          </w:tcPr>
          <w:p w14:paraId="625F07E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6.44</w:t>
            </w:r>
          </w:p>
        </w:tc>
        <w:tc>
          <w:tcPr>
            <w:tcW w:w="990" w:type="dxa"/>
            <w:tcBorders>
              <w:top w:val="nil"/>
              <w:left w:val="nil"/>
              <w:bottom w:val="nil"/>
              <w:right w:val="nil"/>
            </w:tcBorders>
            <w:vAlign w:val="center"/>
            <w:hideMark/>
          </w:tcPr>
          <w:p w14:paraId="72BF72D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0.02</w:t>
            </w:r>
          </w:p>
        </w:tc>
        <w:tc>
          <w:tcPr>
            <w:tcW w:w="990" w:type="dxa"/>
            <w:tcBorders>
              <w:top w:val="nil"/>
              <w:left w:val="nil"/>
              <w:bottom w:val="nil"/>
              <w:right w:val="nil"/>
            </w:tcBorders>
            <w:vAlign w:val="center"/>
            <w:hideMark/>
          </w:tcPr>
          <w:p w14:paraId="35A5DCAE"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1526.81</w:t>
            </w:r>
          </w:p>
        </w:tc>
        <w:tc>
          <w:tcPr>
            <w:tcW w:w="900" w:type="dxa"/>
            <w:tcBorders>
              <w:top w:val="nil"/>
              <w:left w:val="nil"/>
              <w:bottom w:val="nil"/>
              <w:right w:val="nil"/>
            </w:tcBorders>
            <w:vAlign w:val="center"/>
            <w:hideMark/>
          </w:tcPr>
          <w:p w14:paraId="370FBDC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4.6</w:t>
            </w:r>
          </w:p>
        </w:tc>
      </w:tr>
      <w:tr w:rsidR="004E37EE" w:rsidRPr="007915F2" w14:paraId="257C3FF8" w14:textId="77777777" w:rsidTr="008B24D1">
        <w:trPr>
          <w:trHeight w:val="264"/>
        </w:trPr>
        <w:tc>
          <w:tcPr>
            <w:tcW w:w="2175" w:type="dxa"/>
            <w:tcBorders>
              <w:top w:val="nil"/>
              <w:left w:val="nil"/>
              <w:bottom w:val="nil"/>
              <w:right w:val="nil"/>
            </w:tcBorders>
            <w:noWrap/>
            <w:vAlign w:val="bottom"/>
            <w:hideMark/>
          </w:tcPr>
          <w:p w14:paraId="2A1900E2"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IND4: Enrgy</w:t>
            </w:r>
          </w:p>
        </w:tc>
        <w:tc>
          <w:tcPr>
            <w:tcW w:w="754" w:type="dxa"/>
            <w:tcBorders>
              <w:top w:val="nil"/>
              <w:left w:val="nil"/>
              <w:bottom w:val="nil"/>
              <w:right w:val="nil"/>
            </w:tcBorders>
            <w:noWrap/>
            <w:vAlign w:val="bottom"/>
            <w:hideMark/>
          </w:tcPr>
          <w:p w14:paraId="1C439720"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168</w:t>
            </w:r>
          </w:p>
        </w:tc>
        <w:tc>
          <w:tcPr>
            <w:tcW w:w="776" w:type="dxa"/>
            <w:tcBorders>
              <w:top w:val="nil"/>
              <w:left w:val="nil"/>
              <w:bottom w:val="nil"/>
              <w:right w:val="nil"/>
            </w:tcBorders>
            <w:vAlign w:val="center"/>
            <w:hideMark/>
          </w:tcPr>
          <w:p w14:paraId="680962DD"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6.83</w:t>
            </w:r>
          </w:p>
        </w:tc>
        <w:tc>
          <w:tcPr>
            <w:tcW w:w="990" w:type="dxa"/>
            <w:tcBorders>
              <w:top w:val="nil"/>
              <w:left w:val="nil"/>
              <w:bottom w:val="nil"/>
              <w:right w:val="nil"/>
            </w:tcBorders>
            <w:vAlign w:val="center"/>
            <w:hideMark/>
          </w:tcPr>
          <w:p w14:paraId="4B22B9FC"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0E45E280"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1080" w:type="dxa"/>
            <w:tcBorders>
              <w:top w:val="nil"/>
              <w:left w:val="nil"/>
              <w:bottom w:val="nil"/>
              <w:right w:val="nil"/>
            </w:tcBorders>
            <w:vAlign w:val="center"/>
            <w:hideMark/>
          </w:tcPr>
          <w:p w14:paraId="2A0EF5D5"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14.05</w:t>
            </w:r>
          </w:p>
        </w:tc>
        <w:tc>
          <w:tcPr>
            <w:tcW w:w="990" w:type="dxa"/>
            <w:tcBorders>
              <w:top w:val="nil"/>
              <w:left w:val="nil"/>
              <w:bottom w:val="nil"/>
              <w:right w:val="nil"/>
            </w:tcBorders>
            <w:vAlign w:val="center"/>
            <w:hideMark/>
          </w:tcPr>
          <w:p w14:paraId="1AF9C21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7A980B20"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35EFC6DB"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7.77</w:t>
            </w:r>
          </w:p>
        </w:tc>
        <w:tc>
          <w:tcPr>
            <w:tcW w:w="990" w:type="dxa"/>
            <w:tcBorders>
              <w:top w:val="nil"/>
              <w:left w:val="nil"/>
              <w:bottom w:val="nil"/>
              <w:right w:val="nil"/>
            </w:tcBorders>
            <w:vAlign w:val="center"/>
            <w:hideMark/>
          </w:tcPr>
          <w:p w14:paraId="4AAC9FB1"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4.3</w:t>
            </w:r>
          </w:p>
        </w:tc>
        <w:tc>
          <w:tcPr>
            <w:tcW w:w="990" w:type="dxa"/>
            <w:tcBorders>
              <w:top w:val="nil"/>
              <w:left w:val="nil"/>
              <w:bottom w:val="nil"/>
              <w:right w:val="nil"/>
            </w:tcBorders>
            <w:vAlign w:val="center"/>
            <w:hideMark/>
          </w:tcPr>
          <w:p w14:paraId="5B7724DD"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0.02</w:t>
            </w:r>
          </w:p>
        </w:tc>
        <w:tc>
          <w:tcPr>
            <w:tcW w:w="990" w:type="dxa"/>
            <w:tcBorders>
              <w:top w:val="nil"/>
              <w:left w:val="nil"/>
              <w:bottom w:val="nil"/>
              <w:right w:val="nil"/>
            </w:tcBorders>
            <w:vAlign w:val="center"/>
            <w:hideMark/>
          </w:tcPr>
          <w:p w14:paraId="04CE0AC8"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1758.32</w:t>
            </w:r>
          </w:p>
        </w:tc>
        <w:tc>
          <w:tcPr>
            <w:tcW w:w="900" w:type="dxa"/>
            <w:tcBorders>
              <w:top w:val="nil"/>
              <w:left w:val="nil"/>
              <w:bottom w:val="nil"/>
              <w:right w:val="nil"/>
            </w:tcBorders>
            <w:vAlign w:val="center"/>
            <w:hideMark/>
          </w:tcPr>
          <w:p w14:paraId="6F803B9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4.77</w:t>
            </w:r>
          </w:p>
        </w:tc>
      </w:tr>
      <w:tr w:rsidR="004E37EE" w:rsidRPr="007915F2" w14:paraId="0B2969F7" w14:textId="77777777" w:rsidTr="008B24D1">
        <w:trPr>
          <w:trHeight w:val="264"/>
        </w:trPr>
        <w:tc>
          <w:tcPr>
            <w:tcW w:w="2175" w:type="dxa"/>
            <w:tcBorders>
              <w:top w:val="nil"/>
              <w:left w:val="nil"/>
              <w:bottom w:val="nil"/>
              <w:right w:val="nil"/>
            </w:tcBorders>
            <w:noWrap/>
            <w:vAlign w:val="bottom"/>
            <w:hideMark/>
          </w:tcPr>
          <w:p w14:paraId="2AAED4A7"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IND5: Chems</w:t>
            </w:r>
          </w:p>
        </w:tc>
        <w:tc>
          <w:tcPr>
            <w:tcW w:w="754" w:type="dxa"/>
            <w:tcBorders>
              <w:top w:val="nil"/>
              <w:left w:val="nil"/>
              <w:bottom w:val="nil"/>
              <w:right w:val="nil"/>
            </w:tcBorders>
            <w:noWrap/>
            <w:vAlign w:val="bottom"/>
            <w:hideMark/>
          </w:tcPr>
          <w:p w14:paraId="1020D00E"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191</w:t>
            </w:r>
          </w:p>
        </w:tc>
        <w:tc>
          <w:tcPr>
            <w:tcW w:w="776" w:type="dxa"/>
            <w:tcBorders>
              <w:top w:val="nil"/>
              <w:left w:val="nil"/>
              <w:bottom w:val="nil"/>
              <w:right w:val="nil"/>
            </w:tcBorders>
            <w:vAlign w:val="center"/>
            <w:hideMark/>
          </w:tcPr>
          <w:p w14:paraId="55DA6434"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10.47</w:t>
            </w:r>
          </w:p>
        </w:tc>
        <w:tc>
          <w:tcPr>
            <w:tcW w:w="990" w:type="dxa"/>
            <w:tcBorders>
              <w:top w:val="nil"/>
              <w:left w:val="nil"/>
              <w:bottom w:val="nil"/>
              <w:right w:val="nil"/>
            </w:tcBorders>
            <w:vAlign w:val="center"/>
            <w:hideMark/>
          </w:tcPr>
          <w:p w14:paraId="364304CB"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441BBAC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1080" w:type="dxa"/>
            <w:tcBorders>
              <w:top w:val="nil"/>
              <w:left w:val="nil"/>
              <w:bottom w:val="nil"/>
              <w:right w:val="nil"/>
            </w:tcBorders>
            <w:vAlign w:val="center"/>
            <w:hideMark/>
          </w:tcPr>
          <w:p w14:paraId="76D97F1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13.8</w:t>
            </w:r>
          </w:p>
        </w:tc>
        <w:tc>
          <w:tcPr>
            <w:tcW w:w="990" w:type="dxa"/>
            <w:tcBorders>
              <w:top w:val="nil"/>
              <w:left w:val="nil"/>
              <w:bottom w:val="nil"/>
              <w:right w:val="nil"/>
            </w:tcBorders>
            <w:vAlign w:val="center"/>
            <w:hideMark/>
          </w:tcPr>
          <w:p w14:paraId="10ED9FE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071C0EDA"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5A7281E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5.7</w:t>
            </w:r>
          </w:p>
        </w:tc>
        <w:tc>
          <w:tcPr>
            <w:tcW w:w="990" w:type="dxa"/>
            <w:tcBorders>
              <w:top w:val="nil"/>
              <w:left w:val="nil"/>
              <w:bottom w:val="nil"/>
              <w:right w:val="nil"/>
            </w:tcBorders>
            <w:vAlign w:val="center"/>
            <w:hideMark/>
          </w:tcPr>
          <w:p w14:paraId="75EF8543"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4.83</w:t>
            </w:r>
          </w:p>
        </w:tc>
        <w:tc>
          <w:tcPr>
            <w:tcW w:w="990" w:type="dxa"/>
            <w:tcBorders>
              <w:top w:val="nil"/>
              <w:left w:val="nil"/>
              <w:bottom w:val="nil"/>
              <w:right w:val="nil"/>
            </w:tcBorders>
            <w:vAlign w:val="center"/>
            <w:hideMark/>
          </w:tcPr>
          <w:p w14:paraId="00D85A93"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990" w:type="dxa"/>
            <w:tcBorders>
              <w:top w:val="nil"/>
              <w:left w:val="nil"/>
              <w:bottom w:val="nil"/>
              <w:right w:val="nil"/>
            </w:tcBorders>
            <w:vAlign w:val="center"/>
            <w:hideMark/>
          </w:tcPr>
          <w:p w14:paraId="07175701"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1552.96</w:t>
            </w:r>
          </w:p>
        </w:tc>
        <w:tc>
          <w:tcPr>
            <w:tcW w:w="900" w:type="dxa"/>
            <w:tcBorders>
              <w:top w:val="nil"/>
              <w:left w:val="nil"/>
              <w:bottom w:val="nil"/>
              <w:right w:val="nil"/>
            </w:tcBorders>
            <w:vAlign w:val="center"/>
            <w:hideMark/>
          </w:tcPr>
          <w:p w14:paraId="25716B2D"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4.56</w:t>
            </w:r>
          </w:p>
        </w:tc>
      </w:tr>
      <w:tr w:rsidR="004E37EE" w:rsidRPr="007915F2" w14:paraId="31772B69" w14:textId="77777777" w:rsidTr="008B24D1">
        <w:trPr>
          <w:trHeight w:val="264"/>
        </w:trPr>
        <w:tc>
          <w:tcPr>
            <w:tcW w:w="2175" w:type="dxa"/>
            <w:tcBorders>
              <w:top w:val="nil"/>
              <w:left w:val="nil"/>
              <w:bottom w:val="nil"/>
              <w:right w:val="nil"/>
            </w:tcBorders>
            <w:noWrap/>
            <w:vAlign w:val="bottom"/>
            <w:hideMark/>
          </w:tcPr>
          <w:p w14:paraId="4ED2E4EF"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IND6: BusEq</w:t>
            </w:r>
          </w:p>
        </w:tc>
        <w:tc>
          <w:tcPr>
            <w:tcW w:w="754" w:type="dxa"/>
            <w:tcBorders>
              <w:top w:val="nil"/>
              <w:left w:val="nil"/>
              <w:bottom w:val="nil"/>
              <w:right w:val="nil"/>
            </w:tcBorders>
            <w:noWrap/>
            <w:vAlign w:val="bottom"/>
            <w:hideMark/>
          </w:tcPr>
          <w:p w14:paraId="0BA58FDD"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838</w:t>
            </w:r>
          </w:p>
        </w:tc>
        <w:tc>
          <w:tcPr>
            <w:tcW w:w="776" w:type="dxa"/>
            <w:tcBorders>
              <w:top w:val="nil"/>
              <w:left w:val="nil"/>
              <w:bottom w:val="nil"/>
              <w:right w:val="nil"/>
            </w:tcBorders>
            <w:vAlign w:val="center"/>
            <w:hideMark/>
          </w:tcPr>
          <w:p w14:paraId="698CC3C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9.15</w:t>
            </w:r>
          </w:p>
        </w:tc>
        <w:tc>
          <w:tcPr>
            <w:tcW w:w="990" w:type="dxa"/>
            <w:tcBorders>
              <w:top w:val="nil"/>
              <w:left w:val="nil"/>
              <w:bottom w:val="nil"/>
              <w:right w:val="nil"/>
            </w:tcBorders>
            <w:vAlign w:val="center"/>
            <w:hideMark/>
          </w:tcPr>
          <w:p w14:paraId="583FE031"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2588A06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0.02</w:t>
            </w:r>
          </w:p>
        </w:tc>
        <w:tc>
          <w:tcPr>
            <w:tcW w:w="1080" w:type="dxa"/>
            <w:tcBorders>
              <w:top w:val="nil"/>
              <w:left w:val="nil"/>
              <w:bottom w:val="nil"/>
              <w:right w:val="nil"/>
            </w:tcBorders>
            <w:vAlign w:val="center"/>
            <w:hideMark/>
          </w:tcPr>
          <w:p w14:paraId="057E58C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13.77</w:t>
            </w:r>
          </w:p>
        </w:tc>
        <w:tc>
          <w:tcPr>
            <w:tcW w:w="990" w:type="dxa"/>
            <w:tcBorders>
              <w:top w:val="nil"/>
              <w:left w:val="nil"/>
              <w:bottom w:val="nil"/>
              <w:right w:val="nil"/>
            </w:tcBorders>
            <w:vAlign w:val="center"/>
            <w:hideMark/>
          </w:tcPr>
          <w:p w14:paraId="5B20771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900" w:type="dxa"/>
            <w:tcBorders>
              <w:top w:val="nil"/>
              <w:left w:val="nil"/>
              <w:bottom w:val="nil"/>
              <w:right w:val="nil"/>
            </w:tcBorders>
            <w:vAlign w:val="center"/>
            <w:hideMark/>
          </w:tcPr>
          <w:p w14:paraId="0785EBC1"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37B1ED48"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6.11</w:t>
            </w:r>
          </w:p>
        </w:tc>
        <w:tc>
          <w:tcPr>
            <w:tcW w:w="990" w:type="dxa"/>
            <w:tcBorders>
              <w:top w:val="nil"/>
              <w:left w:val="nil"/>
              <w:bottom w:val="nil"/>
              <w:right w:val="nil"/>
            </w:tcBorders>
            <w:vAlign w:val="center"/>
            <w:hideMark/>
          </w:tcPr>
          <w:p w14:paraId="3FE8B66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8.26</w:t>
            </w:r>
          </w:p>
        </w:tc>
        <w:tc>
          <w:tcPr>
            <w:tcW w:w="990" w:type="dxa"/>
            <w:tcBorders>
              <w:top w:val="nil"/>
              <w:left w:val="nil"/>
              <w:bottom w:val="nil"/>
              <w:right w:val="nil"/>
            </w:tcBorders>
            <w:vAlign w:val="center"/>
            <w:hideMark/>
          </w:tcPr>
          <w:p w14:paraId="5DAA5FB0"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0.02</w:t>
            </w:r>
          </w:p>
        </w:tc>
        <w:tc>
          <w:tcPr>
            <w:tcW w:w="990" w:type="dxa"/>
            <w:tcBorders>
              <w:top w:val="nil"/>
              <w:left w:val="nil"/>
              <w:bottom w:val="nil"/>
              <w:right w:val="nil"/>
            </w:tcBorders>
            <w:vAlign w:val="center"/>
            <w:hideMark/>
          </w:tcPr>
          <w:p w14:paraId="6C25CDB5"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1737.61</w:t>
            </w:r>
          </w:p>
        </w:tc>
        <w:tc>
          <w:tcPr>
            <w:tcW w:w="900" w:type="dxa"/>
            <w:tcBorders>
              <w:top w:val="nil"/>
              <w:left w:val="nil"/>
              <w:bottom w:val="nil"/>
              <w:right w:val="nil"/>
            </w:tcBorders>
            <w:vAlign w:val="center"/>
            <w:hideMark/>
          </w:tcPr>
          <w:p w14:paraId="015192BE"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4.48</w:t>
            </w:r>
          </w:p>
        </w:tc>
      </w:tr>
      <w:tr w:rsidR="004E37EE" w:rsidRPr="007915F2" w14:paraId="7433518F" w14:textId="77777777" w:rsidTr="008B24D1">
        <w:trPr>
          <w:trHeight w:val="264"/>
        </w:trPr>
        <w:tc>
          <w:tcPr>
            <w:tcW w:w="2175" w:type="dxa"/>
            <w:tcBorders>
              <w:top w:val="nil"/>
              <w:left w:val="nil"/>
              <w:bottom w:val="nil"/>
              <w:right w:val="nil"/>
            </w:tcBorders>
            <w:noWrap/>
            <w:vAlign w:val="bottom"/>
            <w:hideMark/>
          </w:tcPr>
          <w:p w14:paraId="43C93150"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IND7: Telcm</w:t>
            </w:r>
          </w:p>
        </w:tc>
        <w:tc>
          <w:tcPr>
            <w:tcW w:w="754" w:type="dxa"/>
            <w:tcBorders>
              <w:top w:val="nil"/>
              <w:left w:val="nil"/>
              <w:bottom w:val="nil"/>
              <w:right w:val="nil"/>
            </w:tcBorders>
            <w:noWrap/>
            <w:vAlign w:val="bottom"/>
            <w:hideMark/>
          </w:tcPr>
          <w:p w14:paraId="1875AB0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97</w:t>
            </w:r>
          </w:p>
        </w:tc>
        <w:tc>
          <w:tcPr>
            <w:tcW w:w="776" w:type="dxa"/>
            <w:tcBorders>
              <w:top w:val="nil"/>
              <w:left w:val="nil"/>
              <w:bottom w:val="nil"/>
              <w:right w:val="nil"/>
            </w:tcBorders>
            <w:vAlign w:val="center"/>
            <w:hideMark/>
          </w:tcPr>
          <w:p w14:paraId="75302A46"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9.77</w:t>
            </w:r>
          </w:p>
        </w:tc>
        <w:tc>
          <w:tcPr>
            <w:tcW w:w="990" w:type="dxa"/>
            <w:tcBorders>
              <w:top w:val="nil"/>
              <w:left w:val="nil"/>
              <w:bottom w:val="nil"/>
              <w:right w:val="nil"/>
            </w:tcBorders>
            <w:vAlign w:val="center"/>
            <w:hideMark/>
          </w:tcPr>
          <w:p w14:paraId="53D2B8BD"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5606077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1080" w:type="dxa"/>
            <w:tcBorders>
              <w:top w:val="nil"/>
              <w:left w:val="nil"/>
              <w:bottom w:val="nil"/>
              <w:right w:val="nil"/>
            </w:tcBorders>
            <w:vAlign w:val="center"/>
            <w:hideMark/>
          </w:tcPr>
          <w:p w14:paraId="405A6F00"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13.79</w:t>
            </w:r>
          </w:p>
        </w:tc>
        <w:tc>
          <w:tcPr>
            <w:tcW w:w="990" w:type="dxa"/>
            <w:tcBorders>
              <w:top w:val="nil"/>
              <w:left w:val="nil"/>
              <w:bottom w:val="nil"/>
              <w:right w:val="nil"/>
            </w:tcBorders>
            <w:vAlign w:val="center"/>
            <w:hideMark/>
          </w:tcPr>
          <w:p w14:paraId="68612100"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713BDA35"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202F21F6"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7.76</w:t>
            </w:r>
          </w:p>
        </w:tc>
        <w:tc>
          <w:tcPr>
            <w:tcW w:w="990" w:type="dxa"/>
            <w:tcBorders>
              <w:top w:val="nil"/>
              <w:left w:val="nil"/>
              <w:bottom w:val="nil"/>
              <w:right w:val="nil"/>
            </w:tcBorders>
            <w:vAlign w:val="center"/>
            <w:hideMark/>
          </w:tcPr>
          <w:p w14:paraId="4B3693D6"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4.52</w:t>
            </w:r>
          </w:p>
        </w:tc>
        <w:tc>
          <w:tcPr>
            <w:tcW w:w="990" w:type="dxa"/>
            <w:tcBorders>
              <w:top w:val="nil"/>
              <w:left w:val="nil"/>
              <w:bottom w:val="nil"/>
              <w:right w:val="nil"/>
            </w:tcBorders>
            <w:vAlign w:val="center"/>
            <w:hideMark/>
          </w:tcPr>
          <w:p w14:paraId="07D25ECC"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990" w:type="dxa"/>
            <w:tcBorders>
              <w:top w:val="nil"/>
              <w:left w:val="nil"/>
              <w:bottom w:val="nil"/>
              <w:right w:val="nil"/>
            </w:tcBorders>
            <w:vAlign w:val="center"/>
            <w:hideMark/>
          </w:tcPr>
          <w:p w14:paraId="2C8B7AB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1689.82</w:t>
            </w:r>
          </w:p>
        </w:tc>
        <w:tc>
          <w:tcPr>
            <w:tcW w:w="900" w:type="dxa"/>
            <w:tcBorders>
              <w:top w:val="nil"/>
              <w:left w:val="nil"/>
              <w:bottom w:val="nil"/>
              <w:right w:val="nil"/>
            </w:tcBorders>
            <w:vAlign w:val="center"/>
            <w:hideMark/>
          </w:tcPr>
          <w:p w14:paraId="7DEFD10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4.73</w:t>
            </w:r>
          </w:p>
        </w:tc>
      </w:tr>
      <w:tr w:rsidR="004E37EE" w:rsidRPr="007915F2" w14:paraId="0E97E164" w14:textId="77777777" w:rsidTr="008B24D1">
        <w:trPr>
          <w:trHeight w:val="264"/>
        </w:trPr>
        <w:tc>
          <w:tcPr>
            <w:tcW w:w="2175" w:type="dxa"/>
            <w:tcBorders>
              <w:top w:val="nil"/>
              <w:left w:val="nil"/>
              <w:bottom w:val="nil"/>
              <w:right w:val="nil"/>
            </w:tcBorders>
            <w:noWrap/>
            <w:vAlign w:val="bottom"/>
            <w:hideMark/>
          </w:tcPr>
          <w:p w14:paraId="6FCCCE90"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IND8: Utils</w:t>
            </w:r>
          </w:p>
        </w:tc>
        <w:tc>
          <w:tcPr>
            <w:tcW w:w="754" w:type="dxa"/>
            <w:tcBorders>
              <w:top w:val="nil"/>
              <w:left w:val="nil"/>
              <w:bottom w:val="nil"/>
              <w:right w:val="nil"/>
            </w:tcBorders>
            <w:noWrap/>
            <w:vAlign w:val="bottom"/>
            <w:hideMark/>
          </w:tcPr>
          <w:p w14:paraId="1F1D4EA5"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21</w:t>
            </w:r>
          </w:p>
        </w:tc>
        <w:tc>
          <w:tcPr>
            <w:tcW w:w="776" w:type="dxa"/>
            <w:tcBorders>
              <w:top w:val="nil"/>
              <w:left w:val="nil"/>
              <w:bottom w:val="nil"/>
              <w:right w:val="nil"/>
            </w:tcBorders>
            <w:vAlign w:val="center"/>
            <w:hideMark/>
          </w:tcPr>
          <w:p w14:paraId="425ECBC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11.39</w:t>
            </w:r>
          </w:p>
        </w:tc>
        <w:tc>
          <w:tcPr>
            <w:tcW w:w="990" w:type="dxa"/>
            <w:tcBorders>
              <w:top w:val="nil"/>
              <w:left w:val="nil"/>
              <w:bottom w:val="nil"/>
              <w:right w:val="nil"/>
            </w:tcBorders>
            <w:vAlign w:val="center"/>
            <w:hideMark/>
          </w:tcPr>
          <w:p w14:paraId="49BDA30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0B254EA5"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1080" w:type="dxa"/>
            <w:tcBorders>
              <w:top w:val="nil"/>
              <w:left w:val="nil"/>
              <w:bottom w:val="nil"/>
              <w:right w:val="nil"/>
            </w:tcBorders>
            <w:vAlign w:val="center"/>
            <w:hideMark/>
          </w:tcPr>
          <w:p w14:paraId="3146BB6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14.33</w:t>
            </w:r>
          </w:p>
        </w:tc>
        <w:tc>
          <w:tcPr>
            <w:tcW w:w="990" w:type="dxa"/>
            <w:tcBorders>
              <w:top w:val="nil"/>
              <w:left w:val="nil"/>
              <w:bottom w:val="nil"/>
              <w:right w:val="nil"/>
            </w:tcBorders>
            <w:vAlign w:val="center"/>
            <w:hideMark/>
          </w:tcPr>
          <w:p w14:paraId="01901F63"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1110B896"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49861EF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3.71</w:t>
            </w:r>
          </w:p>
        </w:tc>
        <w:tc>
          <w:tcPr>
            <w:tcW w:w="990" w:type="dxa"/>
            <w:tcBorders>
              <w:top w:val="nil"/>
              <w:left w:val="nil"/>
              <w:bottom w:val="nil"/>
              <w:right w:val="nil"/>
            </w:tcBorders>
            <w:vAlign w:val="center"/>
            <w:hideMark/>
          </w:tcPr>
          <w:p w14:paraId="395FED13"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2.29</w:t>
            </w:r>
          </w:p>
        </w:tc>
        <w:tc>
          <w:tcPr>
            <w:tcW w:w="990" w:type="dxa"/>
            <w:tcBorders>
              <w:top w:val="nil"/>
              <w:left w:val="nil"/>
              <w:bottom w:val="nil"/>
              <w:right w:val="nil"/>
            </w:tcBorders>
            <w:vAlign w:val="center"/>
            <w:hideMark/>
          </w:tcPr>
          <w:p w14:paraId="3016B830"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990" w:type="dxa"/>
            <w:tcBorders>
              <w:top w:val="nil"/>
              <w:left w:val="nil"/>
              <w:bottom w:val="nil"/>
              <w:right w:val="nil"/>
            </w:tcBorders>
            <w:vAlign w:val="center"/>
            <w:hideMark/>
          </w:tcPr>
          <w:p w14:paraId="72A4CB72"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1611.86</w:t>
            </w:r>
          </w:p>
        </w:tc>
        <w:tc>
          <w:tcPr>
            <w:tcW w:w="900" w:type="dxa"/>
            <w:tcBorders>
              <w:top w:val="nil"/>
              <w:left w:val="nil"/>
              <w:bottom w:val="nil"/>
              <w:right w:val="nil"/>
            </w:tcBorders>
            <w:vAlign w:val="center"/>
            <w:hideMark/>
          </w:tcPr>
          <w:p w14:paraId="371DD59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4.92</w:t>
            </w:r>
          </w:p>
        </w:tc>
      </w:tr>
      <w:tr w:rsidR="004E37EE" w:rsidRPr="007915F2" w14:paraId="6202DBBA" w14:textId="77777777" w:rsidTr="008B24D1">
        <w:trPr>
          <w:trHeight w:val="264"/>
        </w:trPr>
        <w:tc>
          <w:tcPr>
            <w:tcW w:w="2175" w:type="dxa"/>
            <w:tcBorders>
              <w:top w:val="nil"/>
              <w:left w:val="nil"/>
              <w:bottom w:val="nil"/>
              <w:right w:val="nil"/>
            </w:tcBorders>
            <w:noWrap/>
            <w:vAlign w:val="bottom"/>
            <w:hideMark/>
          </w:tcPr>
          <w:p w14:paraId="73AE8381"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IND9: Shops</w:t>
            </w:r>
          </w:p>
        </w:tc>
        <w:tc>
          <w:tcPr>
            <w:tcW w:w="754" w:type="dxa"/>
            <w:tcBorders>
              <w:top w:val="nil"/>
              <w:left w:val="nil"/>
              <w:bottom w:val="nil"/>
              <w:right w:val="nil"/>
            </w:tcBorders>
            <w:noWrap/>
            <w:vAlign w:val="bottom"/>
            <w:hideMark/>
          </w:tcPr>
          <w:p w14:paraId="08F7E553"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227</w:t>
            </w:r>
          </w:p>
        </w:tc>
        <w:tc>
          <w:tcPr>
            <w:tcW w:w="776" w:type="dxa"/>
            <w:tcBorders>
              <w:top w:val="nil"/>
              <w:left w:val="nil"/>
              <w:bottom w:val="nil"/>
              <w:right w:val="nil"/>
            </w:tcBorders>
            <w:vAlign w:val="center"/>
            <w:hideMark/>
          </w:tcPr>
          <w:p w14:paraId="29256590"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8.62</w:t>
            </w:r>
          </w:p>
        </w:tc>
        <w:tc>
          <w:tcPr>
            <w:tcW w:w="990" w:type="dxa"/>
            <w:tcBorders>
              <w:top w:val="nil"/>
              <w:left w:val="nil"/>
              <w:bottom w:val="nil"/>
              <w:right w:val="nil"/>
            </w:tcBorders>
            <w:vAlign w:val="center"/>
            <w:hideMark/>
          </w:tcPr>
          <w:p w14:paraId="1AB618E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56E75793"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1080" w:type="dxa"/>
            <w:tcBorders>
              <w:top w:val="nil"/>
              <w:left w:val="nil"/>
              <w:bottom w:val="nil"/>
              <w:right w:val="nil"/>
            </w:tcBorders>
            <w:vAlign w:val="center"/>
            <w:hideMark/>
          </w:tcPr>
          <w:p w14:paraId="04177893"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13.95</w:t>
            </w:r>
          </w:p>
        </w:tc>
        <w:tc>
          <w:tcPr>
            <w:tcW w:w="990" w:type="dxa"/>
            <w:tcBorders>
              <w:top w:val="nil"/>
              <w:left w:val="nil"/>
              <w:bottom w:val="nil"/>
              <w:right w:val="nil"/>
            </w:tcBorders>
            <w:vAlign w:val="center"/>
            <w:hideMark/>
          </w:tcPr>
          <w:p w14:paraId="13794E8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2FC69AEA"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7131BED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6.83</w:t>
            </w:r>
          </w:p>
        </w:tc>
        <w:tc>
          <w:tcPr>
            <w:tcW w:w="990" w:type="dxa"/>
            <w:tcBorders>
              <w:top w:val="nil"/>
              <w:left w:val="nil"/>
              <w:bottom w:val="nil"/>
              <w:right w:val="nil"/>
            </w:tcBorders>
            <w:vAlign w:val="center"/>
            <w:hideMark/>
          </w:tcPr>
          <w:p w14:paraId="1C74763D"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4.44</w:t>
            </w:r>
          </w:p>
        </w:tc>
        <w:tc>
          <w:tcPr>
            <w:tcW w:w="990" w:type="dxa"/>
            <w:tcBorders>
              <w:top w:val="nil"/>
              <w:left w:val="nil"/>
              <w:bottom w:val="nil"/>
              <w:right w:val="nil"/>
            </w:tcBorders>
            <w:vAlign w:val="center"/>
            <w:hideMark/>
          </w:tcPr>
          <w:p w14:paraId="3AE8B423"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990" w:type="dxa"/>
            <w:tcBorders>
              <w:top w:val="nil"/>
              <w:left w:val="nil"/>
              <w:bottom w:val="nil"/>
              <w:right w:val="nil"/>
            </w:tcBorders>
            <w:vAlign w:val="center"/>
            <w:hideMark/>
          </w:tcPr>
          <w:p w14:paraId="0C53827A"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1455.37</w:t>
            </w:r>
          </w:p>
        </w:tc>
        <w:tc>
          <w:tcPr>
            <w:tcW w:w="900" w:type="dxa"/>
            <w:tcBorders>
              <w:top w:val="nil"/>
              <w:left w:val="nil"/>
              <w:bottom w:val="nil"/>
              <w:right w:val="nil"/>
            </w:tcBorders>
            <w:vAlign w:val="center"/>
            <w:hideMark/>
          </w:tcPr>
          <w:p w14:paraId="7AC13B0A"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4.61</w:t>
            </w:r>
          </w:p>
        </w:tc>
      </w:tr>
      <w:tr w:rsidR="004E37EE" w:rsidRPr="007915F2" w14:paraId="40A9D4E7" w14:textId="77777777" w:rsidTr="008B24D1">
        <w:trPr>
          <w:trHeight w:val="264"/>
        </w:trPr>
        <w:tc>
          <w:tcPr>
            <w:tcW w:w="2175" w:type="dxa"/>
            <w:tcBorders>
              <w:top w:val="nil"/>
              <w:left w:val="nil"/>
              <w:bottom w:val="nil"/>
              <w:right w:val="nil"/>
            </w:tcBorders>
            <w:noWrap/>
            <w:vAlign w:val="bottom"/>
            <w:hideMark/>
          </w:tcPr>
          <w:p w14:paraId="22B45A65"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IND10: Hlth</w:t>
            </w:r>
          </w:p>
        </w:tc>
        <w:tc>
          <w:tcPr>
            <w:tcW w:w="754" w:type="dxa"/>
            <w:tcBorders>
              <w:top w:val="nil"/>
              <w:left w:val="nil"/>
              <w:bottom w:val="nil"/>
              <w:right w:val="nil"/>
            </w:tcBorders>
            <w:noWrap/>
            <w:vAlign w:val="bottom"/>
            <w:hideMark/>
          </w:tcPr>
          <w:p w14:paraId="7BFC96C6"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230</w:t>
            </w:r>
          </w:p>
        </w:tc>
        <w:tc>
          <w:tcPr>
            <w:tcW w:w="776" w:type="dxa"/>
            <w:tcBorders>
              <w:top w:val="nil"/>
              <w:left w:val="nil"/>
              <w:bottom w:val="nil"/>
              <w:right w:val="nil"/>
            </w:tcBorders>
            <w:vAlign w:val="center"/>
            <w:hideMark/>
          </w:tcPr>
          <w:p w14:paraId="24313214"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10.07</w:t>
            </w:r>
          </w:p>
        </w:tc>
        <w:tc>
          <w:tcPr>
            <w:tcW w:w="990" w:type="dxa"/>
            <w:tcBorders>
              <w:top w:val="nil"/>
              <w:left w:val="nil"/>
              <w:bottom w:val="nil"/>
              <w:right w:val="nil"/>
            </w:tcBorders>
            <w:vAlign w:val="center"/>
            <w:hideMark/>
          </w:tcPr>
          <w:p w14:paraId="0E5ADE65"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4F1273D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1080" w:type="dxa"/>
            <w:tcBorders>
              <w:top w:val="nil"/>
              <w:left w:val="nil"/>
              <w:bottom w:val="nil"/>
              <w:right w:val="nil"/>
            </w:tcBorders>
            <w:vAlign w:val="center"/>
            <w:hideMark/>
          </w:tcPr>
          <w:p w14:paraId="11F33DA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13.33</w:t>
            </w:r>
          </w:p>
        </w:tc>
        <w:tc>
          <w:tcPr>
            <w:tcW w:w="990" w:type="dxa"/>
            <w:tcBorders>
              <w:top w:val="nil"/>
              <w:left w:val="nil"/>
              <w:bottom w:val="nil"/>
              <w:right w:val="nil"/>
            </w:tcBorders>
            <w:vAlign w:val="center"/>
            <w:hideMark/>
          </w:tcPr>
          <w:p w14:paraId="3B90DFC6"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3FE579E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618398D8"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9.2</w:t>
            </w:r>
          </w:p>
        </w:tc>
        <w:tc>
          <w:tcPr>
            <w:tcW w:w="990" w:type="dxa"/>
            <w:tcBorders>
              <w:top w:val="nil"/>
              <w:left w:val="nil"/>
              <w:bottom w:val="nil"/>
              <w:right w:val="nil"/>
            </w:tcBorders>
            <w:vAlign w:val="center"/>
            <w:hideMark/>
          </w:tcPr>
          <w:p w14:paraId="108B7A34"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5.78</w:t>
            </w:r>
          </w:p>
        </w:tc>
        <w:tc>
          <w:tcPr>
            <w:tcW w:w="990" w:type="dxa"/>
            <w:tcBorders>
              <w:top w:val="nil"/>
              <w:left w:val="nil"/>
              <w:bottom w:val="nil"/>
              <w:right w:val="nil"/>
            </w:tcBorders>
            <w:vAlign w:val="center"/>
            <w:hideMark/>
          </w:tcPr>
          <w:p w14:paraId="51DBC74D"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990" w:type="dxa"/>
            <w:tcBorders>
              <w:top w:val="nil"/>
              <w:left w:val="nil"/>
              <w:bottom w:val="nil"/>
              <w:right w:val="nil"/>
            </w:tcBorders>
            <w:vAlign w:val="center"/>
            <w:hideMark/>
          </w:tcPr>
          <w:p w14:paraId="7779A77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1228.05</w:t>
            </w:r>
          </w:p>
        </w:tc>
        <w:tc>
          <w:tcPr>
            <w:tcW w:w="900" w:type="dxa"/>
            <w:tcBorders>
              <w:top w:val="nil"/>
              <w:left w:val="nil"/>
              <w:bottom w:val="nil"/>
              <w:right w:val="nil"/>
            </w:tcBorders>
            <w:vAlign w:val="center"/>
            <w:hideMark/>
          </w:tcPr>
          <w:p w14:paraId="111A7FE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3.74</w:t>
            </w:r>
          </w:p>
        </w:tc>
      </w:tr>
      <w:tr w:rsidR="004E37EE" w:rsidRPr="007915F2" w14:paraId="28009E6E" w14:textId="77777777" w:rsidTr="008B24D1">
        <w:trPr>
          <w:trHeight w:val="264"/>
        </w:trPr>
        <w:tc>
          <w:tcPr>
            <w:tcW w:w="2175" w:type="dxa"/>
            <w:tcBorders>
              <w:top w:val="nil"/>
              <w:left w:val="nil"/>
              <w:bottom w:val="nil"/>
              <w:right w:val="nil"/>
            </w:tcBorders>
            <w:noWrap/>
            <w:vAlign w:val="bottom"/>
            <w:hideMark/>
          </w:tcPr>
          <w:p w14:paraId="4E5971CA"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IND11: Money</w:t>
            </w:r>
          </w:p>
        </w:tc>
        <w:tc>
          <w:tcPr>
            <w:tcW w:w="754" w:type="dxa"/>
            <w:tcBorders>
              <w:top w:val="nil"/>
              <w:left w:val="nil"/>
              <w:bottom w:val="nil"/>
              <w:right w:val="nil"/>
            </w:tcBorders>
            <w:noWrap/>
            <w:vAlign w:val="bottom"/>
            <w:hideMark/>
          </w:tcPr>
          <w:p w14:paraId="586F445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26</w:t>
            </w:r>
          </w:p>
        </w:tc>
        <w:tc>
          <w:tcPr>
            <w:tcW w:w="776" w:type="dxa"/>
            <w:tcBorders>
              <w:top w:val="nil"/>
              <w:left w:val="nil"/>
              <w:bottom w:val="nil"/>
              <w:right w:val="nil"/>
            </w:tcBorders>
            <w:vAlign w:val="center"/>
            <w:hideMark/>
          </w:tcPr>
          <w:p w14:paraId="3F9DEEBC"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7.75</w:t>
            </w:r>
          </w:p>
        </w:tc>
        <w:tc>
          <w:tcPr>
            <w:tcW w:w="990" w:type="dxa"/>
            <w:tcBorders>
              <w:top w:val="nil"/>
              <w:left w:val="nil"/>
              <w:bottom w:val="nil"/>
              <w:right w:val="nil"/>
            </w:tcBorders>
            <w:vAlign w:val="center"/>
            <w:hideMark/>
          </w:tcPr>
          <w:p w14:paraId="28DC8B6C"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2FDD8201"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1080" w:type="dxa"/>
            <w:tcBorders>
              <w:top w:val="nil"/>
              <w:left w:val="nil"/>
              <w:bottom w:val="nil"/>
              <w:right w:val="nil"/>
            </w:tcBorders>
            <w:vAlign w:val="center"/>
            <w:hideMark/>
          </w:tcPr>
          <w:p w14:paraId="5FD13D0C"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14.08</w:t>
            </w:r>
          </w:p>
        </w:tc>
        <w:tc>
          <w:tcPr>
            <w:tcW w:w="990" w:type="dxa"/>
            <w:tcBorders>
              <w:top w:val="nil"/>
              <w:left w:val="nil"/>
              <w:bottom w:val="nil"/>
              <w:right w:val="nil"/>
            </w:tcBorders>
            <w:vAlign w:val="center"/>
            <w:hideMark/>
          </w:tcPr>
          <w:p w14:paraId="791FE9A5"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58535B8C"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10EBE666"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4.04</w:t>
            </w:r>
          </w:p>
        </w:tc>
        <w:tc>
          <w:tcPr>
            <w:tcW w:w="990" w:type="dxa"/>
            <w:tcBorders>
              <w:top w:val="nil"/>
              <w:left w:val="nil"/>
              <w:bottom w:val="nil"/>
              <w:right w:val="nil"/>
            </w:tcBorders>
            <w:vAlign w:val="center"/>
            <w:hideMark/>
          </w:tcPr>
          <w:p w14:paraId="44F2970B"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3.77</w:t>
            </w:r>
          </w:p>
        </w:tc>
        <w:tc>
          <w:tcPr>
            <w:tcW w:w="990" w:type="dxa"/>
            <w:tcBorders>
              <w:top w:val="nil"/>
              <w:left w:val="nil"/>
              <w:bottom w:val="nil"/>
              <w:right w:val="nil"/>
            </w:tcBorders>
            <w:vAlign w:val="center"/>
            <w:hideMark/>
          </w:tcPr>
          <w:p w14:paraId="29995F7B"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7BF0CD64"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1613.69</w:t>
            </w:r>
          </w:p>
        </w:tc>
        <w:tc>
          <w:tcPr>
            <w:tcW w:w="900" w:type="dxa"/>
            <w:tcBorders>
              <w:top w:val="nil"/>
              <w:left w:val="nil"/>
              <w:bottom w:val="nil"/>
              <w:right w:val="nil"/>
            </w:tcBorders>
            <w:vAlign w:val="center"/>
            <w:hideMark/>
          </w:tcPr>
          <w:p w14:paraId="6004821E"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4.6</w:t>
            </w:r>
          </w:p>
        </w:tc>
      </w:tr>
      <w:tr w:rsidR="004E37EE" w:rsidRPr="007915F2" w14:paraId="05AEFF7E" w14:textId="77777777" w:rsidTr="008B24D1">
        <w:trPr>
          <w:trHeight w:val="264"/>
        </w:trPr>
        <w:tc>
          <w:tcPr>
            <w:tcW w:w="2175" w:type="dxa"/>
            <w:tcBorders>
              <w:top w:val="nil"/>
              <w:left w:val="nil"/>
              <w:bottom w:val="nil"/>
              <w:right w:val="nil"/>
            </w:tcBorders>
            <w:noWrap/>
            <w:vAlign w:val="bottom"/>
            <w:hideMark/>
          </w:tcPr>
          <w:p w14:paraId="3ACA9A28" w14:textId="77777777" w:rsidR="004E37EE" w:rsidRPr="007915F2" w:rsidRDefault="004E37EE" w:rsidP="00D61CD6">
            <w:pPr>
              <w:spacing w:after="0" w:line="240" w:lineRule="auto"/>
              <w:rPr>
                <w:rFonts w:ascii="Garamond" w:hAnsi="Garamond"/>
                <w:color w:val="000000"/>
                <w:sz w:val="20"/>
                <w:szCs w:val="20"/>
              </w:rPr>
            </w:pPr>
            <w:r w:rsidRPr="007915F2">
              <w:rPr>
                <w:rFonts w:ascii="Garamond" w:hAnsi="Garamond"/>
                <w:color w:val="000000"/>
                <w:sz w:val="20"/>
                <w:szCs w:val="20"/>
              </w:rPr>
              <w:t>IND12: Other</w:t>
            </w:r>
          </w:p>
        </w:tc>
        <w:tc>
          <w:tcPr>
            <w:tcW w:w="754" w:type="dxa"/>
            <w:tcBorders>
              <w:top w:val="nil"/>
              <w:left w:val="nil"/>
              <w:bottom w:val="nil"/>
              <w:right w:val="nil"/>
            </w:tcBorders>
            <w:noWrap/>
            <w:vAlign w:val="bottom"/>
            <w:hideMark/>
          </w:tcPr>
          <w:p w14:paraId="0988D33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494</w:t>
            </w:r>
          </w:p>
        </w:tc>
        <w:tc>
          <w:tcPr>
            <w:tcW w:w="776" w:type="dxa"/>
            <w:tcBorders>
              <w:top w:val="nil"/>
              <w:left w:val="nil"/>
              <w:bottom w:val="nil"/>
              <w:right w:val="nil"/>
            </w:tcBorders>
            <w:vAlign w:val="center"/>
            <w:hideMark/>
          </w:tcPr>
          <w:p w14:paraId="611BA0EC"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9.07</w:t>
            </w:r>
          </w:p>
        </w:tc>
        <w:tc>
          <w:tcPr>
            <w:tcW w:w="990" w:type="dxa"/>
            <w:tcBorders>
              <w:top w:val="nil"/>
              <w:left w:val="nil"/>
              <w:bottom w:val="nil"/>
              <w:right w:val="nil"/>
            </w:tcBorders>
            <w:vAlign w:val="center"/>
            <w:hideMark/>
          </w:tcPr>
          <w:p w14:paraId="7BF9638F"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296D5F62"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1080" w:type="dxa"/>
            <w:tcBorders>
              <w:top w:val="nil"/>
              <w:left w:val="nil"/>
              <w:bottom w:val="nil"/>
              <w:right w:val="nil"/>
            </w:tcBorders>
            <w:vAlign w:val="center"/>
            <w:hideMark/>
          </w:tcPr>
          <w:p w14:paraId="63F104F2"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14.04</w:t>
            </w:r>
          </w:p>
        </w:tc>
        <w:tc>
          <w:tcPr>
            <w:tcW w:w="990" w:type="dxa"/>
            <w:tcBorders>
              <w:top w:val="nil"/>
              <w:left w:val="nil"/>
              <w:bottom w:val="nil"/>
              <w:right w:val="nil"/>
            </w:tcBorders>
            <w:vAlign w:val="center"/>
            <w:hideMark/>
          </w:tcPr>
          <w:p w14:paraId="3057A9A8"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00" w:type="dxa"/>
            <w:tcBorders>
              <w:top w:val="nil"/>
              <w:left w:val="nil"/>
              <w:bottom w:val="nil"/>
              <w:right w:val="nil"/>
            </w:tcBorders>
            <w:vAlign w:val="center"/>
            <w:hideMark/>
          </w:tcPr>
          <w:p w14:paraId="2E146188"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w:t>
            </w:r>
          </w:p>
        </w:tc>
        <w:tc>
          <w:tcPr>
            <w:tcW w:w="990" w:type="dxa"/>
            <w:tcBorders>
              <w:top w:val="nil"/>
              <w:left w:val="nil"/>
              <w:bottom w:val="nil"/>
              <w:right w:val="nil"/>
            </w:tcBorders>
            <w:vAlign w:val="center"/>
            <w:hideMark/>
          </w:tcPr>
          <w:p w14:paraId="5EEE6D87"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4.11</w:t>
            </w:r>
          </w:p>
        </w:tc>
        <w:tc>
          <w:tcPr>
            <w:tcW w:w="990" w:type="dxa"/>
            <w:tcBorders>
              <w:top w:val="nil"/>
              <w:left w:val="nil"/>
              <w:bottom w:val="nil"/>
              <w:right w:val="nil"/>
            </w:tcBorders>
            <w:vAlign w:val="center"/>
            <w:hideMark/>
          </w:tcPr>
          <w:p w14:paraId="7BECCD0C"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5.02</w:t>
            </w:r>
          </w:p>
        </w:tc>
        <w:tc>
          <w:tcPr>
            <w:tcW w:w="990" w:type="dxa"/>
            <w:tcBorders>
              <w:top w:val="nil"/>
              <w:left w:val="nil"/>
              <w:bottom w:val="nil"/>
              <w:right w:val="nil"/>
            </w:tcBorders>
            <w:vAlign w:val="center"/>
            <w:hideMark/>
          </w:tcPr>
          <w:p w14:paraId="468352F9"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0.01</w:t>
            </w:r>
          </w:p>
        </w:tc>
        <w:tc>
          <w:tcPr>
            <w:tcW w:w="990" w:type="dxa"/>
            <w:tcBorders>
              <w:top w:val="nil"/>
              <w:left w:val="nil"/>
              <w:bottom w:val="nil"/>
              <w:right w:val="nil"/>
            </w:tcBorders>
            <w:vAlign w:val="center"/>
            <w:hideMark/>
          </w:tcPr>
          <w:p w14:paraId="3712FFFC"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1445.33</w:t>
            </w:r>
          </w:p>
        </w:tc>
        <w:tc>
          <w:tcPr>
            <w:tcW w:w="900" w:type="dxa"/>
            <w:tcBorders>
              <w:top w:val="nil"/>
              <w:left w:val="nil"/>
              <w:bottom w:val="nil"/>
              <w:right w:val="nil"/>
            </w:tcBorders>
            <w:vAlign w:val="center"/>
            <w:hideMark/>
          </w:tcPr>
          <w:p w14:paraId="6EF3451B" w14:textId="77777777" w:rsidR="004E37EE" w:rsidRPr="007915F2" w:rsidRDefault="004E37EE" w:rsidP="00D61CD6">
            <w:pPr>
              <w:spacing w:after="0" w:line="240" w:lineRule="auto"/>
              <w:jc w:val="right"/>
              <w:rPr>
                <w:rFonts w:ascii="Garamond" w:hAnsi="Garamond"/>
                <w:color w:val="000000"/>
                <w:sz w:val="20"/>
                <w:szCs w:val="20"/>
              </w:rPr>
            </w:pPr>
            <w:r w:rsidRPr="007915F2">
              <w:rPr>
                <w:rFonts w:ascii="Garamond" w:hAnsi="Garamond"/>
                <w:color w:val="000000"/>
                <w:sz w:val="20"/>
                <w:szCs w:val="20"/>
              </w:rPr>
              <w:t>4.65</w:t>
            </w:r>
          </w:p>
        </w:tc>
      </w:tr>
      <w:tr w:rsidR="004E37EE" w:rsidRPr="007915F2" w14:paraId="520EFD63" w14:textId="77777777" w:rsidTr="008B24D1">
        <w:trPr>
          <w:trHeight w:val="264"/>
        </w:trPr>
        <w:tc>
          <w:tcPr>
            <w:tcW w:w="2175" w:type="dxa"/>
            <w:tcBorders>
              <w:top w:val="nil"/>
              <w:left w:val="nil"/>
              <w:bottom w:val="nil"/>
              <w:right w:val="nil"/>
            </w:tcBorders>
            <w:noWrap/>
            <w:vAlign w:val="bottom"/>
            <w:hideMark/>
          </w:tcPr>
          <w:p w14:paraId="258C40CB" w14:textId="77777777" w:rsidR="004E37EE" w:rsidRPr="007915F2" w:rsidRDefault="004E37EE" w:rsidP="00D61CD6">
            <w:pPr>
              <w:spacing w:after="0" w:line="240" w:lineRule="auto"/>
              <w:rPr>
                <w:rFonts w:ascii="Garamond" w:hAnsi="Garamond"/>
                <w:b/>
                <w:color w:val="000000"/>
                <w:sz w:val="20"/>
                <w:szCs w:val="20"/>
              </w:rPr>
            </w:pPr>
            <w:r w:rsidRPr="007915F2">
              <w:rPr>
                <w:rFonts w:ascii="Garamond" w:hAnsi="Garamond"/>
                <w:b/>
                <w:color w:val="000000"/>
                <w:sz w:val="20"/>
                <w:szCs w:val="20"/>
              </w:rPr>
              <w:t>Overall</w:t>
            </w:r>
          </w:p>
        </w:tc>
        <w:tc>
          <w:tcPr>
            <w:tcW w:w="754" w:type="dxa"/>
            <w:tcBorders>
              <w:top w:val="nil"/>
              <w:left w:val="nil"/>
              <w:bottom w:val="nil"/>
              <w:right w:val="nil"/>
            </w:tcBorders>
            <w:noWrap/>
            <w:vAlign w:val="bottom"/>
            <w:hideMark/>
          </w:tcPr>
          <w:p w14:paraId="109E722F"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3739</w:t>
            </w:r>
          </w:p>
        </w:tc>
        <w:tc>
          <w:tcPr>
            <w:tcW w:w="776" w:type="dxa"/>
            <w:tcBorders>
              <w:top w:val="nil"/>
              <w:left w:val="nil"/>
              <w:bottom w:val="nil"/>
              <w:right w:val="nil"/>
            </w:tcBorders>
            <w:noWrap/>
            <w:vAlign w:val="bottom"/>
            <w:hideMark/>
          </w:tcPr>
          <w:p w14:paraId="298F1EA9"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9.13</w:t>
            </w:r>
          </w:p>
        </w:tc>
        <w:tc>
          <w:tcPr>
            <w:tcW w:w="990" w:type="dxa"/>
            <w:tcBorders>
              <w:top w:val="nil"/>
              <w:left w:val="nil"/>
              <w:bottom w:val="nil"/>
              <w:right w:val="nil"/>
            </w:tcBorders>
            <w:noWrap/>
            <w:vAlign w:val="bottom"/>
            <w:hideMark/>
          </w:tcPr>
          <w:p w14:paraId="72980BF6"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0</w:t>
            </w:r>
          </w:p>
        </w:tc>
        <w:tc>
          <w:tcPr>
            <w:tcW w:w="990" w:type="dxa"/>
            <w:tcBorders>
              <w:top w:val="nil"/>
              <w:left w:val="nil"/>
              <w:bottom w:val="nil"/>
              <w:right w:val="nil"/>
            </w:tcBorders>
            <w:noWrap/>
            <w:vAlign w:val="bottom"/>
            <w:hideMark/>
          </w:tcPr>
          <w:p w14:paraId="4E0FE303"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0.01</w:t>
            </w:r>
          </w:p>
        </w:tc>
        <w:tc>
          <w:tcPr>
            <w:tcW w:w="1080" w:type="dxa"/>
            <w:tcBorders>
              <w:top w:val="nil"/>
              <w:left w:val="nil"/>
              <w:bottom w:val="nil"/>
              <w:right w:val="nil"/>
            </w:tcBorders>
            <w:noWrap/>
            <w:vAlign w:val="bottom"/>
            <w:hideMark/>
          </w:tcPr>
          <w:p w14:paraId="5284D3AA"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13.81</w:t>
            </w:r>
          </w:p>
        </w:tc>
        <w:tc>
          <w:tcPr>
            <w:tcW w:w="990" w:type="dxa"/>
            <w:tcBorders>
              <w:top w:val="nil"/>
              <w:left w:val="nil"/>
              <w:bottom w:val="nil"/>
              <w:right w:val="nil"/>
            </w:tcBorders>
            <w:noWrap/>
            <w:vAlign w:val="bottom"/>
            <w:hideMark/>
          </w:tcPr>
          <w:p w14:paraId="4CB8F7F9"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0</w:t>
            </w:r>
          </w:p>
        </w:tc>
        <w:tc>
          <w:tcPr>
            <w:tcW w:w="900" w:type="dxa"/>
            <w:tcBorders>
              <w:top w:val="nil"/>
              <w:left w:val="nil"/>
              <w:bottom w:val="nil"/>
              <w:right w:val="nil"/>
            </w:tcBorders>
            <w:noWrap/>
            <w:vAlign w:val="bottom"/>
            <w:hideMark/>
          </w:tcPr>
          <w:p w14:paraId="6F0DF5C7"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0</w:t>
            </w:r>
          </w:p>
        </w:tc>
        <w:tc>
          <w:tcPr>
            <w:tcW w:w="990" w:type="dxa"/>
            <w:tcBorders>
              <w:top w:val="nil"/>
              <w:left w:val="nil"/>
              <w:bottom w:val="nil"/>
              <w:right w:val="nil"/>
            </w:tcBorders>
            <w:noWrap/>
            <w:vAlign w:val="bottom"/>
            <w:hideMark/>
          </w:tcPr>
          <w:p w14:paraId="059AC9D5"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5.63</w:t>
            </w:r>
          </w:p>
        </w:tc>
        <w:tc>
          <w:tcPr>
            <w:tcW w:w="990" w:type="dxa"/>
            <w:tcBorders>
              <w:top w:val="nil"/>
              <w:left w:val="nil"/>
              <w:bottom w:val="nil"/>
              <w:right w:val="nil"/>
            </w:tcBorders>
            <w:noWrap/>
            <w:vAlign w:val="bottom"/>
            <w:hideMark/>
          </w:tcPr>
          <w:p w14:paraId="1E3DB1A5"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6.31</w:t>
            </w:r>
          </w:p>
        </w:tc>
        <w:tc>
          <w:tcPr>
            <w:tcW w:w="990" w:type="dxa"/>
            <w:tcBorders>
              <w:top w:val="nil"/>
              <w:left w:val="nil"/>
              <w:bottom w:val="nil"/>
              <w:right w:val="nil"/>
            </w:tcBorders>
            <w:noWrap/>
            <w:vAlign w:val="bottom"/>
            <w:hideMark/>
          </w:tcPr>
          <w:p w14:paraId="3FD4C26F"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0.01</w:t>
            </w:r>
          </w:p>
        </w:tc>
        <w:tc>
          <w:tcPr>
            <w:tcW w:w="990" w:type="dxa"/>
            <w:tcBorders>
              <w:top w:val="nil"/>
              <w:left w:val="nil"/>
              <w:bottom w:val="nil"/>
              <w:right w:val="nil"/>
            </w:tcBorders>
            <w:noWrap/>
            <w:vAlign w:val="bottom"/>
            <w:hideMark/>
          </w:tcPr>
          <w:p w14:paraId="6033FEB4"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1552.99</w:t>
            </w:r>
          </w:p>
        </w:tc>
        <w:tc>
          <w:tcPr>
            <w:tcW w:w="900" w:type="dxa"/>
            <w:tcBorders>
              <w:top w:val="nil"/>
              <w:left w:val="nil"/>
              <w:bottom w:val="nil"/>
              <w:right w:val="nil"/>
            </w:tcBorders>
            <w:noWrap/>
            <w:vAlign w:val="bottom"/>
            <w:hideMark/>
          </w:tcPr>
          <w:p w14:paraId="45BF2C30" w14:textId="77777777" w:rsidR="004E37EE" w:rsidRPr="007915F2" w:rsidRDefault="004E37EE" w:rsidP="00D61CD6">
            <w:pPr>
              <w:spacing w:after="0" w:line="240" w:lineRule="auto"/>
              <w:jc w:val="right"/>
              <w:rPr>
                <w:rFonts w:ascii="Garamond" w:hAnsi="Garamond"/>
                <w:b/>
                <w:color w:val="000000"/>
                <w:sz w:val="20"/>
                <w:szCs w:val="20"/>
              </w:rPr>
            </w:pPr>
            <w:r w:rsidRPr="007915F2">
              <w:rPr>
                <w:rFonts w:ascii="Garamond" w:hAnsi="Garamond"/>
                <w:b/>
                <w:color w:val="000000"/>
                <w:sz w:val="20"/>
                <w:szCs w:val="20"/>
              </w:rPr>
              <w:t>4.55</w:t>
            </w:r>
          </w:p>
        </w:tc>
      </w:tr>
    </w:tbl>
    <w:p w14:paraId="241B918A" w14:textId="77777777" w:rsidR="004E37EE" w:rsidRPr="007915F2" w:rsidRDefault="004E37EE" w:rsidP="00D61CD6">
      <w:pPr>
        <w:widowControl w:val="0"/>
        <w:autoSpaceDE w:val="0"/>
        <w:autoSpaceDN w:val="0"/>
        <w:adjustRightInd w:val="0"/>
        <w:spacing w:after="0" w:line="240" w:lineRule="auto"/>
        <w:rPr>
          <w:rFonts w:ascii="Garamond" w:hAnsi="Garamond"/>
          <w:b/>
          <w:bCs/>
        </w:rPr>
      </w:pPr>
    </w:p>
    <w:p w14:paraId="50AB150D" w14:textId="77777777" w:rsidR="004E37EE" w:rsidRPr="007915F2" w:rsidRDefault="004E37EE" w:rsidP="00D61CD6">
      <w:pPr>
        <w:widowControl w:val="0"/>
        <w:autoSpaceDE w:val="0"/>
        <w:autoSpaceDN w:val="0"/>
        <w:adjustRightInd w:val="0"/>
        <w:spacing w:after="0" w:line="240" w:lineRule="auto"/>
        <w:rPr>
          <w:rFonts w:ascii="Garamond" w:hAnsi="Garamond"/>
          <w:b/>
          <w:bCs/>
          <w:sz w:val="20"/>
          <w:szCs w:val="20"/>
        </w:rPr>
      </w:pPr>
      <w:r w:rsidRPr="007915F2">
        <w:rPr>
          <w:rFonts w:ascii="Garamond" w:hAnsi="Garamond"/>
          <w:b/>
          <w:bCs/>
          <w:sz w:val="20"/>
          <w:szCs w:val="20"/>
          <w:vertAlign w:val="superscript"/>
        </w:rPr>
        <w:t xml:space="preserve">* </w:t>
      </w:r>
      <w:r w:rsidRPr="007915F2">
        <w:rPr>
          <w:rFonts w:ascii="Garamond" w:hAnsi="Garamond"/>
          <w:b/>
          <w:bCs/>
          <w:sz w:val="20"/>
          <w:szCs w:val="20"/>
        </w:rPr>
        <w:t>Notes:</w:t>
      </w:r>
    </w:p>
    <w:p w14:paraId="4E537D39"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1 NoDur  Consumer Nondurables -- Food, Tobacco, Textiles, Apparel, Leather, Toys: 0100-0999, 2000-2399, 2700-2749, 2770-2799, 3100-3199, 3940-3989.</w:t>
      </w:r>
    </w:p>
    <w:p w14:paraId="73F7C3F4"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2 Durbl  Consumer Durables -- Cars, TVs, Furniture, Household Appliances: 2500-2519, 2590-2599, 3630-3659, 3710-3711, 3714-3714, 3716-3716, 3750-3751, 3792-3792, 3900-3939, 3990-3999</w:t>
      </w:r>
    </w:p>
    <w:p w14:paraId="03255617"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3 Manuf  Manufacturing -- Machinery, Trucks, Planes, Off Furn, Paper, Com Printing: 2520-2589, 2600-2699, 2750-2769, 3000-3099, 3200-3569, 3580-3629, 3700-3709, 3712-3713, 3715-3715, 3717-3749, 3752-3791, 3793-3799, 3830-3839, 3860-3899</w:t>
      </w:r>
    </w:p>
    <w:p w14:paraId="4A6459F1"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4 Enrgy  Oil, Gas, and Coal Extraction and Products: 1200-1399, 2900-2999</w:t>
      </w:r>
    </w:p>
    <w:p w14:paraId="06DB4521"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5 Chems  Chemicals and Allied Products: 2800-2829, 2840-2899</w:t>
      </w:r>
    </w:p>
    <w:p w14:paraId="24F7AD8D" w14:textId="77777777" w:rsidR="004E37EE" w:rsidRPr="007915F2" w:rsidRDefault="008B24D1"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6 BusEq  Business Equipment-</w:t>
      </w:r>
      <w:r w:rsidR="004E37EE" w:rsidRPr="007915F2">
        <w:rPr>
          <w:rFonts w:ascii="Garamond" w:hAnsi="Garamond"/>
          <w:bCs/>
          <w:sz w:val="20"/>
          <w:szCs w:val="20"/>
        </w:rPr>
        <w:t>Computers, Software, and Electronic Equipment: 3570-3579, 3660-3692, 3694-3699, 3810-3829, 7370-7379</w:t>
      </w:r>
    </w:p>
    <w:p w14:paraId="4CC9B44B"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7 Telcm  Telephone and Television Transmission: 4800-4899</w:t>
      </w:r>
    </w:p>
    <w:p w14:paraId="71167251"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8 Utils  Utilities: 4900-4949</w:t>
      </w:r>
    </w:p>
    <w:p w14:paraId="052C7BCD"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9 Shops  Wholesale, Retail, and Some Services (Laundries, Repair Shops): 5000-5999, 7200-7299, 7600-7699</w:t>
      </w:r>
    </w:p>
    <w:p w14:paraId="16960A04"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10 Hlth   Healthcare, Medical Equipment, and Drugs: 2830-2839, 3693-3693, 3840-3859, 8000-8099</w:t>
      </w:r>
    </w:p>
    <w:p w14:paraId="150B0B2E"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11 Money  Finance: 6000-6999</w:t>
      </w:r>
    </w:p>
    <w:p w14:paraId="63B8A160"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r w:rsidRPr="007915F2">
        <w:rPr>
          <w:rFonts w:ascii="Garamond" w:hAnsi="Garamond"/>
          <w:bCs/>
          <w:sz w:val="20"/>
          <w:szCs w:val="20"/>
        </w:rPr>
        <w:t>12 Other  -- Mines, Constr, BldMt, Trans, Hotels, Bus Serv, Entertainment</w:t>
      </w:r>
    </w:p>
    <w:p w14:paraId="3D13CC86" w14:textId="77777777" w:rsidR="004E37EE" w:rsidRPr="007915F2" w:rsidRDefault="004E37EE" w:rsidP="00D61CD6">
      <w:pPr>
        <w:widowControl w:val="0"/>
        <w:autoSpaceDE w:val="0"/>
        <w:autoSpaceDN w:val="0"/>
        <w:adjustRightInd w:val="0"/>
        <w:spacing w:after="0" w:line="240" w:lineRule="auto"/>
        <w:rPr>
          <w:rFonts w:ascii="Garamond" w:hAnsi="Garamond"/>
          <w:bCs/>
          <w:sz w:val="20"/>
          <w:szCs w:val="20"/>
        </w:rPr>
      </w:pPr>
    </w:p>
    <w:p w14:paraId="3B99F2B1" w14:textId="77777777" w:rsidR="004E37EE" w:rsidRPr="007915F2" w:rsidRDefault="004E37EE" w:rsidP="00D61CD6">
      <w:pPr>
        <w:widowControl w:val="0"/>
        <w:autoSpaceDE w:val="0"/>
        <w:autoSpaceDN w:val="0"/>
        <w:adjustRightInd w:val="0"/>
        <w:spacing w:after="0" w:line="240" w:lineRule="auto"/>
        <w:rPr>
          <w:rFonts w:ascii="Garamond" w:hAnsi="Garamond"/>
          <w:b/>
          <w:bCs/>
          <w:sz w:val="20"/>
          <w:szCs w:val="20"/>
        </w:rPr>
        <w:sectPr w:rsidR="004E37EE" w:rsidRPr="007915F2" w:rsidSect="0093071C">
          <w:pgSz w:w="15840" w:h="12240" w:orient="landscape"/>
          <w:pgMar w:top="1440" w:right="1440" w:bottom="1440" w:left="1440" w:header="720" w:footer="720" w:gutter="0"/>
          <w:cols w:space="720"/>
          <w:noEndnote/>
        </w:sectPr>
      </w:pPr>
      <w:r w:rsidRPr="007915F2">
        <w:rPr>
          <w:rFonts w:ascii="Garamond" w:hAnsi="Garamond"/>
          <w:b/>
          <w:bCs/>
          <w:sz w:val="20"/>
          <w:szCs w:val="20"/>
        </w:rPr>
        <w:t>Source:</w:t>
      </w:r>
      <w:r w:rsidRPr="007915F2">
        <w:rPr>
          <w:rFonts w:ascii="Garamond" w:hAnsi="Garamond"/>
          <w:bCs/>
          <w:sz w:val="20"/>
          <w:szCs w:val="20"/>
        </w:rPr>
        <w:t xml:space="preserve"> Fama French Industry classification:</w:t>
      </w:r>
      <w:r w:rsidRPr="007915F2">
        <w:rPr>
          <w:rFonts w:ascii="Garamond" w:hAnsi="Garamond"/>
          <w:b/>
          <w:bCs/>
          <w:sz w:val="20"/>
          <w:szCs w:val="20"/>
        </w:rPr>
        <w:t xml:space="preserve"> </w:t>
      </w:r>
      <w:hyperlink r:id="rId12" w:history="1">
        <w:r w:rsidRPr="007915F2">
          <w:rPr>
            <w:rStyle w:val="Hyperlink"/>
            <w:rFonts w:ascii="Garamond" w:hAnsi="Garamond"/>
            <w:sz w:val="20"/>
            <w:szCs w:val="20"/>
          </w:rPr>
          <w:t>https://mba.tuck.dartmouth.edu/PGEs/faculty/ken.French/Data_Library/det_12_ind_port.html</w:t>
        </w:r>
      </w:hyperlink>
    </w:p>
    <w:p w14:paraId="1C004B1E" w14:textId="77777777" w:rsidR="004E37EE" w:rsidRPr="007915F2" w:rsidRDefault="004E37EE" w:rsidP="00D61CD6">
      <w:pPr>
        <w:widowControl w:val="0"/>
        <w:autoSpaceDE w:val="0"/>
        <w:autoSpaceDN w:val="0"/>
        <w:adjustRightInd w:val="0"/>
        <w:spacing w:after="0" w:line="240" w:lineRule="auto"/>
        <w:rPr>
          <w:rFonts w:ascii="Garamond" w:hAnsi="Garamond"/>
          <w:b/>
          <w:bCs/>
          <w:sz w:val="24"/>
          <w:szCs w:val="24"/>
        </w:rPr>
      </w:pPr>
      <w:r w:rsidRPr="007915F2">
        <w:rPr>
          <w:rFonts w:ascii="Garamond" w:hAnsi="Garamond"/>
          <w:b/>
          <w:bCs/>
          <w:sz w:val="24"/>
          <w:szCs w:val="24"/>
        </w:rPr>
        <w:lastRenderedPageBreak/>
        <w:t>Table 2A</w:t>
      </w:r>
    </w:p>
    <w:p w14:paraId="524E7711"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b/>
          <w:bCs/>
          <w:sz w:val="24"/>
          <w:szCs w:val="24"/>
        </w:rPr>
        <w:br/>
        <w:t xml:space="preserve">Descriptive Statistics </w:t>
      </w:r>
    </w:p>
    <w:tbl>
      <w:tblPr>
        <w:tblW w:w="0" w:type="auto"/>
        <w:tblLayout w:type="fixed"/>
        <w:tblLook w:val="0000" w:firstRow="0" w:lastRow="0" w:firstColumn="0" w:lastColumn="0" w:noHBand="0" w:noVBand="0"/>
      </w:tblPr>
      <w:tblGrid>
        <w:gridCol w:w="1608"/>
        <w:gridCol w:w="800"/>
        <w:gridCol w:w="1400"/>
        <w:gridCol w:w="1400"/>
        <w:gridCol w:w="1400"/>
        <w:gridCol w:w="1400"/>
      </w:tblGrid>
      <w:tr w:rsidR="004E37EE" w:rsidRPr="007915F2" w14:paraId="28037070" w14:textId="77777777" w:rsidTr="007D1505">
        <w:tc>
          <w:tcPr>
            <w:tcW w:w="1608" w:type="dxa"/>
            <w:tcBorders>
              <w:top w:val="single" w:sz="4" w:space="0" w:color="auto"/>
              <w:left w:val="nil"/>
              <w:bottom w:val="single" w:sz="10" w:space="0" w:color="auto"/>
              <w:right w:val="nil"/>
            </w:tcBorders>
          </w:tcPr>
          <w:p w14:paraId="273AB7B8"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Variable</w:t>
            </w:r>
          </w:p>
        </w:tc>
        <w:tc>
          <w:tcPr>
            <w:tcW w:w="800" w:type="dxa"/>
            <w:tcBorders>
              <w:top w:val="single" w:sz="4" w:space="0" w:color="auto"/>
              <w:left w:val="nil"/>
              <w:bottom w:val="single" w:sz="10" w:space="0" w:color="auto"/>
              <w:right w:val="nil"/>
            </w:tcBorders>
          </w:tcPr>
          <w:p w14:paraId="12A6E0F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 xml:space="preserve"> Obs</w:t>
            </w:r>
          </w:p>
        </w:tc>
        <w:tc>
          <w:tcPr>
            <w:tcW w:w="1400" w:type="dxa"/>
            <w:tcBorders>
              <w:top w:val="single" w:sz="4" w:space="0" w:color="auto"/>
              <w:left w:val="nil"/>
              <w:bottom w:val="single" w:sz="10" w:space="0" w:color="auto"/>
              <w:right w:val="nil"/>
            </w:tcBorders>
          </w:tcPr>
          <w:p w14:paraId="271041E3"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 xml:space="preserve"> Mean</w:t>
            </w:r>
          </w:p>
        </w:tc>
        <w:tc>
          <w:tcPr>
            <w:tcW w:w="1400" w:type="dxa"/>
            <w:tcBorders>
              <w:top w:val="single" w:sz="4" w:space="0" w:color="auto"/>
              <w:left w:val="nil"/>
              <w:bottom w:val="single" w:sz="10" w:space="0" w:color="auto"/>
              <w:right w:val="nil"/>
            </w:tcBorders>
          </w:tcPr>
          <w:p w14:paraId="35BC6E1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 xml:space="preserve"> Std. Dev.</w:t>
            </w:r>
          </w:p>
        </w:tc>
        <w:tc>
          <w:tcPr>
            <w:tcW w:w="1400" w:type="dxa"/>
            <w:tcBorders>
              <w:top w:val="single" w:sz="4" w:space="0" w:color="auto"/>
              <w:left w:val="nil"/>
              <w:bottom w:val="single" w:sz="10" w:space="0" w:color="auto"/>
              <w:right w:val="nil"/>
            </w:tcBorders>
          </w:tcPr>
          <w:p w14:paraId="18D947C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 xml:space="preserve"> Min</w:t>
            </w:r>
          </w:p>
        </w:tc>
        <w:tc>
          <w:tcPr>
            <w:tcW w:w="1400" w:type="dxa"/>
            <w:tcBorders>
              <w:top w:val="single" w:sz="4" w:space="0" w:color="auto"/>
              <w:left w:val="nil"/>
              <w:bottom w:val="single" w:sz="10" w:space="0" w:color="auto"/>
              <w:right w:val="nil"/>
            </w:tcBorders>
          </w:tcPr>
          <w:p w14:paraId="62A3265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 xml:space="preserve"> Max</w:t>
            </w:r>
          </w:p>
        </w:tc>
      </w:tr>
      <w:tr w:rsidR="004E37EE" w:rsidRPr="007915F2" w14:paraId="5502969E" w14:textId="77777777" w:rsidTr="007D1505">
        <w:tc>
          <w:tcPr>
            <w:tcW w:w="1608" w:type="dxa"/>
            <w:tcBorders>
              <w:top w:val="nil"/>
              <w:left w:val="nil"/>
              <w:bottom w:val="nil"/>
              <w:right w:val="nil"/>
            </w:tcBorders>
          </w:tcPr>
          <w:p w14:paraId="26FD4A7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ROE</w:t>
            </w:r>
          </w:p>
        </w:tc>
        <w:tc>
          <w:tcPr>
            <w:tcW w:w="800" w:type="dxa"/>
            <w:tcBorders>
              <w:top w:val="nil"/>
              <w:left w:val="nil"/>
              <w:bottom w:val="nil"/>
              <w:right w:val="nil"/>
            </w:tcBorders>
          </w:tcPr>
          <w:p w14:paraId="5E1D64A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28AC57A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9.13</w:t>
            </w:r>
          </w:p>
        </w:tc>
        <w:tc>
          <w:tcPr>
            <w:tcW w:w="1400" w:type="dxa"/>
            <w:tcBorders>
              <w:top w:val="nil"/>
              <w:left w:val="nil"/>
              <w:bottom w:val="nil"/>
              <w:right w:val="nil"/>
            </w:tcBorders>
          </w:tcPr>
          <w:p w14:paraId="76AC7A5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8.27</w:t>
            </w:r>
          </w:p>
        </w:tc>
        <w:tc>
          <w:tcPr>
            <w:tcW w:w="1400" w:type="dxa"/>
            <w:tcBorders>
              <w:top w:val="nil"/>
              <w:left w:val="nil"/>
              <w:bottom w:val="nil"/>
              <w:right w:val="nil"/>
            </w:tcBorders>
          </w:tcPr>
          <w:p w14:paraId="51DE240F"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-4.00</w:t>
            </w:r>
          </w:p>
        </w:tc>
        <w:tc>
          <w:tcPr>
            <w:tcW w:w="1400" w:type="dxa"/>
            <w:tcBorders>
              <w:top w:val="nil"/>
              <w:left w:val="nil"/>
              <w:bottom w:val="nil"/>
              <w:right w:val="nil"/>
            </w:tcBorders>
          </w:tcPr>
          <w:p w14:paraId="521A462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23.32</w:t>
            </w:r>
          </w:p>
        </w:tc>
      </w:tr>
      <w:tr w:rsidR="004E37EE" w:rsidRPr="007915F2" w14:paraId="7738050B" w14:textId="77777777" w:rsidTr="007D1505">
        <w:tc>
          <w:tcPr>
            <w:tcW w:w="1608" w:type="dxa"/>
            <w:tcBorders>
              <w:top w:val="nil"/>
              <w:left w:val="nil"/>
              <w:bottom w:val="nil"/>
              <w:right w:val="nil"/>
            </w:tcBorders>
          </w:tcPr>
          <w:p w14:paraId="5F5911AD"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CLS</w:t>
            </w:r>
          </w:p>
        </w:tc>
        <w:tc>
          <w:tcPr>
            <w:tcW w:w="800" w:type="dxa"/>
            <w:tcBorders>
              <w:top w:val="nil"/>
              <w:left w:val="nil"/>
              <w:bottom w:val="nil"/>
              <w:right w:val="nil"/>
            </w:tcBorders>
          </w:tcPr>
          <w:p w14:paraId="7707F15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06C35C9F"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0FC4FF87"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138BA7A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6FAA66D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r>
      <w:tr w:rsidR="004E37EE" w:rsidRPr="007915F2" w14:paraId="33D13DC5" w14:textId="77777777" w:rsidTr="007D1505">
        <w:tc>
          <w:tcPr>
            <w:tcW w:w="1608" w:type="dxa"/>
            <w:tcBorders>
              <w:top w:val="nil"/>
              <w:left w:val="nil"/>
              <w:bottom w:val="nil"/>
              <w:right w:val="nil"/>
            </w:tcBorders>
          </w:tcPr>
          <w:p w14:paraId="3B26670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EIG</w:t>
            </w:r>
          </w:p>
        </w:tc>
        <w:tc>
          <w:tcPr>
            <w:tcW w:w="800" w:type="dxa"/>
            <w:tcBorders>
              <w:top w:val="nil"/>
              <w:left w:val="nil"/>
              <w:bottom w:val="nil"/>
              <w:right w:val="nil"/>
            </w:tcBorders>
          </w:tcPr>
          <w:p w14:paraId="4B4ACD3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0FAF5268"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0.01</w:t>
            </w:r>
          </w:p>
        </w:tc>
        <w:tc>
          <w:tcPr>
            <w:tcW w:w="1400" w:type="dxa"/>
            <w:tcBorders>
              <w:top w:val="nil"/>
              <w:left w:val="nil"/>
              <w:bottom w:val="nil"/>
              <w:right w:val="nil"/>
            </w:tcBorders>
          </w:tcPr>
          <w:p w14:paraId="53F925B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0.04</w:t>
            </w:r>
          </w:p>
        </w:tc>
        <w:tc>
          <w:tcPr>
            <w:tcW w:w="1400" w:type="dxa"/>
            <w:tcBorders>
              <w:top w:val="nil"/>
              <w:left w:val="nil"/>
              <w:bottom w:val="nil"/>
              <w:right w:val="nil"/>
            </w:tcBorders>
          </w:tcPr>
          <w:p w14:paraId="1827BCD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478426C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1.00</w:t>
            </w:r>
          </w:p>
        </w:tc>
      </w:tr>
      <w:tr w:rsidR="004E37EE" w:rsidRPr="007915F2" w14:paraId="06ED6E71" w14:textId="77777777" w:rsidTr="007D1505">
        <w:tc>
          <w:tcPr>
            <w:tcW w:w="1608" w:type="dxa"/>
            <w:tcBorders>
              <w:top w:val="nil"/>
              <w:left w:val="nil"/>
              <w:bottom w:val="nil"/>
              <w:right w:val="nil"/>
            </w:tcBorders>
          </w:tcPr>
          <w:p w14:paraId="7D3B8A5A"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ECC</w:t>
            </w:r>
          </w:p>
        </w:tc>
        <w:tc>
          <w:tcPr>
            <w:tcW w:w="800" w:type="dxa"/>
            <w:tcBorders>
              <w:top w:val="nil"/>
              <w:left w:val="nil"/>
              <w:bottom w:val="nil"/>
              <w:right w:val="nil"/>
            </w:tcBorders>
          </w:tcPr>
          <w:p w14:paraId="70378C17"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1E062FB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13.81</w:t>
            </w:r>
          </w:p>
        </w:tc>
        <w:tc>
          <w:tcPr>
            <w:tcW w:w="1400" w:type="dxa"/>
            <w:tcBorders>
              <w:top w:val="nil"/>
              <w:left w:val="nil"/>
              <w:bottom w:val="nil"/>
              <w:right w:val="nil"/>
            </w:tcBorders>
          </w:tcPr>
          <w:p w14:paraId="6E604AF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0.71</w:t>
            </w:r>
          </w:p>
        </w:tc>
        <w:tc>
          <w:tcPr>
            <w:tcW w:w="1400" w:type="dxa"/>
            <w:tcBorders>
              <w:top w:val="nil"/>
              <w:left w:val="nil"/>
              <w:bottom w:val="nil"/>
              <w:right w:val="nil"/>
            </w:tcBorders>
          </w:tcPr>
          <w:p w14:paraId="7F29431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13.00</w:t>
            </w:r>
          </w:p>
        </w:tc>
        <w:tc>
          <w:tcPr>
            <w:tcW w:w="1400" w:type="dxa"/>
            <w:tcBorders>
              <w:top w:val="nil"/>
              <w:left w:val="nil"/>
              <w:bottom w:val="nil"/>
              <w:right w:val="nil"/>
            </w:tcBorders>
          </w:tcPr>
          <w:p w14:paraId="6CFED2E4"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15.00</w:t>
            </w:r>
          </w:p>
        </w:tc>
      </w:tr>
      <w:tr w:rsidR="004E37EE" w:rsidRPr="007915F2" w14:paraId="2C3C6DDB" w14:textId="77777777" w:rsidTr="007D1505">
        <w:tc>
          <w:tcPr>
            <w:tcW w:w="1608" w:type="dxa"/>
            <w:tcBorders>
              <w:top w:val="nil"/>
              <w:left w:val="nil"/>
              <w:bottom w:val="nil"/>
              <w:right w:val="nil"/>
            </w:tcBorders>
          </w:tcPr>
          <w:p w14:paraId="5DB29108"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ATH</w:t>
            </w:r>
          </w:p>
        </w:tc>
        <w:tc>
          <w:tcPr>
            <w:tcW w:w="800" w:type="dxa"/>
            <w:tcBorders>
              <w:top w:val="nil"/>
              <w:left w:val="nil"/>
              <w:bottom w:val="nil"/>
              <w:right w:val="nil"/>
            </w:tcBorders>
          </w:tcPr>
          <w:p w14:paraId="2672D1A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1DE19CC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734959F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0.03</w:t>
            </w:r>
          </w:p>
        </w:tc>
        <w:tc>
          <w:tcPr>
            <w:tcW w:w="1400" w:type="dxa"/>
            <w:tcBorders>
              <w:top w:val="nil"/>
              <w:left w:val="nil"/>
              <w:bottom w:val="nil"/>
              <w:right w:val="nil"/>
            </w:tcBorders>
          </w:tcPr>
          <w:p w14:paraId="600D0503"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6E862B6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1.00</w:t>
            </w:r>
          </w:p>
        </w:tc>
      </w:tr>
      <w:tr w:rsidR="004E37EE" w:rsidRPr="007915F2" w14:paraId="6E29CB39" w14:textId="77777777" w:rsidTr="007D1505">
        <w:tc>
          <w:tcPr>
            <w:tcW w:w="1608" w:type="dxa"/>
            <w:tcBorders>
              <w:top w:val="nil"/>
              <w:left w:val="nil"/>
              <w:bottom w:val="nil"/>
              <w:right w:val="nil"/>
            </w:tcBorders>
          </w:tcPr>
          <w:p w14:paraId="254F3736"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PGE</w:t>
            </w:r>
          </w:p>
        </w:tc>
        <w:tc>
          <w:tcPr>
            <w:tcW w:w="800" w:type="dxa"/>
            <w:tcBorders>
              <w:top w:val="nil"/>
              <w:left w:val="nil"/>
              <w:bottom w:val="nil"/>
              <w:right w:val="nil"/>
            </w:tcBorders>
          </w:tcPr>
          <w:p w14:paraId="6B05E57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5C41C234"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61C41DF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3BBEFEE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294599C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0.01</w:t>
            </w:r>
          </w:p>
        </w:tc>
      </w:tr>
      <w:tr w:rsidR="004E37EE" w:rsidRPr="007915F2" w14:paraId="4BAC2F61" w14:textId="77777777" w:rsidTr="007D1505">
        <w:tc>
          <w:tcPr>
            <w:tcW w:w="1608" w:type="dxa"/>
            <w:tcBorders>
              <w:top w:val="nil"/>
              <w:left w:val="nil"/>
              <w:bottom w:val="nil"/>
              <w:right w:val="nil"/>
            </w:tcBorders>
          </w:tcPr>
          <w:p w14:paraId="546638AD"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IDG</w:t>
            </w:r>
          </w:p>
        </w:tc>
        <w:tc>
          <w:tcPr>
            <w:tcW w:w="800" w:type="dxa"/>
            <w:tcBorders>
              <w:top w:val="nil"/>
              <w:left w:val="nil"/>
              <w:bottom w:val="nil"/>
              <w:right w:val="nil"/>
            </w:tcBorders>
          </w:tcPr>
          <w:p w14:paraId="70991F22"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3D4C56D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5.63</w:t>
            </w:r>
          </w:p>
        </w:tc>
        <w:tc>
          <w:tcPr>
            <w:tcW w:w="1400" w:type="dxa"/>
            <w:tcBorders>
              <w:top w:val="nil"/>
              <w:left w:val="nil"/>
              <w:bottom w:val="nil"/>
              <w:right w:val="nil"/>
            </w:tcBorders>
          </w:tcPr>
          <w:p w14:paraId="34AC1068"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8.92</w:t>
            </w:r>
          </w:p>
        </w:tc>
        <w:tc>
          <w:tcPr>
            <w:tcW w:w="1400" w:type="dxa"/>
            <w:tcBorders>
              <w:top w:val="nil"/>
              <w:left w:val="nil"/>
              <w:bottom w:val="nil"/>
              <w:right w:val="nil"/>
            </w:tcBorders>
          </w:tcPr>
          <w:p w14:paraId="47FE364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7E743899"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27.00</w:t>
            </w:r>
          </w:p>
        </w:tc>
      </w:tr>
      <w:tr w:rsidR="004E37EE" w:rsidRPr="007915F2" w14:paraId="22CED5C2" w14:textId="77777777" w:rsidTr="007D1505">
        <w:tc>
          <w:tcPr>
            <w:tcW w:w="1608" w:type="dxa"/>
            <w:tcBorders>
              <w:top w:val="nil"/>
              <w:left w:val="nil"/>
              <w:bottom w:val="nil"/>
              <w:right w:val="nil"/>
            </w:tcBorders>
          </w:tcPr>
          <w:p w14:paraId="27A2885D"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ODG</w:t>
            </w:r>
          </w:p>
        </w:tc>
        <w:tc>
          <w:tcPr>
            <w:tcW w:w="800" w:type="dxa"/>
            <w:tcBorders>
              <w:top w:val="nil"/>
              <w:left w:val="nil"/>
              <w:bottom w:val="nil"/>
              <w:right w:val="nil"/>
            </w:tcBorders>
          </w:tcPr>
          <w:p w14:paraId="21560F62"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7D98F3E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6.31</w:t>
            </w:r>
          </w:p>
        </w:tc>
        <w:tc>
          <w:tcPr>
            <w:tcW w:w="1400" w:type="dxa"/>
            <w:tcBorders>
              <w:top w:val="nil"/>
              <w:left w:val="nil"/>
              <w:bottom w:val="nil"/>
              <w:right w:val="nil"/>
            </w:tcBorders>
          </w:tcPr>
          <w:p w14:paraId="6FD19B77"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6.25</w:t>
            </w:r>
          </w:p>
        </w:tc>
        <w:tc>
          <w:tcPr>
            <w:tcW w:w="1400" w:type="dxa"/>
            <w:tcBorders>
              <w:top w:val="nil"/>
              <w:left w:val="nil"/>
              <w:bottom w:val="nil"/>
              <w:right w:val="nil"/>
            </w:tcBorders>
          </w:tcPr>
          <w:p w14:paraId="5746070F"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1.00</w:t>
            </w:r>
          </w:p>
        </w:tc>
        <w:tc>
          <w:tcPr>
            <w:tcW w:w="1400" w:type="dxa"/>
            <w:tcBorders>
              <w:top w:val="nil"/>
              <w:left w:val="nil"/>
              <w:bottom w:val="nil"/>
              <w:right w:val="nil"/>
            </w:tcBorders>
          </w:tcPr>
          <w:p w14:paraId="3489BAC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20.00</w:t>
            </w:r>
          </w:p>
        </w:tc>
      </w:tr>
      <w:tr w:rsidR="004E37EE" w:rsidRPr="007915F2" w14:paraId="3BD0D250" w14:textId="77777777" w:rsidTr="007D1505">
        <w:tc>
          <w:tcPr>
            <w:tcW w:w="1608" w:type="dxa"/>
            <w:tcBorders>
              <w:top w:val="nil"/>
              <w:left w:val="nil"/>
              <w:bottom w:val="nil"/>
              <w:right w:val="nil"/>
            </w:tcBorders>
          </w:tcPr>
          <w:p w14:paraId="73EB442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CLT</w:t>
            </w:r>
          </w:p>
        </w:tc>
        <w:tc>
          <w:tcPr>
            <w:tcW w:w="800" w:type="dxa"/>
            <w:tcBorders>
              <w:top w:val="nil"/>
              <w:left w:val="nil"/>
              <w:bottom w:val="nil"/>
              <w:right w:val="nil"/>
            </w:tcBorders>
          </w:tcPr>
          <w:p w14:paraId="23A33DE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488997CF"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0.01</w:t>
            </w:r>
          </w:p>
        </w:tc>
        <w:tc>
          <w:tcPr>
            <w:tcW w:w="1400" w:type="dxa"/>
            <w:tcBorders>
              <w:top w:val="nil"/>
              <w:left w:val="nil"/>
              <w:bottom w:val="nil"/>
              <w:right w:val="nil"/>
            </w:tcBorders>
          </w:tcPr>
          <w:p w14:paraId="6191CD7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0.02</w:t>
            </w:r>
          </w:p>
        </w:tc>
        <w:tc>
          <w:tcPr>
            <w:tcW w:w="1400" w:type="dxa"/>
            <w:tcBorders>
              <w:top w:val="nil"/>
              <w:left w:val="nil"/>
              <w:bottom w:val="nil"/>
              <w:right w:val="nil"/>
            </w:tcBorders>
          </w:tcPr>
          <w:p w14:paraId="318361CF"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0.00</w:t>
            </w:r>
          </w:p>
        </w:tc>
        <w:tc>
          <w:tcPr>
            <w:tcW w:w="1400" w:type="dxa"/>
            <w:tcBorders>
              <w:top w:val="nil"/>
              <w:left w:val="nil"/>
              <w:bottom w:val="nil"/>
              <w:right w:val="nil"/>
            </w:tcBorders>
          </w:tcPr>
          <w:p w14:paraId="184C2269"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0.07</w:t>
            </w:r>
          </w:p>
        </w:tc>
      </w:tr>
      <w:tr w:rsidR="004E37EE" w:rsidRPr="007915F2" w14:paraId="79E32387" w14:textId="77777777" w:rsidTr="007D1505">
        <w:tc>
          <w:tcPr>
            <w:tcW w:w="1608" w:type="dxa"/>
            <w:tcBorders>
              <w:top w:val="nil"/>
              <w:left w:val="nil"/>
              <w:bottom w:val="nil"/>
              <w:right w:val="nil"/>
            </w:tcBorders>
          </w:tcPr>
          <w:p w14:paraId="55211B6E"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CSZ</w:t>
            </w:r>
          </w:p>
        </w:tc>
        <w:tc>
          <w:tcPr>
            <w:tcW w:w="800" w:type="dxa"/>
            <w:tcBorders>
              <w:top w:val="nil"/>
              <w:left w:val="nil"/>
              <w:bottom w:val="nil"/>
              <w:right w:val="nil"/>
            </w:tcBorders>
          </w:tcPr>
          <w:p w14:paraId="72263907"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3F66BB3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1552.99</w:t>
            </w:r>
          </w:p>
        </w:tc>
        <w:tc>
          <w:tcPr>
            <w:tcW w:w="1400" w:type="dxa"/>
            <w:tcBorders>
              <w:top w:val="nil"/>
              <w:left w:val="nil"/>
              <w:bottom w:val="nil"/>
              <w:right w:val="nil"/>
            </w:tcBorders>
          </w:tcPr>
          <w:p w14:paraId="6329794F"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551.16</w:t>
            </w:r>
          </w:p>
        </w:tc>
        <w:tc>
          <w:tcPr>
            <w:tcW w:w="1400" w:type="dxa"/>
            <w:tcBorders>
              <w:top w:val="nil"/>
              <w:left w:val="nil"/>
              <w:bottom w:val="nil"/>
              <w:right w:val="nil"/>
            </w:tcBorders>
          </w:tcPr>
          <w:p w14:paraId="491FB25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687.00</w:t>
            </w:r>
          </w:p>
        </w:tc>
        <w:tc>
          <w:tcPr>
            <w:tcW w:w="1400" w:type="dxa"/>
            <w:tcBorders>
              <w:top w:val="nil"/>
              <w:left w:val="nil"/>
              <w:bottom w:val="nil"/>
              <w:right w:val="nil"/>
            </w:tcBorders>
          </w:tcPr>
          <w:p w14:paraId="6009FAB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2277.00</w:t>
            </w:r>
          </w:p>
        </w:tc>
      </w:tr>
      <w:tr w:rsidR="004E37EE" w:rsidRPr="007915F2" w14:paraId="6781F142" w14:textId="77777777" w:rsidTr="007D1505">
        <w:tc>
          <w:tcPr>
            <w:tcW w:w="1608" w:type="dxa"/>
            <w:tcBorders>
              <w:top w:val="nil"/>
              <w:left w:val="nil"/>
              <w:bottom w:val="nil"/>
              <w:right w:val="nil"/>
            </w:tcBorders>
          </w:tcPr>
          <w:p w14:paraId="19D6D9F9"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TIR</w:t>
            </w:r>
          </w:p>
        </w:tc>
        <w:tc>
          <w:tcPr>
            <w:tcW w:w="800" w:type="dxa"/>
            <w:tcBorders>
              <w:top w:val="nil"/>
              <w:left w:val="nil"/>
              <w:bottom w:val="nil"/>
              <w:right w:val="nil"/>
            </w:tcBorders>
          </w:tcPr>
          <w:p w14:paraId="6274D689"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3739</w:t>
            </w:r>
          </w:p>
        </w:tc>
        <w:tc>
          <w:tcPr>
            <w:tcW w:w="1400" w:type="dxa"/>
            <w:tcBorders>
              <w:top w:val="nil"/>
              <w:left w:val="nil"/>
              <w:bottom w:val="nil"/>
              <w:right w:val="nil"/>
            </w:tcBorders>
          </w:tcPr>
          <w:p w14:paraId="37571EA3"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4.55</w:t>
            </w:r>
          </w:p>
        </w:tc>
        <w:tc>
          <w:tcPr>
            <w:tcW w:w="1400" w:type="dxa"/>
            <w:tcBorders>
              <w:top w:val="nil"/>
              <w:left w:val="nil"/>
              <w:bottom w:val="nil"/>
              <w:right w:val="nil"/>
            </w:tcBorders>
          </w:tcPr>
          <w:p w14:paraId="243F1707"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0.50</w:t>
            </w:r>
          </w:p>
        </w:tc>
        <w:tc>
          <w:tcPr>
            <w:tcW w:w="1400" w:type="dxa"/>
            <w:tcBorders>
              <w:top w:val="nil"/>
              <w:left w:val="nil"/>
              <w:bottom w:val="nil"/>
              <w:right w:val="nil"/>
            </w:tcBorders>
          </w:tcPr>
          <w:p w14:paraId="236329C8"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1.00</w:t>
            </w:r>
          </w:p>
        </w:tc>
        <w:tc>
          <w:tcPr>
            <w:tcW w:w="1400" w:type="dxa"/>
            <w:tcBorders>
              <w:top w:val="nil"/>
              <w:left w:val="nil"/>
              <w:bottom w:val="nil"/>
              <w:right w:val="nil"/>
            </w:tcBorders>
          </w:tcPr>
          <w:p w14:paraId="2E46A703" w14:textId="77777777" w:rsidR="004E37EE" w:rsidRPr="007915F2" w:rsidRDefault="004E37EE" w:rsidP="00D61CD6">
            <w:pPr>
              <w:widowControl w:val="0"/>
              <w:autoSpaceDE w:val="0"/>
              <w:autoSpaceDN w:val="0"/>
              <w:adjustRightInd w:val="0"/>
              <w:spacing w:after="0" w:line="240" w:lineRule="auto"/>
              <w:jc w:val="right"/>
              <w:rPr>
                <w:rFonts w:ascii="Garamond" w:hAnsi="Garamond"/>
                <w:sz w:val="24"/>
                <w:szCs w:val="24"/>
              </w:rPr>
            </w:pPr>
            <w:r w:rsidRPr="007915F2">
              <w:rPr>
                <w:rFonts w:ascii="Garamond" w:hAnsi="Garamond"/>
                <w:sz w:val="24"/>
                <w:szCs w:val="24"/>
              </w:rPr>
              <w:t>5.00</w:t>
            </w:r>
          </w:p>
        </w:tc>
      </w:tr>
      <w:tr w:rsidR="004E37EE" w:rsidRPr="007915F2" w14:paraId="59021C79" w14:textId="77777777" w:rsidTr="007D1505">
        <w:tc>
          <w:tcPr>
            <w:tcW w:w="8008" w:type="dxa"/>
            <w:gridSpan w:val="6"/>
            <w:tcBorders>
              <w:top w:val="single" w:sz="6" w:space="0" w:color="auto"/>
              <w:left w:val="nil"/>
              <w:bottom w:val="nil"/>
              <w:right w:val="nil"/>
            </w:tcBorders>
          </w:tcPr>
          <w:p w14:paraId="7F1162A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p>
        </w:tc>
      </w:tr>
    </w:tbl>
    <w:p w14:paraId="410B2134" w14:textId="77777777" w:rsidR="004E37EE" w:rsidRPr="007915F2" w:rsidRDefault="004E37EE" w:rsidP="00D61CD6">
      <w:pPr>
        <w:widowControl w:val="0"/>
        <w:autoSpaceDE w:val="0"/>
        <w:autoSpaceDN w:val="0"/>
        <w:adjustRightInd w:val="0"/>
        <w:spacing w:after="0" w:line="240" w:lineRule="auto"/>
        <w:rPr>
          <w:rFonts w:ascii="Garamond" w:hAnsi="Garamond"/>
          <w:b/>
          <w:bCs/>
          <w:sz w:val="24"/>
          <w:szCs w:val="24"/>
        </w:rPr>
      </w:pPr>
    </w:p>
    <w:p w14:paraId="63059A29" w14:textId="77777777" w:rsidR="004E37EE" w:rsidRPr="007915F2" w:rsidRDefault="004E37EE" w:rsidP="00D61CD6">
      <w:pPr>
        <w:widowControl w:val="0"/>
        <w:autoSpaceDE w:val="0"/>
        <w:autoSpaceDN w:val="0"/>
        <w:adjustRightInd w:val="0"/>
        <w:spacing w:after="0" w:line="240" w:lineRule="auto"/>
        <w:rPr>
          <w:rFonts w:ascii="Garamond" w:hAnsi="Garamond"/>
          <w:b/>
          <w:bCs/>
          <w:sz w:val="24"/>
          <w:szCs w:val="24"/>
        </w:rPr>
      </w:pPr>
    </w:p>
    <w:p w14:paraId="68F801AA" w14:textId="77777777" w:rsidR="004E37EE" w:rsidRPr="007915F2" w:rsidRDefault="004E37EE" w:rsidP="00D61CD6">
      <w:pPr>
        <w:widowControl w:val="0"/>
        <w:autoSpaceDE w:val="0"/>
        <w:autoSpaceDN w:val="0"/>
        <w:adjustRightInd w:val="0"/>
        <w:spacing w:after="0" w:line="240" w:lineRule="auto"/>
        <w:rPr>
          <w:rFonts w:ascii="Garamond" w:hAnsi="Garamond"/>
          <w:b/>
          <w:bCs/>
          <w:sz w:val="24"/>
          <w:szCs w:val="24"/>
        </w:rPr>
      </w:pPr>
    </w:p>
    <w:p w14:paraId="0D64D0BF" w14:textId="77777777" w:rsidR="004E37EE" w:rsidRPr="007915F2" w:rsidRDefault="004E37EE" w:rsidP="00D61CD6">
      <w:pPr>
        <w:widowControl w:val="0"/>
        <w:autoSpaceDE w:val="0"/>
        <w:autoSpaceDN w:val="0"/>
        <w:adjustRightInd w:val="0"/>
        <w:spacing w:after="0" w:line="240" w:lineRule="auto"/>
        <w:rPr>
          <w:rFonts w:ascii="Garamond" w:hAnsi="Garamond"/>
          <w:b/>
          <w:bCs/>
          <w:sz w:val="24"/>
          <w:szCs w:val="24"/>
        </w:rPr>
      </w:pPr>
      <w:r w:rsidRPr="007915F2">
        <w:rPr>
          <w:rFonts w:ascii="Garamond" w:hAnsi="Garamond"/>
          <w:b/>
          <w:bCs/>
          <w:sz w:val="24"/>
          <w:szCs w:val="24"/>
        </w:rPr>
        <w:t>Table 2B</w:t>
      </w:r>
    </w:p>
    <w:p w14:paraId="6FA8D7C5"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b/>
          <w:bCs/>
          <w:sz w:val="24"/>
          <w:szCs w:val="24"/>
        </w:rPr>
        <w:br/>
      </w:r>
      <w:r w:rsidRPr="007915F2">
        <w:rPr>
          <w:rFonts w:ascii="Garamond" w:hAnsi="Garamond"/>
          <w:b/>
          <w:bCs/>
          <w:sz w:val="20"/>
          <w:szCs w:val="20"/>
        </w:rPr>
        <w:t xml:space="preserve">Pairwise correlations </w:t>
      </w:r>
    </w:p>
    <w:tbl>
      <w:tblPr>
        <w:tblW w:w="0" w:type="auto"/>
        <w:tblLayout w:type="fixed"/>
        <w:tblLook w:val="0000" w:firstRow="0" w:lastRow="0" w:firstColumn="0" w:lastColumn="0" w:noHBand="0" w:noVBand="0"/>
      </w:tblPr>
      <w:tblGrid>
        <w:gridCol w:w="1572"/>
        <w:gridCol w:w="854"/>
        <w:gridCol w:w="854"/>
        <w:gridCol w:w="854"/>
        <w:gridCol w:w="854"/>
        <w:gridCol w:w="854"/>
        <w:gridCol w:w="854"/>
        <w:gridCol w:w="854"/>
        <w:gridCol w:w="854"/>
        <w:gridCol w:w="854"/>
        <w:gridCol w:w="854"/>
      </w:tblGrid>
      <w:tr w:rsidR="004E37EE" w:rsidRPr="007915F2" w14:paraId="24C1202A" w14:textId="77777777" w:rsidTr="007D1505">
        <w:tc>
          <w:tcPr>
            <w:tcW w:w="1572" w:type="dxa"/>
            <w:tcBorders>
              <w:top w:val="single" w:sz="4" w:space="0" w:color="auto"/>
              <w:left w:val="nil"/>
              <w:bottom w:val="single" w:sz="6" w:space="0" w:color="auto"/>
              <w:right w:val="nil"/>
            </w:tcBorders>
          </w:tcPr>
          <w:p w14:paraId="3B6A9D19"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Variables</w:t>
            </w:r>
          </w:p>
        </w:tc>
        <w:tc>
          <w:tcPr>
            <w:tcW w:w="854" w:type="dxa"/>
            <w:tcBorders>
              <w:top w:val="single" w:sz="4" w:space="0" w:color="auto"/>
              <w:left w:val="nil"/>
              <w:bottom w:val="single" w:sz="6" w:space="0" w:color="auto"/>
              <w:right w:val="nil"/>
            </w:tcBorders>
          </w:tcPr>
          <w:p w14:paraId="04199DB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w:t>
            </w:r>
          </w:p>
        </w:tc>
        <w:tc>
          <w:tcPr>
            <w:tcW w:w="854" w:type="dxa"/>
            <w:tcBorders>
              <w:top w:val="single" w:sz="4" w:space="0" w:color="auto"/>
              <w:left w:val="nil"/>
              <w:bottom w:val="single" w:sz="6" w:space="0" w:color="auto"/>
              <w:right w:val="nil"/>
            </w:tcBorders>
          </w:tcPr>
          <w:p w14:paraId="65C4B3A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(2)</w:t>
            </w:r>
          </w:p>
        </w:tc>
        <w:tc>
          <w:tcPr>
            <w:tcW w:w="854" w:type="dxa"/>
            <w:tcBorders>
              <w:top w:val="single" w:sz="4" w:space="0" w:color="auto"/>
              <w:left w:val="nil"/>
              <w:bottom w:val="single" w:sz="6" w:space="0" w:color="auto"/>
              <w:right w:val="nil"/>
            </w:tcBorders>
          </w:tcPr>
          <w:p w14:paraId="462CC14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(3)</w:t>
            </w:r>
          </w:p>
        </w:tc>
        <w:tc>
          <w:tcPr>
            <w:tcW w:w="854" w:type="dxa"/>
            <w:tcBorders>
              <w:top w:val="single" w:sz="4" w:space="0" w:color="auto"/>
              <w:left w:val="nil"/>
              <w:bottom w:val="single" w:sz="6" w:space="0" w:color="auto"/>
              <w:right w:val="nil"/>
            </w:tcBorders>
          </w:tcPr>
          <w:p w14:paraId="3E0039D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(4)</w:t>
            </w:r>
          </w:p>
        </w:tc>
        <w:tc>
          <w:tcPr>
            <w:tcW w:w="854" w:type="dxa"/>
            <w:tcBorders>
              <w:top w:val="single" w:sz="4" w:space="0" w:color="auto"/>
              <w:left w:val="nil"/>
              <w:bottom w:val="single" w:sz="6" w:space="0" w:color="auto"/>
              <w:right w:val="nil"/>
            </w:tcBorders>
          </w:tcPr>
          <w:p w14:paraId="29B857B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(5)</w:t>
            </w:r>
          </w:p>
        </w:tc>
        <w:tc>
          <w:tcPr>
            <w:tcW w:w="854" w:type="dxa"/>
            <w:tcBorders>
              <w:top w:val="single" w:sz="4" w:space="0" w:color="auto"/>
              <w:left w:val="nil"/>
              <w:bottom w:val="single" w:sz="6" w:space="0" w:color="auto"/>
              <w:right w:val="nil"/>
            </w:tcBorders>
          </w:tcPr>
          <w:p w14:paraId="200989B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(6)</w:t>
            </w:r>
          </w:p>
        </w:tc>
        <w:tc>
          <w:tcPr>
            <w:tcW w:w="854" w:type="dxa"/>
            <w:tcBorders>
              <w:top w:val="single" w:sz="4" w:space="0" w:color="auto"/>
              <w:left w:val="nil"/>
              <w:bottom w:val="single" w:sz="6" w:space="0" w:color="auto"/>
              <w:right w:val="nil"/>
            </w:tcBorders>
          </w:tcPr>
          <w:p w14:paraId="28F58FA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(7)</w:t>
            </w:r>
          </w:p>
        </w:tc>
        <w:tc>
          <w:tcPr>
            <w:tcW w:w="854" w:type="dxa"/>
            <w:tcBorders>
              <w:top w:val="single" w:sz="4" w:space="0" w:color="auto"/>
              <w:left w:val="nil"/>
              <w:bottom w:val="single" w:sz="6" w:space="0" w:color="auto"/>
              <w:right w:val="nil"/>
            </w:tcBorders>
          </w:tcPr>
          <w:p w14:paraId="6F947612"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(8)</w:t>
            </w:r>
          </w:p>
        </w:tc>
        <w:tc>
          <w:tcPr>
            <w:tcW w:w="854" w:type="dxa"/>
            <w:tcBorders>
              <w:top w:val="single" w:sz="4" w:space="0" w:color="auto"/>
              <w:left w:val="nil"/>
              <w:bottom w:val="single" w:sz="6" w:space="0" w:color="auto"/>
              <w:right w:val="nil"/>
            </w:tcBorders>
          </w:tcPr>
          <w:p w14:paraId="2D82752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(9)</w:t>
            </w:r>
          </w:p>
        </w:tc>
        <w:tc>
          <w:tcPr>
            <w:tcW w:w="854" w:type="dxa"/>
            <w:tcBorders>
              <w:top w:val="single" w:sz="4" w:space="0" w:color="auto"/>
              <w:left w:val="nil"/>
              <w:bottom w:val="single" w:sz="6" w:space="0" w:color="auto"/>
              <w:right w:val="nil"/>
            </w:tcBorders>
          </w:tcPr>
          <w:p w14:paraId="00D5CA5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w:t>
            </w:r>
          </w:p>
        </w:tc>
      </w:tr>
      <w:tr w:rsidR="004E37EE" w:rsidRPr="007915F2" w14:paraId="05838ACC" w14:textId="77777777" w:rsidTr="007D1505">
        <w:tc>
          <w:tcPr>
            <w:tcW w:w="1572" w:type="dxa"/>
            <w:tcBorders>
              <w:top w:val="nil"/>
              <w:left w:val="nil"/>
              <w:bottom w:val="nil"/>
              <w:right w:val="nil"/>
            </w:tcBorders>
          </w:tcPr>
          <w:p w14:paraId="1FFB9E96"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(1) CLS</w:t>
            </w:r>
          </w:p>
        </w:tc>
        <w:tc>
          <w:tcPr>
            <w:tcW w:w="854" w:type="dxa"/>
            <w:tcBorders>
              <w:top w:val="nil"/>
              <w:left w:val="nil"/>
              <w:bottom w:val="nil"/>
              <w:right w:val="nil"/>
            </w:tcBorders>
          </w:tcPr>
          <w:p w14:paraId="12FFAFB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1.000</w:t>
            </w:r>
          </w:p>
        </w:tc>
        <w:tc>
          <w:tcPr>
            <w:tcW w:w="854" w:type="dxa"/>
            <w:tcBorders>
              <w:top w:val="nil"/>
              <w:left w:val="nil"/>
              <w:bottom w:val="nil"/>
              <w:right w:val="nil"/>
            </w:tcBorders>
          </w:tcPr>
          <w:p w14:paraId="760562D9"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47AE131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7C1EF29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4A4E065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2E551B62"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12083CC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6111087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657DC8F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2592A2FD"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r>
      <w:tr w:rsidR="004E37EE" w:rsidRPr="007915F2" w14:paraId="45FE47C4" w14:textId="77777777" w:rsidTr="007D1505">
        <w:tc>
          <w:tcPr>
            <w:tcW w:w="1572" w:type="dxa"/>
            <w:tcBorders>
              <w:top w:val="nil"/>
              <w:left w:val="nil"/>
              <w:bottom w:val="nil"/>
              <w:right w:val="nil"/>
            </w:tcBorders>
          </w:tcPr>
          <w:p w14:paraId="22706125"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(2) EIG</w:t>
            </w:r>
          </w:p>
        </w:tc>
        <w:tc>
          <w:tcPr>
            <w:tcW w:w="854" w:type="dxa"/>
            <w:tcBorders>
              <w:top w:val="nil"/>
              <w:left w:val="nil"/>
              <w:bottom w:val="nil"/>
              <w:right w:val="nil"/>
            </w:tcBorders>
          </w:tcPr>
          <w:p w14:paraId="4C4B8249"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0.030</w:t>
            </w:r>
          </w:p>
        </w:tc>
        <w:tc>
          <w:tcPr>
            <w:tcW w:w="854" w:type="dxa"/>
            <w:tcBorders>
              <w:top w:val="nil"/>
              <w:left w:val="nil"/>
              <w:bottom w:val="nil"/>
              <w:right w:val="nil"/>
            </w:tcBorders>
          </w:tcPr>
          <w:p w14:paraId="07D20D0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1.000</w:t>
            </w:r>
          </w:p>
        </w:tc>
        <w:tc>
          <w:tcPr>
            <w:tcW w:w="854" w:type="dxa"/>
            <w:tcBorders>
              <w:top w:val="nil"/>
              <w:left w:val="nil"/>
              <w:bottom w:val="nil"/>
              <w:right w:val="nil"/>
            </w:tcBorders>
          </w:tcPr>
          <w:p w14:paraId="204B8018"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0B7DE06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771788E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5CEC789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76DBDF6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6C162704"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28E3B213"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423352D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r>
      <w:tr w:rsidR="004E37EE" w:rsidRPr="007915F2" w14:paraId="65805B4C" w14:textId="77777777" w:rsidTr="007D1505">
        <w:tc>
          <w:tcPr>
            <w:tcW w:w="1572" w:type="dxa"/>
            <w:tcBorders>
              <w:top w:val="nil"/>
              <w:left w:val="nil"/>
              <w:bottom w:val="nil"/>
              <w:right w:val="nil"/>
            </w:tcBorders>
          </w:tcPr>
          <w:p w14:paraId="47140A7C"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(3) ECC</w:t>
            </w:r>
          </w:p>
        </w:tc>
        <w:tc>
          <w:tcPr>
            <w:tcW w:w="854" w:type="dxa"/>
            <w:tcBorders>
              <w:top w:val="nil"/>
              <w:left w:val="nil"/>
              <w:bottom w:val="nil"/>
              <w:right w:val="nil"/>
            </w:tcBorders>
          </w:tcPr>
          <w:p w14:paraId="66E3208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0.010</w:t>
            </w:r>
          </w:p>
        </w:tc>
        <w:tc>
          <w:tcPr>
            <w:tcW w:w="854" w:type="dxa"/>
            <w:tcBorders>
              <w:top w:val="nil"/>
              <w:left w:val="nil"/>
              <w:bottom w:val="nil"/>
              <w:right w:val="nil"/>
            </w:tcBorders>
          </w:tcPr>
          <w:p w14:paraId="32646B1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-0.225*</w:t>
            </w:r>
          </w:p>
        </w:tc>
        <w:tc>
          <w:tcPr>
            <w:tcW w:w="854" w:type="dxa"/>
            <w:tcBorders>
              <w:top w:val="nil"/>
              <w:left w:val="nil"/>
              <w:bottom w:val="nil"/>
              <w:right w:val="nil"/>
            </w:tcBorders>
          </w:tcPr>
          <w:p w14:paraId="516DD94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1.000</w:t>
            </w:r>
          </w:p>
        </w:tc>
        <w:tc>
          <w:tcPr>
            <w:tcW w:w="854" w:type="dxa"/>
            <w:tcBorders>
              <w:top w:val="nil"/>
              <w:left w:val="nil"/>
              <w:bottom w:val="nil"/>
              <w:right w:val="nil"/>
            </w:tcBorders>
          </w:tcPr>
          <w:p w14:paraId="7E346269"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3AB0412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16BFEA9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5B97FEB2"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7112C9F4"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78DA86E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72774AE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r>
      <w:tr w:rsidR="004E37EE" w:rsidRPr="007915F2" w14:paraId="13B59710" w14:textId="77777777" w:rsidTr="007D1505">
        <w:tc>
          <w:tcPr>
            <w:tcW w:w="1572" w:type="dxa"/>
            <w:tcBorders>
              <w:top w:val="nil"/>
              <w:left w:val="nil"/>
              <w:bottom w:val="nil"/>
              <w:right w:val="nil"/>
            </w:tcBorders>
          </w:tcPr>
          <w:p w14:paraId="083B706B"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(4) ATH</w:t>
            </w:r>
          </w:p>
        </w:tc>
        <w:tc>
          <w:tcPr>
            <w:tcW w:w="854" w:type="dxa"/>
            <w:tcBorders>
              <w:top w:val="nil"/>
              <w:left w:val="nil"/>
              <w:bottom w:val="nil"/>
              <w:right w:val="nil"/>
            </w:tcBorders>
          </w:tcPr>
          <w:p w14:paraId="6B546B5F"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0.011</w:t>
            </w:r>
          </w:p>
        </w:tc>
        <w:tc>
          <w:tcPr>
            <w:tcW w:w="854" w:type="dxa"/>
            <w:tcBorders>
              <w:top w:val="nil"/>
              <w:left w:val="nil"/>
              <w:bottom w:val="nil"/>
              <w:right w:val="nil"/>
            </w:tcBorders>
          </w:tcPr>
          <w:p w14:paraId="20A805B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0.863*</w:t>
            </w:r>
          </w:p>
        </w:tc>
        <w:tc>
          <w:tcPr>
            <w:tcW w:w="854" w:type="dxa"/>
            <w:tcBorders>
              <w:top w:val="nil"/>
              <w:left w:val="nil"/>
              <w:bottom w:val="nil"/>
              <w:right w:val="nil"/>
            </w:tcBorders>
          </w:tcPr>
          <w:p w14:paraId="68EEF33F"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-0.107*</w:t>
            </w:r>
          </w:p>
        </w:tc>
        <w:tc>
          <w:tcPr>
            <w:tcW w:w="854" w:type="dxa"/>
            <w:tcBorders>
              <w:top w:val="nil"/>
              <w:left w:val="nil"/>
              <w:bottom w:val="nil"/>
              <w:right w:val="nil"/>
            </w:tcBorders>
          </w:tcPr>
          <w:p w14:paraId="31F6AE93"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1.000</w:t>
            </w:r>
          </w:p>
        </w:tc>
        <w:tc>
          <w:tcPr>
            <w:tcW w:w="854" w:type="dxa"/>
            <w:tcBorders>
              <w:top w:val="nil"/>
              <w:left w:val="nil"/>
              <w:bottom w:val="nil"/>
              <w:right w:val="nil"/>
            </w:tcBorders>
          </w:tcPr>
          <w:p w14:paraId="5F940C73"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4DAE89D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3BEA024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1B67029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59DC152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6B255EE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r>
      <w:tr w:rsidR="004E37EE" w:rsidRPr="007915F2" w14:paraId="57148311" w14:textId="77777777" w:rsidTr="007D1505">
        <w:tc>
          <w:tcPr>
            <w:tcW w:w="1572" w:type="dxa"/>
            <w:tcBorders>
              <w:top w:val="nil"/>
              <w:left w:val="nil"/>
              <w:bottom w:val="nil"/>
              <w:right w:val="nil"/>
            </w:tcBorders>
          </w:tcPr>
          <w:p w14:paraId="3870F2A4"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(5) PGE</w:t>
            </w:r>
          </w:p>
        </w:tc>
        <w:tc>
          <w:tcPr>
            <w:tcW w:w="854" w:type="dxa"/>
            <w:tcBorders>
              <w:top w:val="nil"/>
              <w:left w:val="nil"/>
              <w:bottom w:val="nil"/>
              <w:right w:val="nil"/>
            </w:tcBorders>
          </w:tcPr>
          <w:p w14:paraId="60194F6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-0.002</w:t>
            </w:r>
          </w:p>
        </w:tc>
        <w:tc>
          <w:tcPr>
            <w:tcW w:w="854" w:type="dxa"/>
            <w:tcBorders>
              <w:top w:val="nil"/>
              <w:left w:val="nil"/>
              <w:bottom w:val="nil"/>
              <w:right w:val="nil"/>
            </w:tcBorders>
          </w:tcPr>
          <w:p w14:paraId="4607E36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0.473*</w:t>
            </w:r>
          </w:p>
        </w:tc>
        <w:tc>
          <w:tcPr>
            <w:tcW w:w="854" w:type="dxa"/>
            <w:tcBorders>
              <w:top w:val="nil"/>
              <w:left w:val="nil"/>
              <w:bottom w:val="nil"/>
              <w:right w:val="nil"/>
            </w:tcBorders>
          </w:tcPr>
          <w:p w14:paraId="37AAEC9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-0.194*</w:t>
            </w:r>
          </w:p>
        </w:tc>
        <w:tc>
          <w:tcPr>
            <w:tcW w:w="854" w:type="dxa"/>
            <w:tcBorders>
              <w:top w:val="nil"/>
              <w:left w:val="nil"/>
              <w:bottom w:val="nil"/>
              <w:right w:val="nil"/>
            </w:tcBorders>
          </w:tcPr>
          <w:p w14:paraId="334302FF"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0.499*</w:t>
            </w:r>
          </w:p>
        </w:tc>
        <w:tc>
          <w:tcPr>
            <w:tcW w:w="854" w:type="dxa"/>
            <w:tcBorders>
              <w:top w:val="nil"/>
              <w:left w:val="nil"/>
              <w:bottom w:val="nil"/>
              <w:right w:val="nil"/>
            </w:tcBorders>
          </w:tcPr>
          <w:p w14:paraId="2CD6B592"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1.000</w:t>
            </w:r>
          </w:p>
        </w:tc>
        <w:tc>
          <w:tcPr>
            <w:tcW w:w="854" w:type="dxa"/>
            <w:tcBorders>
              <w:top w:val="nil"/>
              <w:left w:val="nil"/>
              <w:bottom w:val="nil"/>
              <w:right w:val="nil"/>
            </w:tcBorders>
          </w:tcPr>
          <w:p w14:paraId="44008013"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623E312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06F1176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6A1BFA59"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4E60150D"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r>
      <w:tr w:rsidR="004E37EE" w:rsidRPr="007915F2" w14:paraId="4AA57F67" w14:textId="77777777" w:rsidTr="007D1505">
        <w:tc>
          <w:tcPr>
            <w:tcW w:w="1572" w:type="dxa"/>
            <w:tcBorders>
              <w:top w:val="nil"/>
              <w:left w:val="nil"/>
              <w:bottom w:val="nil"/>
              <w:right w:val="nil"/>
            </w:tcBorders>
          </w:tcPr>
          <w:p w14:paraId="48F4F9DE"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(6) IDG</w:t>
            </w:r>
          </w:p>
        </w:tc>
        <w:tc>
          <w:tcPr>
            <w:tcW w:w="854" w:type="dxa"/>
            <w:tcBorders>
              <w:top w:val="nil"/>
              <w:left w:val="nil"/>
              <w:bottom w:val="nil"/>
              <w:right w:val="nil"/>
            </w:tcBorders>
          </w:tcPr>
          <w:p w14:paraId="7922998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-0.012</w:t>
            </w:r>
          </w:p>
        </w:tc>
        <w:tc>
          <w:tcPr>
            <w:tcW w:w="854" w:type="dxa"/>
            <w:tcBorders>
              <w:top w:val="nil"/>
              <w:left w:val="nil"/>
              <w:bottom w:val="nil"/>
              <w:right w:val="nil"/>
            </w:tcBorders>
          </w:tcPr>
          <w:p w14:paraId="3F69C99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0.272*</w:t>
            </w:r>
          </w:p>
        </w:tc>
        <w:tc>
          <w:tcPr>
            <w:tcW w:w="854" w:type="dxa"/>
            <w:tcBorders>
              <w:top w:val="nil"/>
              <w:left w:val="nil"/>
              <w:bottom w:val="nil"/>
              <w:right w:val="nil"/>
            </w:tcBorders>
          </w:tcPr>
          <w:p w14:paraId="5868243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-0.385*</w:t>
            </w:r>
          </w:p>
        </w:tc>
        <w:tc>
          <w:tcPr>
            <w:tcW w:w="854" w:type="dxa"/>
            <w:tcBorders>
              <w:top w:val="nil"/>
              <w:left w:val="nil"/>
              <w:bottom w:val="nil"/>
              <w:right w:val="nil"/>
            </w:tcBorders>
          </w:tcPr>
          <w:p w14:paraId="2E43055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0.229*</w:t>
            </w:r>
          </w:p>
        </w:tc>
        <w:tc>
          <w:tcPr>
            <w:tcW w:w="854" w:type="dxa"/>
            <w:tcBorders>
              <w:top w:val="nil"/>
              <w:left w:val="nil"/>
              <w:bottom w:val="nil"/>
              <w:right w:val="nil"/>
            </w:tcBorders>
          </w:tcPr>
          <w:p w14:paraId="5C309187"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0.485*</w:t>
            </w:r>
          </w:p>
        </w:tc>
        <w:tc>
          <w:tcPr>
            <w:tcW w:w="854" w:type="dxa"/>
            <w:tcBorders>
              <w:top w:val="nil"/>
              <w:left w:val="nil"/>
              <w:bottom w:val="nil"/>
              <w:right w:val="nil"/>
            </w:tcBorders>
          </w:tcPr>
          <w:p w14:paraId="4E4BC75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1.000</w:t>
            </w:r>
          </w:p>
        </w:tc>
        <w:tc>
          <w:tcPr>
            <w:tcW w:w="854" w:type="dxa"/>
            <w:tcBorders>
              <w:top w:val="nil"/>
              <w:left w:val="nil"/>
              <w:bottom w:val="nil"/>
              <w:right w:val="nil"/>
            </w:tcBorders>
          </w:tcPr>
          <w:p w14:paraId="4C2BA35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4125D35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632973D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484CF024"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r>
      <w:tr w:rsidR="004E37EE" w:rsidRPr="007915F2" w14:paraId="3B18E4D5" w14:textId="77777777" w:rsidTr="007D1505">
        <w:tc>
          <w:tcPr>
            <w:tcW w:w="1572" w:type="dxa"/>
            <w:tcBorders>
              <w:top w:val="nil"/>
              <w:left w:val="nil"/>
              <w:bottom w:val="nil"/>
              <w:right w:val="nil"/>
            </w:tcBorders>
          </w:tcPr>
          <w:p w14:paraId="4A156297"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(7) ODG</w:t>
            </w:r>
          </w:p>
        </w:tc>
        <w:tc>
          <w:tcPr>
            <w:tcW w:w="854" w:type="dxa"/>
            <w:tcBorders>
              <w:top w:val="nil"/>
              <w:left w:val="nil"/>
              <w:bottom w:val="nil"/>
              <w:right w:val="nil"/>
            </w:tcBorders>
          </w:tcPr>
          <w:p w14:paraId="31742255" w14:textId="77777777" w:rsidR="004E37EE" w:rsidRPr="007915F2" w:rsidRDefault="004E37EE" w:rsidP="00D61CD6">
            <w:pPr>
              <w:widowControl w:val="0"/>
              <w:autoSpaceDE w:val="0"/>
              <w:autoSpaceDN w:val="0"/>
              <w:adjustRightInd w:val="0"/>
              <w:spacing w:after="0" w:line="240" w:lineRule="auto"/>
              <w:ind w:right="-40"/>
              <w:jc w:val="right"/>
              <w:rPr>
                <w:rFonts w:ascii="Garamond" w:hAnsi="Garamond"/>
                <w:sz w:val="20"/>
                <w:szCs w:val="20"/>
              </w:rPr>
            </w:pPr>
            <w:r w:rsidRPr="007915F2">
              <w:rPr>
                <w:rFonts w:ascii="Garamond" w:hAnsi="Garamond"/>
                <w:sz w:val="20"/>
                <w:szCs w:val="20"/>
              </w:rPr>
              <w:t xml:space="preserve">  0.078*</w:t>
            </w:r>
          </w:p>
        </w:tc>
        <w:tc>
          <w:tcPr>
            <w:tcW w:w="854" w:type="dxa"/>
            <w:tcBorders>
              <w:top w:val="nil"/>
              <w:left w:val="nil"/>
              <w:bottom w:val="nil"/>
              <w:right w:val="nil"/>
            </w:tcBorders>
          </w:tcPr>
          <w:p w14:paraId="4F55EAC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0.395*</w:t>
            </w:r>
          </w:p>
        </w:tc>
        <w:tc>
          <w:tcPr>
            <w:tcW w:w="854" w:type="dxa"/>
            <w:tcBorders>
              <w:top w:val="nil"/>
              <w:left w:val="nil"/>
              <w:bottom w:val="nil"/>
              <w:right w:val="nil"/>
            </w:tcBorders>
          </w:tcPr>
          <w:p w14:paraId="2E1D7EBC"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-0.502*</w:t>
            </w:r>
          </w:p>
        </w:tc>
        <w:tc>
          <w:tcPr>
            <w:tcW w:w="854" w:type="dxa"/>
            <w:tcBorders>
              <w:top w:val="nil"/>
              <w:left w:val="nil"/>
              <w:bottom w:val="nil"/>
              <w:right w:val="nil"/>
            </w:tcBorders>
          </w:tcPr>
          <w:p w14:paraId="3C93B7F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0.164*</w:t>
            </w:r>
          </w:p>
        </w:tc>
        <w:tc>
          <w:tcPr>
            <w:tcW w:w="854" w:type="dxa"/>
            <w:tcBorders>
              <w:top w:val="nil"/>
              <w:left w:val="nil"/>
              <w:bottom w:val="nil"/>
              <w:right w:val="nil"/>
            </w:tcBorders>
          </w:tcPr>
          <w:p w14:paraId="0A05EF2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0.218*</w:t>
            </w:r>
          </w:p>
        </w:tc>
        <w:tc>
          <w:tcPr>
            <w:tcW w:w="854" w:type="dxa"/>
            <w:tcBorders>
              <w:top w:val="nil"/>
              <w:left w:val="nil"/>
              <w:bottom w:val="nil"/>
              <w:right w:val="nil"/>
            </w:tcBorders>
          </w:tcPr>
          <w:p w14:paraId="20B566C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0.343*</w:t>
            </w:r>
          </w:p>
        </w:tc>
        <w:tc>
          <w:tcPr>
            <w:tcW w:w="854" w:type="dxa"/>
            <w:tcBorders>
              <w:top w:val="nil"/>
              <w:left w:val="nil"/>
              <w:bottom w:val="nil"/>
              <w:right w:val="nil"/>
            </w:tcBorders>
          </w:tcPr>
          <w:p w14:paraId="6A3449BD"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1.000</w:t>
            </w:r>
          </w:p>
        </w:tc>
        <w:tc>
          <w:tcPr>
            <w:tcW w:w="854" w:type="dxa"/>
            <w:tcBorders>
              <w:top w:val="nil"/>
              <w:left w:val="nil"/>
              <w:bottom w:val="nil"/>
              <w:right w:val="nil"/>
            </w:tcBorders>
          </w:tcPr>
          <w:p w14:paraId="72FDBE02"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0B6F5794"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497F7E3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r>
      <w:tr w:rsidR="004E37EE" w:rsidRPr="007915F2" w14:paraId="4904642C" w14:textId="77777777" w:rsidTr="007D1505">
        <w:tc>
          <w:tcPr>
            <w:tcW w:w="1572" w:type="dxa"/>
            <w:tcBorders>
              <w:top w:val="nil"/>
              <w:left w:val="nil"/>
              <w:bottom w:val="nil"/>
              <w:right w:val="nil"/>
            </w:tcBorders>
          </w:tcPr>
          <w:p w14:paraId="450FA0B6"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(8) CLT</w:t>
            </w:r>
          </w:p>
        </w:tc>
        <w:tc>
          <w:tcPr>
            <w:tcW w:w="854" w:type="dxa"/>
            <w:tcBorders>
              <w:top w:val="nil"/>
              <w:left w:val="nil"/>
              <w:bottom w:val="nil"/>
              <w:right w:val="nil"/>
            </w:tcBorders>
          </w:tcPr>
          <w:p w14:paraId="03953E16" w14:textId="77777777" w:rsidR="004E37EE" w:rsidRPr="007915F2" w:rsidRDefault="004E37EE" w:rsidP="00D61CD6">
            <w:pPr>
              <w:widowControl w:val="0"/>
              <w:autoSpaceDE w:val="0"/>
              <w:autoSpaceDN w:val="0"/>
              <w:adjustRightInd w:val="0"/>
              <w:spacing w:after="0" w:line="240" w:lineRule="auto"/>
              <w:ind w:right="-40"/>
              <w:jc w:val="right"/>
              <w:rPr>
                <w:rFonts w:ascii="Garamond" w:hAnsi="Garamond"/>
                <w:sz w:val="20"/>
                <w:szCs w:val="20"/>
              </w:rPr>
            </w:pPr>
            <w:r w:rsidRPr="007915F2">
              <w:rPr>
                <w:rFonts w:ascii="Garamond" w:hAnsi="Garamond"/>
                <w:sz w:val="20"/>
                <w:szCs w:val="20"/>
              </w:rPr>
              <w:t>0.055*</w:t>
            </w:r>
          </w:p>
        </w:tc>
        <w:tc>
          <w:tcPr>
            <w:tcW w:w="854" w:type="dxa"/>
            <w:tcBorders>
              <w:top w:val="nil"/>
              <w:left w:val="nil"/>
              <w:bottom w:val="nil"/>
              <w:right w:val="nil"/>
            </w:tcBorders>
          </w:tcPr>
          <w:p w14:paraId="0F7B8EE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0.048*</w:t>
            </w:r>
          </w:p>
        </w:tc>
        <w:tc>
          <w:tcPr>
            <w:tcW w:w="854" w:type="dxa"/>
            <w:tcBorders>
              <w:top w:val="nil"/>
              <w:left w:val="nil"/>
              <w:bottom w:val="nil"/>
              <w:right w:val="nil"/>
            </w:tcBorders>
          </w:tcPr>
          <w:p w14:paraId="12264DF9"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-0.177*</w:t>
            </w:r>
          </w:p>
        </w:tc>
        <w:tc>
          <w:tcPr>
            <w:tcW w:w="854" w:type="dxa"/>
            <w:tcBorders>
              <w:top w:val="nil"/>
              <w:left w:val="nil"/>
              <w:bottom w:val="nil"/>
              <w:right w:val="nil"/>
            </w:tcBorders>
          </w:tcPr>
          <w:p w14:paraId="628A0E5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-0.030</w:t>
            </w:r>
          </w:p>
        </w:tc>
        <w:tc>
          <w:tcPr>
            <w:tcW w:w="854" w:type="dxa"/>
            <w:tcBorders>
              <w:top w:val="nil"/>
              <w:left w:val="nil"/>
              <w:bottom w:val="nil"/>
              <w:right w:val="nil"/>
            </w:tcBorders>
          </w:tcPr>
          <w:p w14:paraId="6554107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-0.023</w:t>
            </w:r>
          </w:p>
        </w:tc>
        <w:tc>
          <w:tcPr>
            <w:tcW w:w="854" w:type="dxa"/>
            <w:tcBorders>
              <w:top w:val="nil"/>
              <w:left w:val="nil"/>
              <w:bottom w:val="nil"/>
              <w:right w:val="nil"/>
            </w:tcBorders>
          </w:tcPr>
          <w:p w14:paraId="65098E28"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0.044*</w:t>
            </w:r>
          </w:p>
        </w:tc>
        <w:tc>
          <w:tcPr>
            <w:tcW w:w="854" w:type="dxa"/>
            <w:tcBorders>
              <w:top w:val="nil"/>
              <w:left w:val="nil"/>
              <w:bottom w:val="nil"/>
              <w:right w:val="nil"/>
            </w:tcBorders>
          </w:tcPr>
          <w:p w14:paraId="3A9F935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0.376*</w:t>
            </w:r>
          </w:p>
        </w:tc>
        <w:tc>
          <w:tcPr>
            <w:tcW w:w="854" w:type="dxa"/>
            <w:tcBorders>
              <w:top w:val="nil"/>
              <w:left w:val="nil"/>
              <w:bottom w:val="nil"/>
              <w:right w:val="nil"/>
            </w:tcBorders>
          </w:tcPr>
          <w:p w14:paraId="16E3246E"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1.000</w:t>
            </w:r>
          </w:p>
        </w:tc>
        <w:tc>
          <w:tcPr>
            <w:tcW w:w="854" w:type="dxa"/>
            <w:tcBorders>
              <w:top w:val="nil"/>
              <w:left w:val="nil"/>
              <w:bottom w:val="nil"/>
              <w:right w:val="nil"/>
            </w:tcBorders>
          </w:tcPr>
          <w:p w14:paraId="22F9449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c>
          <w:tcPr>
            <w:tcW w:w="854" w:type="dxa"/>
            <w:tcBorders>
              <w:top w:val="nil"/>
              <w:left w:val="nil"/>
              <w:bottom w:val="nil"/>
              <w:right w:val="nil"/>
            </w:tcBorders>
          </w:tcPr>
          <w:p w14:paraId="4FC80F6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r>
      <w:tr w:rsidR="004E37EE" w:rsidRPr="007915F2" w14:paraId="7BAED3B2" w14:textId="77777777" w:rsidTr="007D1505">
        <w:tc>
          <w:tcPr>
            <w:tcW w:w="1572" w:type="dxa"/>
            <w:tcBorders>
              <w:top w:val="nil"/>
              <w:left w:val="nil"/>
              <w:bottom w:val="nil"/>
              <w:right w:val="nil"/>
            </w:tcBorders>
          </w:tcPr>
          <w:p w14:paraId="4883BFD4"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(9) CSZ</w:t>
            </w:r>
          </w:p>
        </w:tc>
        <w:tc>
          <w:tcPr>
            <w:tcW w:w="854" w:type="dxa"/>
            <w:tcBorders>
              <w:top w:val="nil"/>
              <w:left w:val="nil"/>
              <w:bottom w:val="nil"/>
              <w:right w:val="nil"/>
            </w:tcBorders>
          </w:tcPr>
          <w:p w14:paraId="01630BAD"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0.129*</w:t>
            </w:r>
          </w:p>
        </w:tc>
        <w:tc>
          <w:tcPr>
            <w:tcW w:w="854" w:type="dxa"/>
            <w:tcBorders>
              <w:top w:val="nil"/>
              <w:left w:val="nil"/>
              <w:bottom w:val="nil"/>
              <w:right w:val="nil"/>
            </w:tcBorders>
          </w:tcPr>
          <w:p w14:paraId="4FC38F4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0.160*</w:t>
            </w:r>
          </w:p>
        </w:tc>
        <w:tc>
          <w:tcPr>
            <w:tcW w:w="854" w:type="dxa"/>
            <w:tcBorders>
              <w:top w:val="nil"/>
              <w:left w:val="nil"/>
              <w:bottom w:val="nil"/>
              <w:right w:val="nil"/>
            </w:tcBorders>
          </w:tcPr>
          <w:p w14:paraId="1C5CE081"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-0.061*</w:t>
            </w:r>
          </w:p>
        </w:tc>
        <w:tc>
          <w:tcPr>
            <w:tcW w:w="854" w:type="dxa"/>
            <w:tcBorders>
              <w:top w:val="nil"/>
              <w:left w:val="nil"/>
              <w:bottom w:val="nil"/>
              <w:right w:val="nil"/>
            </w:tcBorders>
          </w:tcPr>
          <w:p w14:paraId="321D72E8"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0.064*</w:t>
            </w:r>
          </w:p>
        </w:tc>
        <w:tc>
          <w:tcPr>
            <w:tcW w:w="854" w:type="dxa"/>
            <w:tcBorders>
              <w:top w:val="nil"/>
              <w:left w:val="nil"/>
              <w:bottom w:val="nil"/>
              <w:right w:val="nil"/>
            </w:tcBorders>
          </w:tcPr>
          <w:p w14:paraId="2ECDF10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-0.006</w:t>
            </w:r>
          </w:p>
        </w:tc>
        <w:tc>
          <w:tcPr>
            <w:tcW w:w="854" w:type="dxa"/>
            <w:tcBorders>
              <w:top w:val="nil"/>
              <w:left w:val="nil"/>
              <w:bottom w:val="nil"/>
              <w:right w:val="nil"/>
            </w:tcBorders>
          </w:tcPr>
          <w:p w14:paraId="2DA506C4"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0.047*</w:t>
            </w:r>
          </w:p>
        </w:tc>
        <w:tc>
          <w:tcPr>
            <w:tcW w:w="854" w:type="dxa"/>
            <w:tcBorders>
              <w:top w:val="nil"/>
              <w:left w:val="nil"/>
              <w:bottom w:val="nil"/>
              <w:right w:val="nil"/>
            </w:tcBorders>
          </w:tcPr>
          <w:p w14:paraId="2F0169E4"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0.215*</w:t>
            </w:r>
          </w:p>
        </w:tc>
        <w:tc>
          <w:tcPr>
            <w:tcW w:w="854" w:type="dxa"/>
            <w:tcBorders>
              <w:top w:val="nil"/>
              <w:left w:val="nil"/>
              <w:bottom w:val="nil"/>
              <w:right w:val="nil"/>
            </w:tcBorders>
          </w:tcPr>
          <w:p w14:paraId="64481DC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0.106*</w:t>
            </w:r>
          </w:p>
        </w:tc>
        <w:tc>
          <w:tcPr>
            <w:tcW w:w="854" w:type="dxa"/>
            <w:tcBorders>
              <w:top w:val="nil"/>
              <w:left w:val="nil"/>
              <w:bottom w:val="nil"/>
              <w:right w:val="nil"/>
            </w:tcBorders>
          </w:tcPr>
          <w:p w14:paraId="3DAA4B5B"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1.000</w:t>
            </w:r>
          </w:p>
        </w:tc>
        <w:tc>
          <w:tcPr>
            <w:tcW w:w="854" w:type="dxa"/>
            <w:tcBorders>
              <w:top w:val="nil"/>
              <w:left w:val="nil"/>
              <w:bottom w:val="nil"/>
              <w:right w:val="nil"/>
            </w:tcBorders>
          </w:tcPr>
          <w:p w14:paraId="4919BE85"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p>
        </w:tc>
      </w:tr>
      <w:tr w:rsidR="004E37EE" w:rsidRPr="007915F2" w14:paraId="6CF02923" w14:textId="77777777" w:rsidTr="007D1505">
        <w:tc>
          <w:tcPr>
            <w:tcW w:w="1572" w:type="dxa"/>
            <w:tcBorders>
              <w:top w:val="nil"/>
              <w:left w:val="nil"/>
              <w:bottom w:val="nil"/>
              <w:right w:val="nil"/>
            </w:tcBorders>
          </w:tcPr>
          <w:p w14:paraId="7CFC5CA1"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sz w:val="20"/>
                <w:szCs w:val="20"/>
              </w:rPr>
              <w:t>(10) TIR</w:t>
            </w:r>
          </w:p>
        </w:tc>
        <w:tc>
          <w:tcPr>
            <w:tcW w:w="854" w:type="dxa"/>
            <w:tcBorders>
              <w:top w:val="nil"/>
              <w:left w:val="nil"/>
              <w:bottom w:val="nil"/>
              <w:right w:val="nil"/>
            </w:tcBorders>
          </w:tcPr>
          <w:p w14:paraId="787A8E3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0.598*</w:t>
            </w:r>
          </w:p>
        </w:tc>
        <w:tc>
          <w:tcPr>
            <w:tcW w:w="854" w:type="dxa"/>
            <w:tcBorders>
              <w:top w:val="nil"/>
              <w:left w:val="nil"/>
              <w:bottom w:val="nil"/>
              <w:right w:val="nil"/>
            </w:tcBorders>
          </w:tcPr>
          <w:p w14:paraId="10ADB177"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-0.123*</w:t>
            </w:r>
          </w:p>
        </w:tc>
        <w:tc>
          <w:tcPr>
            <w:tcW w:w="854" w:type="dxa"/>
            <w:tcBorders>
              <w:top w:val="nil"/>
              <w:left w:val="nil"/>
              <w:bottom w:val="nil"/>
              <w:right w:val="nil"/>
            </w:tcBorders>
          </w:tcPr>
          <w:p w14:paraId="727DD69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0.339*</w:t>
            </w:r>
          </w:p>
        </w:tc>
        <w:tc>
          <w:tcPr>
            <w:tcW w:w="854" w:type="dxa"/>
            <w:tcBorders>
              <w:top w:val="nil"/>
              <w:left w:val="nil"/>
              <w:bottom w:val="nil"/>
              <w:right w:val="nil"/>
            </w:tcBorders>
          </w:tcPr>
          <w:p w14:paraId="609ED0DF"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-0.035</w:t>
            </w:r>
          </w:p>
        </w:tc>
        <w:tc>
          <w:tcPr>
            <w:tcW w:w="854" w:type="dxa"/>
            <w:tcBorders>
              <w:top w:val="nil"/>
              <w:left w:val="nil"/>
              <w:bottom w:val="nil"/>
              <w:right w:val="nil"/>
            </w:tcBorders>
          </w:tcPr>
          <w:p w14:paraId="47BFEFD3"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-0.107*</w:t>
            </w:r>
          </w:p>
        </w:tc>
        <w:tc>
          <w:tcPr>
            <w:tcW w:w="854" w:type="dxa"/>
            <w:tcBorders>
              <w:top w:val="nil"/>
              <w:left w:val="nil"/>
              <w:bottom w:val="nil"/>
              <w:right w:val="nil"/>
            </w:tcBorders>
          </w:tcPr>
          <w:p w14:paraId="29605250"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-0.222*</w:t>
            </w:r>
          </w:p>
        </w:tc>
        <w:tc>
          <w:tcPr>
            <w:tcW w:w="854" w:type="dxa"/>
            <w:tcBorders>
              <w:top w:val="nil"/>
              <w:left w:val="nil"/>
              <w:bottom w:val="nil"/>
              <w:right w:val="nil"/>
            </w:tcBorders>
          </w:tcPr>
          <w:p w14:paraId="6F4286AD"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-0.223*</w:t>
            </w:r>
          </w:p>
        </w:tc>
        <w:tc>
          <w:tcPr>
            <w:tcW w:w="854" w:type="dxa"/>
            <w:tcBorders>
              <w:top w:val="nil"/>
              <w:left w:val="nil"/>
              <w:bottom w:val="nil"/>
              <w:right w:val="nil"/>
            </w:tcBorders>
          </w:tcPr>
          <w:p w14:paraId="66357CDA"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-0.020</w:t>
            </w:r>
          </w:p>
        </w:tc>
        <w:tc>
          <w:tcPr>
            <w:tcW w:w="854" w:type="dxa"/>
            <w:tcBorders>
              <w:top w:val="nil"/>
              <w:left w:val="nil"/>
              <w:bottom w:val="nil"/>
              <w:right w:val="nil"/>
            </w:tcBorders>
          </w:tcPr>
          <w:p w14:paraId="2D03A784"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0.033</w:t>
            </w:r>
          </w:p>
        </w:tc>
        <w:tc>
          <w:tcPr>
            <w:tcW w:w="854" w:type="dxa"/>
            <w:tcBorders>
              <w:top w:val="nil"/>
              <w:left w:val="nil"/>
              <w:bottom w:val="nil"/>
              <w:right w:val="nil"/>
            </w:tcBorders>
          </w:tcPr>
          <w:p w14:paraId="003E3126" w14:textId="77777777" w:rsidR="004E37EE" w:rsidRPr="007915F2" w:rsidRDefault="004E37EE" w:rsidP="00D61CD6">
            <w:pPr>
              <w:widowControl w:val="0"/>
              <w:autoSpaceDE w:val="0"/>
              <w:autoSpaceDN w:val="0"/>
              <w:adjustRightInd w:val="0"/>
              <w:spacing w:after="0" w:line="240" w:lineRule="auto"/>
              <w:jc w:val="right"/>
              <w:rPr>
                <w:rFonts w:ascii="Garamond" w:hAnsi="Garamond"/>
                <w:sz w:val="20"/>
                <w:szCs w:val="20"/>
              </w:rPr>
            </w:pPr>
            <w:r w:rsidRPr="007915F2">
              <w:rPr>
                <w:rFonts w:ascii="Garamond" w:hAnsi="Garamond"/>
                <w:sz w:val="20"/>
                <w:szCs w:val="20"/>
              </w:rPr>
              <w:t>1.000</w:t>
            </w:r>
          </w:p>
        </w:tc>
      </w:tr>
      <w:tr w:rsidR="004E37EE" w:rsidRPr="007915F2" w14:paraId="11B4C722" w14:textId="77777777" w:rsidTr="007D1505">
        <w:tc>
          <w:tcPr>
            <w:tcW w:w="10112" w:type="dxa"/>
            <w:gridSpan w:val="11"/>
            <w:tcBorders>
              <w:top w:val="single" w:sz="6" w:space="0" w:color="auto"/>
              <w:left w:val="nil"/>
              <w:bottom w:val="nil"/>
              <w:right w:val="nil"/>
            </w:tcBorders>
          </w:tcPr>
          <w:p w14:paraId="5467159B" w14:textId="77777777" w:rsidR="004E37EE" w:rsidRPr="007915F2" w:rsidRDefault="004E37EE" w:rsidP="00D61CD6">
            <w:pPr>
              <w:widowControl w:val="0"/>
              <w:autoSpaceDE w:val="0"/>
              <w:autoSpaceDN w:val="0"/>
              <w:adjustRightInd w:val="0"/>
              <w:spacing w:after="0" w:line="240" w:lineRule="auto"/>
              <w:rPr>
                <w:rFonts w:ascii="Garamond" w:hAnsi="Garamond"/>
                <w:sz w:val="20"/>
                <w:szCs w:val="20"/>
              </w:rPr>
            </w:pPr>
            <w:r w:rsidRPr="007915F2">
              <w:rPr>
                <w:rFonts w:ascii="Garamond" w:hAnsi="Garamond"/>
                <w:i/>
                <w:iCs/>
                <w:sz w:val="20"/>
                <w:szCs w:val="20"/>
              </w:rPr>
              <w:t>*** p&lt;0.01, ** p&lt;0.05, * p&lt;0.1</w:t>
            </w:r>
          </w:p>
        </w:tc>
      </w:tr>
    </w:tbl>
    <w:p w14:paraId="5F482570" w14:textId="77777777" w:rsidR="004E37EE" w:rsidRPr="007915F2" w:rsidRDefault="004E37EE" w:rsidP="00D61CD6">
      <w:pPr>
        <w:spacing w:after="0" w:line="240" w:lineRule="auto"/>
        <w:rPr>
          <w:rFonts w:ascii="Garamond" w:hAnsi="Garamond"/>
          <w:sz w:val="24"/>
          <w:szCs w:val="24"/>
        </w:rPr>
      </w:pPr>
    </w:p>
    <w:p w14:paraId="6DD11B77"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b/>
          <w:bCs/>
          <w:sz w:val="24"/>
          <w:szCs w:val="24"/>
        </w:rPr>
        <w:br w:type="page"/>
      </w:r>
      <w:r w:rsidRPr="007915F2">
        <w:rPr>
          <w:rFonts w:ascii="Garamond" w:hAnsi="Garamond"/>
          <w:b/>
          <w:bCs/>
          <w:sz w:val="24"/>
          <w:szCs w:val="24"/>
        </w:rPr>
        <w:lastRenderedPageBreak/>
        <w:br/>
        <w:t>Table 3: Regression results including China: Dependent Variable is ROE</w:t>
      </w:r>
    </w:p>
    <w:tbl>
      <w:tblPr>
        <w:tblW w:w="0" w:type="auto"/>
        <w:tblLayout w:type="fixed"/>
        <w:tblLook w:val="0000" w:firstRow="0" w:lastRow="0" w:firstColumn="0" w:lastColumn="0" w:noHBand="0" w:noVBand="0"/>
      </w:tblPr>
      <w:tblGrid>
        <w:gridCol w:w="3258"/>
        <w:gridCol w:w="2070"/>
        <w:gridCol w:w="2250"/>
      </w:tblGrid>
      <w:tr w:rsidR="004E37EE" w:rsidRPr="007915F2" w14:paraId="01D9BE08" w14:textId="77777777" w:rsidTr="007D1505">
        <w:tc>
          <w:tcPr>
            <w:tcW w:w="3258" w:type="dxa"/>
            <w:tcBorders>
              <w:top w:val="single" w:sz="4" w:space="0" w:color="auto"/>
              <w:left w:val="nil"/>
              <w:bottom w:val="nil"/>
              <w:right w:val="nil"/>
            </w:tcBorders>
          </w:tcPr>
          <w:p w14:paraId="0A17A60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w:t>
            </w:r>
          </w:p>
        </w:tc>
        <w:tc>
          <w:tcPr>
            <w:tcW w:w="2070" w:type="dxa"/>
            <w:tcBorders>
              <w:top w:val="single" w:sz="4" w:space="0" w:color="auto"/>
              <w:left w:val="nil"/>
              <w:bottom w:val="nil"/>
              <w:right w:val="nil"/>
            </w:tcBorders>
          </w:tcPr>
          <w:p w14:paraId="4848654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(1)</w:t>
            </w:r>
          </w:p>
        </w:tc>
        <w:tc>
          <w:tcPr>
            <w:tcW w:w="2250" w:type="dxa"/>
            <w:tcBorders>
              <w:top w:val="single" w:sz="4" w:space="0" w:color="auto"/>
              <w:left w:val="nil"/>
              <w:bottom w:val="nil"/>
              <w:right w:val="nil"/>
            </w:tcBorders>
          </w:tcPr>
          <w:p w14:paraId="1C624AB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(2)</w:t>
            </w:r>
          </w:p>
        </w:tc>
      </w:tr>
      <w:tr w:rsidR="004E37EE" w:rsidRPr="007915F2" w14:paraId="23DA9345" w14:textId="77777777" w:rsidTr="007D1505">
        <w:tc>
          <w:tcPr>
            <w:tcW w:w="3258" w:type="dxa"/>
            <w:tcBorders>
              <w:top w:val="nil"/>
              <w:left w:val="nil"/>
              <w:bottom w:val="single" w:sz="10" w:space="0" w:color="auto"/>
              <w:right w:val="nil"/>
            </w:tcBorders>
          </w:tcPr>
          <w:p w14:paraId="195BE11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single" w:sz="10" w:space="0" w:color="auto"/>
              <w:right w:val="nil"/>
            </w:tcBorders>
          </w:tcPr>
          <w:p w14:paraId="74D630C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w:t>
            </w:r>
          </w:p>
        </w:tc>
        <w:tc>
          <w:tcPr>
            <w:tcW w:w="2250" w:type="dxa"/>
            <w:tcBorders>
              <w:top w:val="nil"/>
              <w:left w:val="nil"/>
              <w:bottom w:val="single" w:sz="10" w:space="0" w:color="auto"/>
              <w:right w:val="nil"/>
            </w:tcBorders>
          </w:tcPr>
          <w:p w14:paraId="581B215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4270E3B4" w14:textId="77777777" w:rsidTr="007D1505">
        <w:tc>
          <w:tcPr>
            <w:tcW w:w="3258" w:type="dxa"/>
            <w:tcBorders>
              <w:top w:val="nil"/>
              <w:left w:val="nil"/>
              <w:bottom w:val="nil"/>
              <w:right w:val="nil"/>
            </w:tcBorders>
          </w:tcPr>
          <w:p w14:paraId="13508C4B"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CLS</w:t>
            </w:r>
          </w:p>
        </w:tc>
        <w:tc>
          <w:tcPr>
            <w:tcW w:w="2070" w:type="dxa"/>
            <w:tcBorders>
              <w:top w:val="nil"/>
              <w:left w:val="nil"/>
              <w:bottom w:val="nil"/>
              <w:right w:val="nil"/>
            </w:tcBorders>
          </w:tcPr>
          <w:p w14:paraId="1422E50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8.788e+08</w:t>
            </w:r>
          </w:p>
        </w:tc>
        <w:tc>
          <w:tcPr>
            <w:tcW w:w="2250" w:type="dxa"/>
            <w:tcBorders>
              <w:top w:val="nil"/>
              <w:left w:val="nil"/>
              <w:bottom w:val="nil"/>
              <w:right w:val="nil"/>
            </w:tcBorders>
          </w:tcPr>
          <w:p w14:paraId="19B7FCF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8.736e+08</w:t>
            </w:r>
          </w:p>
        </w:tc>
      </w:tr>
      <w:tr w:rsidR="004E37EE" w:rsidRPr="007915F2" w14:paraId="2995548F" w14:textId="77777777" w:rsidTr="007D1505">
        <w:tc>
          <w:tcPr>
            <w:tcW w:w="3258" w:type="dxa"/>
            <w:tcBorders>
              <w:top w:val="nil"/>
              <w:left w:val="nil"/>
              <w:bottom w:val="nil"/>
              <w:right w:val="nil"/>
            </w:tcBorders>
          </w:tcPr>
          <w:p w14:paraId="7FDC44E8"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404C744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(3.227e+09)</w:t>
            </w:r>
          </w:p>
        </w:tc>
        <w:tc>
          <w:tcPr>
            <w:tcW w:w="2250" w:type="dxa"/>
            <w:tcBorders>
              <w:top w:val="nil"/>
              <w:left w:val="nil"/>
              <w:bottom w:val="nil"/>
              <w:right w:val="nil"/>
            </w:tcBorders>
          </w:tcPr>
          <w:p w14:paraId="5016060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(3.227e+09)</w:t>
            </w:r>
          </w:p>
          <w:p w14:paraId="77F2683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6657903D" w14:textId="77777777" w:rsidTr="007D1505">
        <w:tc>
          <w:tcPr>
            <w:tcW w:w="3258" w:type="dxa"/>
            <w:tcBorders>
              <w:top w:val="nil"/>
              <w:left w:val="nil"/>
              <w:bottom w:val="nil"/>
              <w:right w:val="nil"/>
            </w:tcBorders>
          </w:tcPr>
          <w:p w14:paraId="60D9C38B"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EIG</w:t>
            </w:r>
          </w:p>
        </w:tc>
        <w:tc>
          <w:tcPr>
            <w:tcW w:w="2070" w:type="dxa"/>
            <w:tcBorders>
              <w:top w:val="nil"/>
              <w:left w:val="nil"/>
              <w:bottom w:val="nil"/>
              <w:right w:val="nil"/>
            </w:tcBorders>
          </w:tcPr>
          <w:p w14:paraId="1D2FA44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18.76**</w:t>
            </w:r>
          </w:p>
        </w:tc>
        <w:tc>
          <w:tcPr>
            <w:tcW w:w="2250" w:type="dxa"/>
            <w:tcBorders>
              <w:top w:val="nil"/>
              <w:left w:val="nil"/>
              <w:bottom w:val="nil"/>
              <w:right w:val="nil"/>
            </w:tcBorders>
          </w:tcPr>
          <w:p w14:paraId="47BE308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18.613**</w:t>
            </w:r>
          </w:p>
        </w:tc>
      </w:tr>
      <w:tr w:rsidR="004E37EE" w:rsidRPr="007915F2" w14:paraId="7245A0B3" w14:textId="77777777" w:rsidTr="007D1505">
        <w:tc>
          <w:tcPr>
            <w:tcW w:w="3258" w:type="dxa"/>
            <w:tcBorders>
              <w:top w:val="nil"/>
              <w:left w:val="nil"/>
              <w:bottom w:val="nil"/>
              <w:right w:val="nil"/>
            </w:tcBorders>
          </w:tcPr>
          <w:p w14:paraId="48456A06"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2A01374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(7.692)</w:t>
            </w:r>
          </w:p>
        </w:tc>
        <w:tc>
          <w:tcPr>
            <w:tcW w:w="2250" w:type="dxa"/>
            <w:tcBorders>
              <w:top w:val="nil"/>
              <w:left w:val="nil"/>
              <w:bottom w:val="nil"/>
              <w:right w:val="nil"/>
            </w:tcBorders>
          </w:tcPr>
          <w:p w14:paraId="0BB37DF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(7.724)</w:t>
            </w:r>
          </w:p>
          <w:p w14:paraId="7FF4ED6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02BE24C8" w14:textId="77777777" w:rsidTr="007D1505">
        <w:tc>
          <w:tcPr>
            <w:tcW w:w="3258" w:type="dxa"/>
            <w:tcBorders>
              <w:top w:val="nil"/>
              <w:left w:val="nil"/>
              <w:bottom w:val="nil"/>
              <w:right w:val="nil"/>
            </w:tcBorders>
          </w:tcPr>
          <w:p w14:paraId="7432EA16"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ECC</w:t>
            </w:r>
          </w:p>
        </w:tc>
        <w:tc>
          <w:tcPr>
            <w:tcW w:w="2070" w:type="dxa"/>
            <w:tcBorders>
              <w:top w:val="nil"/>
              <w:left w:val="nil"/>
              <w:bottom w:val="nil"/>
              <w:right w:val="nil"/>
            </w:tcBorders>
          </w:tcPr>
          <w:p w14:paraId="604B3FF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-.824***</w:t>
            </w:r>
          </w:p>
        </w:tc>
        <w:tc>
          <w:tcPr>
            <w:tcW w:w="2250" w:type="dxa"/>
            <w:tcBorders>
              <w:top w:val="nil"/>
              <w:left w:val="nil"/>
              <w:bottom w:val="nil"/>
              <w:right w:val="nil"/>
            </w:tcBorders>
          </w:tcPr>
          <w:p w14:paraId="41E17E7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-.821***</w:t>
            </w:r>
          </w:p>
        </w:tc>
      </w:tr>
      <w:tr w:rsidR="004E37EE" w:rsidRPr="007915F2" w14:paraId="1C226AC9" w14:textId="77777777" w:rsidTr="007D1505">
        <w:tc>
          <w:tcPr>
            <w:tcW w:w="3258" w:type="dxa"/>
            <w:tcBorders>
              <w:top w:val="nil"/>
              <w:left w:val="nil"/>
              <w:bottom w:val="nil"/>
              <w:right w:val="nil"/>
            </w:tcBorders>
          </w:tcPr>
          <w:p w14:paraId="5395B5F1"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3171BB9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(.232)</w:t>
            </w:r>
          </w:p>
        </w:tc>
        <w:tc>
          <w:tcPr>
            <w:tcW w:w="2250" w:type="dxa"/>
            <w:tcBorders>
              <w:top w:val="nil"/>
              <w:left w:val="nil"/>
              <w:bottom w:val="nil"/>
              <w:right w:val="nil"/>
            </w:tcBorders>
          </w:tcPr>
          <w:p w14:paraId="7337577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(.232)</w:t>
            </w:r>
          </w:p>
          <w:p w14:paraId="2D2268F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72535BF5" w14:textId="77777777" w:rsidTr="007D1505">
        <w:tc>
          <w:tcPr>
            <w:tcW w:w="3258" w:type="dxa"/>
            <w:tcBorders>
              <w:top w:val="nil"/>
              <w:left w:val="nil"/>
              <w:bottom w:val="nil"/>
              <w:right w:val="nil"/>
            </w:tcBorders>
          </w:tcPr>
          <w:p w14:paraId="6F674F53"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ATH</w:t>
            </w:r>
          </w:p>
        </w:tc>
        <w:tc>
          <w:tcPr>
            <w:tcW w:w="2070" w:type="dxa"/>
            <w:tcBorders>
              <w:top w:val="nil"/>
              <w:left w:val="nil"/>
              <w:bottom w:val="nil"/>
              <w:right w:val="nil"/>
            </w:tcBorders>
          </w:tcPr>
          <w:p w14:paraId="695B06B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-12.238</w:t>
            </w:r>
          </w:p>
        </w:tc>
        <w:tc>
          <w:tcPr>
            <w:tcW w:w="2250" w:type="dxa"/>
            <w:tcBorders>
              <w:top w:val="nil"/>
              <w:left w:val="nil"/>
              <w:bottom w:val="nil"/>
              <w:right w:val="nil"/>
            </w:tcBorders>
          </w:tcPr>
          <w:p w14:paraId="641E1D3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-12.017</w:t>
            </w:r>
          </w:p>
        </w:tc>
      </w:tr>
      <w:tr w:rsidR="004E37EE" w:rsidRPr="007915F2" w14:paraId="5F42A8E6" w14:textId="77777777" w:rsidTr="007D1505">
        <w:tc>
          <w:tcPr>
            <w:tcW w:w="3258" w:type="dxa"/>
            <w:tcBorders>
              <w:top w:val="nil"/>
              <w:left w:val="nil"/>
              <w:bottom w:val="nil"/>
              <w:right w:val="nil"/>
            </w:tcBorders>
          </w:tcPr>
          <w:p w14:paraId="02FBC0D1"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0F20BA5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(10.118)</w:t>
            </w:r>
          </w:p>
        </w:tc>
        <w:tc>
          <w:tcPr>
            <w:tcW w:w="2250" w:type="dxa"/>
            <w:tcBorders>
              <w:top w:val="nil"/>
              <w:left w:val="nil"/>
              <w:bottom w:val="nil"/>
              <w:right w:val="nil"/>
            </w:tcBorders>
          </w:tcPr>
          <w:p w14:paraId="7598653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(10.149)</w:t>
            </w:r>
          </w:p>
          <w:p w14:paraId="727074E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7E9BBB7" w14:textId="77777777" w:rsidTr="007D1505">
        <w:tc>
          <w:tcPr>
            <w:tcW w:w="3258" w:type="dxa"/>
            <w:tcBorders>
              <w:top w:val="nil"/>
              <w:left w:val="nil"/>
              <w:bottom w:val="nil"/>
              <w:right w:val="nil"/>
            </w:tcBorders>
          </w:tcPr>
          <w:p w14:paraId="1B5662B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PGE</w:t>
            </w:r>
          </w:p>
        </w:tc>
        <w:tc>
          <w:tcPr>
            <w:tcW w:w="2070" w:type="dxa"/>
            <w:tcBorders>
              <w:top w:val="nil"/>
              <w:left w:val="nil"/>
              <w:bottom w:val="nil"/>
              <w:right w:val="nil"/>
            </w:tcBorders>
          </w:tcPr>
          <w:p w14:paraId="5C14B95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453.837</w:t>
            </w:r>
          </w:p>
        </w:tc>
        <w:tc>
          <w:tcPr>
            <w:tcW w:w="2250" w:type="dxa"/>
            <w:tcBorders>
              <w:top w:val="nil"/>
              <w:left w:val="nil"/>
              <w:bottom w:val="nil"/>
              <w:right w:val="nil"/>
            </w:tcBorders>
          </w:tcPr>
          <w:p w14:paraId="2216989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458.267</w:t>
            </w:r>
          </w:p>
        </w:tc>
      </w:tr>
      <w:tr w:rsidR="004E37EE" w:rsidRPr="007915F2" w14:paraId="16E283E1" w14:textId="77777777" w:rsidTr="007D1505">
        <w:tc>
          <w:tcPr>
            <w:tcW w:w="3258" w:type="dxa"/>
            <w:tcBorders>
              <w:top w:val="nil"/>
              <w:left w:val="nil"/>
              <w:bottom w:val="nil"/>
              <w:right w:val="nil"/>
            </w:tcBorders>
          </w:tcPr>
          <w:p w14:paraId="3CD33EE9"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0F214BE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(298.001)</w:t>
            </w:r>
          </w:p>
        </w:tc>
        <w:tc>
          <w:tcPr>
            <w:tcW w:w="2250" w:type="dxa"/>
            <w:tcBorders>
              <w:top w:val="nil"/>
              <w:left w:val="nil"/>
              <w:bottom w:val="nil"/>
              <w:right w:val="nil"/>
            </w:tcBorders>
          </w:tcPr>
          <w:p w14:paraId="0B69E64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(298.432)</w:t>
            </w:r>
          </w:p>
          <w:p w14:paraId="78B3702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0D1DB353" w14:textId="77777777" w:rsidTr="007D1505">
        <w:tc>
          <w:tcPr>
            <w:tcW w:w="3258" w:type="dxa"/>
            <w:tcBorders>
              <w:top w:val="nil"/>
              <w:left w:val="nil"/>
              <w:bottom w:val="nil"/>
              <w:right w:val="nil"/>
            </w:tcBorders>
          </w:tcPr>
          <w:p w14:paraId="0AE9FE06"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IDG</w:t>
            </w:r>
          </w:p>
        </w:tc>
        <w:tc>
          <w:tcPr>
            <w:tcW w:w="2070" w:type="dxa"/>
            <w:tcBorders>
              <w:top w:val="nil"/>
              <w:left w:val="nil"/>
              <w:bottom w:val="nil"/>
              <w:right w:val="nil"/>
            </w:tcBorders>
          </w:tcPr>
          <w:p w14:paraId="4DC2D0E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.053***</w:t>
            </w:r>
          </w:p>
        </w:tc>
        <w:tc>
          <w:tcPr>
            <w:tcW w:w="2250" w:type="dxa"/>
            <w:tcBorders>
              <w:top w:val="nil"/>
              <w:left w:val="nil"/>
              <w:bottom w:val="nil"/>
              <w:right w:val="nil"/>
            </w:tcBorders>
          </w:tcPr>
          <w:p w14:paraId="45D4BB2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.054***</w:t>
            </w:r>
          </w:p>
        </w:tc>
      </w:tr>
      <w:tr w:rsidR="004E37EE" w:rsidRPr="007915F2" w14:paraId="56E42C48" w14:textId="77777777" w:rsidTr="007D1505">
        <w:tc>
          <w:tcPr>
            <w:tcW w:w="3258" w:type="dxa"/>
            <w:tcBorders>
              <w:top w:val="nil"/>
              <w:left w:val="nil"/>
              <w:bottom w:val="nil"/>
              <w:right w:val="nil"/>
            </w:tcBorders>
          </w:tcPr>
          <w:p w14:paraId="477521F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73A3C32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(.018)</w:t>
            </w:r>
          </w:p>
        </w:tc>
        <w:tc>
          <w:tcPr>
            <w:tcW w:w="2250" w:type="dxa"/>
            <w:tcBorders>
              <w:top w:val="nil"/>
              <w:left w:val="nil"/>
              <w:bottom w:val="nil"/>
              <w:right w:val="nil"/>
            </w:tcBorders>
          </w:tcPr>
          <w:p w14:paraId="6C82E6F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(.019)</w:t>
            </w:r>
          </w:p>
          <w:p w14:paraId="74E3814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3E6B5AF" w14:textId="77777777" w:rsidTr="007D1505">
        <w:tc>
          <w:tcPr>
            <w:tcW w:w="3258" w:type="dxa"/>
            <w:tcBorders>
              <w:top w:val="nil"/>
              <w:left w:val="nil"/>
              <w:bottom w:val="nil"/>
              <w:right w:val="nil"/>
            </w:tcBorders>
          </w:tcPr>
          <w:p w14:paraId="0A83A0C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ODG</w:t>
            </w:r>
          </w:p>
        </w:tc>
        <w:tc>
          <w:tcPr>
            <w:tcW w:w="2070" w:type="dxa"/>
            <w:tcBorders>
              <w:top w:val="nil"/>
              <w:left w:val="nil"/>
              <w:bottom w:val="nil"/>
              <w:right w:val="nil"/>
            </w:tcBorders>
          </w:tcPr>
          <w:p w14:paraId="76BA8A0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-.072**</w:t>
            </w:r>
          </w:p>
        </w:tc>
        <w:tc>
          <w:tcPr>
            <w:tcW w:w="2250" w:type="dxa"/>
            <w:tcBorders>
              <w:top w:val="nil"/>
              <w:left w:val="nil"/>
              <w:bottom w:val="nil"/>
              <w:right w:val="nil"/>
            </w:tcBorders>
          </w:tcPr>
          <w:p w14:paraId="6D4D91F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-.073**</w:t>
            </w:r>
          </w:p>
        </w:tc>
      </w:tr>
      <w:tr w:rsidR="004E37EE" w:rsidRPr="007915F2" w14:paraId="5D20B70D" w14:textId="77777777" w:rsidTr="007D1505">
        <w:tc>
          <w:tcPr>
            <w:tcW w:w="3258" w:type="dxa"/>
            <w:tcBorders>
              <w:top w:val="nil"/>
              <w:left w:val="nil"/>
              <w:bottom w:val="nil"/>
              <w:right w:val="nil"/>
            </w:tcBorders>
          </w:tcPr>
          <w:p w14:paraId="54D4D08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03503EE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(.03)</w:t>
            </w:r>
          </w:p>
        </w:tc>
        <w:tc>
          <w:tcPr>
            <w:tcW w:w="2250" w:type="dxa"/>
            <w:tcBorders>
              <w:top w:val="nil"/>
              <w:left w:val="nil"/>
              <w:bottom w:val="nil"/>
              <w:right w:val="nil"/>
            </w:tcBorders>
          </w:tcPr>
          <w:p w14:paraId="388A13C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(.03)</w:t>
            </w:r>
          </w:p>
          <w:p w14:paraId="2425E72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09FB63F6" w14:textId="77777777" w:rsidTr="007D1505">
        <w:tc>
          <w:tcPr>
            <w:tcW w:w="3258" w:type="dxa"/>
            <w:tcBorders>
              <w:top w:val="nil"/>
              <w:left w:val="nil"/>
              <w:bottom w:val="nil"/>
              <w:right w:val="nil"/>
            </w:tcBorders>
          </w:tcPr>
          <w:p w14:paraId="4B1B544D"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CLT</w:t>
            </w:r>
          </w:p>
        </w:tc>
        <w:tc>
          <w:tcPr>
            <w:tcW w:w="2070" w:type="dxa"/>
            <w:tcBorders>
              <w:top w:val="nil"/>
              <w:left w:val="nil"/>
              <w:bottom w:val="nil"/>
              <w:right w:val="nil"/>
            </w:tcBorders>
          </w:tcPr>
          <w:p w14:paraId="727DDAF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-2.583</w:t>
            </w:r>
          </w:p>
        </w:tc>
        <w:tc>
          <w:tcPr>
            <w:tcW w:w="2250" w:type="dxa"/>
            <w:tcBorders>
              <w:top w:val="nil"/>
              <w:left w:val="nil"/>
              <w:bottom w:val="nil"/>
              <w:right w:val="nil"/>
            </w:tcBorders>
          </w:tcPr>
          <w:p w14:paraId="61475E5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-2.429</w:t>
            </w:r>
          </w:p>
        </w:tc>
      </w:tr>
      <w:tr w:rsidR="004E37EE" w:rsidRPr="007915F2" w14:paraId="75BB2285" w14:textId="77777777" w:rsidTr="007D1505">
        <w:tc>
          <w:tcPr>
            <w:tcW w:w="3258" w:type="dxa"/>
            <w:tcBorders>
              <w:top w:val="nil"/>
              <w:left w:val="nil"/>
              <w:bottom w:val="nil"/>
              <w:right w:val="nil"/>
            </w:tcBorders>
          </w:tcPr>
          <w:p w14:paraId="0C368FDD"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2439CD4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(5.946)</w:t>
            </w:r>
          </w:p>
        </w:tc>
        <w:tc>
          <w:tcPr>
            <w:tcW w:w="2250" w:type="dxa"/>
            <w:tcBorders>
              <w:top w:val="nil"/>
              <w:left w:val="nil"/>
              <w:bottom w:val="nil"/>
              <w:right w:val="nil"/>
            </w:tcBorders>
          </w:tcPr>
          <w:p w14:paraId="5885EFC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(5.969)</w:t>
            </w:r>
          </w:p>
          <w:p w14:paraId="254C288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1E26E987" w14:textId="77777777" w:rsidTr="007D1505">
        <w:tc>
          <w:tcPr>
            <w:tcW w:w="3258" w:type="dxa"/>
            <w:tcBorders>
              <w:top w:val="nil"/>
              <w:left w:val="nil"/>
              <w:bottom w:val="nil"/>
              <w:right w:val="nil"/>
            </w:tcBorders>
          </w:tcPr>
          <w:p w14:paraId="27284EF7"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CSZ</w:t>
            </w:r>
          </w:p>
        </w:tc>
        <w:tc>
          <w:tcPr>
            <w:tcW w:w="2070" w:type="dxa"/>
            <w:tcBorders>
              <w:top w:val="nil"/>
              <w:left w:val="nil"/>
              <w:bottom w:val="nil"/>
              <w:right w:val="nil"/>
            </w:tcBorders>
          </w:tcPr>
          <w:p w14:paraId="506A1CF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-.002***</w:t>
            </w:r>
          </w:p>
        </w:tc>
        <w:tc>
          <w:tcPr>
            <w:tcW w:w="2250" w:type="dxa"/>
            <w:tcBorders>
              <w:top w:val="nil"/>
              <w:left w:val="nil"/>
              <w:bottom w:val="nil"/>
              <w:right w:val="nil"/>
            </w:tcBorders>
          </w:tcPr>
          <w:p w14:paraId="11E520C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-.002***</w:t>
            </w:r>
          </w:p>
        </w:tc>
      </w:tr>
      <w:tr w:rsidR="004E37EE" w:rsidRPr="007915F2" w14:paraId="5712779B" w14:textId="77777777" w:rsidTr="007D1505">
        <w:tc>
          <w:tcPr>
            <w:tcW w:w="3258" w:type="dxa"/>
            <w:tcBorders>
              <w:top w:val="nil"/>
              <w:left w:val="nil"/>
              <w:bottom w:val="nil"/>
              <w:right w:val="nil"/>
            </w:tcBorders>
          </w:tcPr>
          <w:p w14:paraId="55D9B037"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1B4A157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w:t>
            </w:r>
          </w:p>
        </w:tc>
        <w:tc>
          <w:tcPr>
            <w:tcW w:w="2250" w:type="dxa"/>
            <w:tcBorders>
              <w:top w:val="nil"/>
              <w:left w:val="nil"/>
              <w:bottom w:val="nil"/>
              <w:right w:val="nil"/>
            </w:tcBorders>
          </w:tcPr>
          <w:p w14:paraId="0425FD6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w:t>
            </w:r>
          </w:p>
          <w:p w14:paraId="407802D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7918FA3" w14:textId="77777777" w:rsidTr="007D1505">
        <w:tc>
          <w:tcPr>
            <w:tcW w:w="3258" w:type="dxa"/>
            <w:tcBorders>
              <w:top w:val="nil"/>
              <w:left w:val="nil"/>
              <w:bottom w:val="nil"/>
              <w:right w:val="nil"/>
            </w:tcBorders>
          </w:tcPr>
          <w:p w14:paraId="7A834C4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TIR</w:t>
            </w:r>
          </w:p>
        </w:tc>
        <w:tc>
          <w:tcPr>
            <w:tcW w:w="2070" w:type="dxa"/>
            <w:tcBorders>
              <w:top w:val="nil"/>
              <w:left w:val="nil"/>
              <w:bottom w:val="nil"/>
              <w:right w:val="nil"/>
            </w:tcBorders>
          </w:tcPr>
          <w:p w14:paraId="1A12FB6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.445</w:t>
            </w:r>
          </w:p>
        </w:tc>
        <w:tc>
          <w:tcPr>
            <w:tcW w:w="2250" w:type="dxa"/>
            <w:tcBorders>
              <w:top w:val="nil"/>
              <w:left w:val="nil"/>
              <w:bottom w:val="nil"/>
              <w:right w:val="nil"/>
            </w:tcBorders>
          </w:tcPr>
          <w:p w14:paraId="654307D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.457</w:t>
            </w:r>
          </w:p>
        </w:tc>
      </w:tr>
      <w:tr w:rsidR="004E37EE" w:rsidRPr="007915F2" w14:paraId="45D37F28" w14:textId="77777777" w:rsidTr="007D1505">
        <w:tc>
          <w:tcPr>
            <w:tcW w:w="3258" w:type="dxa"/>
            <w:tcBorders>
              <w:top w:val="nil"/>
              <w:left w:val="nil"/>
              <w:bottom w:val="nil"/>
              <w:right w:val="nil"/>
            </w:tcBorders>
          </w:tcPr>
          <w:p w14:paraId="06403EB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69B234B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(.378)</w:t>
            </w:r>
          </w:p>
        </w:tc>
        <w:tc>
          <w:tcPr>
            <w:tcW w:w="2250" w:type="dxa"/>
            <w:tcBorders>
              <w:top w:val="nil"/>
              <w:left w:val="nil"/>
              <w:bottom w:val="nil"/>
              <w:right w:val="nil"/>
            </w:tcBorders>
          </w:tcPr>
          <w:p w14:paraId="749E1D1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(.38)</w:t>
            </w:r>
          </w:p>
          <w:p w14:paraId="70CEBA7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6556BDB5" w14:textId="77777777" w:rsidTr="007D1505">
        <w:tc>
          <w:tcPr>
            <w:tcW w:w="3258" w:type="dxa"/>
            <w:tcBorders>
              <w:top w:val="nil"/>
              <w:left w:val="nil"/>
              <w:bottom w:val="nil"/>
              <w:right w:val="nil"/>
            </w:tcBorders>
          </w:tcPr>
          <w:p w14:paraId="5DC1EFFB"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LOGSZ</w:t>
            </w:r>
          </w:p>
        </w:tc>
        <w:tc>
          <w:tcPr>
            <w:tcW w:w="2070" w:type="dxa"/>
            <w:tcBorders>
              <w:top w:val="nil"/>
              <w:left w:val="nil"/>
              <w:bottom w:val="nil"/>
              <w:right w:val="nil"/>
            </w:tcBorders>
          </w:tcPr>
          <w:p w14:paraId="742050D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c>
          <w:tcPr>
            <w:tcW w:w="2250" w:type="dxa"/>
            <w:tcBorders>
              <w:top w:val="nil"/>
              <w:left w:val="nil"/>
              <w:bottom w:val="nil"/>
              <w:right w:val="nil"/>
            </w:tcBorders>
          </w:tcPr>
          <w:p w14:paraId="16CA2E1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-.016</w:t>
            </w:r>
          </w:p>
        </w:tc>
      </w:tr>
      <w:tr w:rsidR="004E37EE" w:rsidRPr="007915F2" w14:paraId="4766D4CF" w14:textId="77777777" w:rsidTr="007D1505">
        <w:tc>
          <w:tcPr>
            <w:tcW w:w="3258" w:type="dxa"/>
            <w:tcBorders>
              <w:top w:val="nil"/>
              <w:left w:val="nil"/>
              <w:bottom w:val="nil"/>
              <w:right w:val="nil"/>
            </w:tcBorders>
          </w:tcPr>
          <w:p w14:paraId="4BB8C00A"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09AC201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c>
          <w:tcPr>
            <w:tcW w:w="2250" w:type="dxa"/>
            <w:tcBorders>
              <w:top w:val="nil"/>
              <w:left w:val="nil"/>
              <w:bottom w:val="nil"/>
              <w:right w:val="nil"/>
            </w:tcBorders>
          </w:tcPr>
          <w:p w14:paraId="2B56FD4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(.05)</w:t>
            </w:r>
          </w:p>
          <w:p w14:paraId="433E484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2BCE0C91" w14:textId="77777777" w:rsidTr="007D1505">
        <w:tc>
          <w:tcPr>
            <w:tcW w:w="3258" w:type="dxa"/>
            <w:tcBorders>
              <w:top w:val="nil"/>
              <w:left w:val="nil"/>
              <w:bottom w:val="nil"/>
              <w:right w:val="nil"/>
            </w:tcBorders>
          </w:tcPr>
          <w:p w14:paraId="4EFED1F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_cons</w:t>
            </w:r>
          </w:p>
        </w:tc>
        <w:tc>
          <w:tcPr>
            <w:tcW w:w="2070" w:type="dxa"/>
            <w:tcBorders>
              <w:top w:val="nil"/>
              <w:left w:val="nil"/>
              <w:bottom w:val="nil"/>
              <w:right w:val="nil"/>
            </w:tcBorders>
          </w:tcPr>
          <w:p w14:paraId="20C965C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18.733**</w:t>
            </w:r>
          </w:p>
        </w:tc>
        <w:tc>
          <w:tcPr>
            <w:tcW w:w="2250" w:type="dxa"/>
            <w:tcBorders>
              <w:top w:val="nil"/>
              <w:left w:val="nil"/>
              <w:bottom w:val="nil"/>
              <w:right w:val="nil"/>
            </w:tcBorders>
          </w:tcPr>
          <w:p w14:paraId="6952E2A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18.801**</w:t>
            </w:r>
          </w:p>
        </w:tc>
      </w:tr>
      <w:tr w:rsidR="004E37EE" w:rsidRPr="007915F2" w14:paraId="1DA553D0" w14:textId="77777777" w:rsidTr="007D1505">
        <w:tc>
          <w:tcPr>
            <w:tcW w:w="3258" w:type="dxa"/>
            <w:tcBorders>
              <w:top w:val="nil"/>
              <w:left w:val="nil"/>
              <w:bottom w:val="nil"/>
              <w:right w:val="nil"/>
            </w:tcBorders>
          </w:tcPr>
          <w:p w14:paraId="1AC4DFB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070" w:type="dxa"/>
            <w:tcBorders>
              <w:top w:val="nil"/>
              <w:left w:val="nil"/>
              <w:bottom w:val="nil"/>
              <w:right w:val="nil"/>
            </w:tcBorders>
          </w:tcPr>
          <w:p w14:paraId="0DC7E69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(8.076)</w:t>
            </w:r>
          </w:p>
        </w:tc>
        <w:tc>
          <w:tcPr>
            <w:tcW w:w="2250" w:type="dxa"/>
            <w:tcBorders>
              <w:top w:val="nil"/>
              <w:left w:val="nil"/>
              <w:bottom w:val="nil"/>
              <w:right w:val="nil"/>
            </w:tcBorders>
          </w:tcPr>
          <w:p w14:paraId="48E6310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(8.084)</w:t>
            </w:r>
          </w:p>
          <w:p w14:paraId="41F2E0C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377054BA" w14:textId="77777777" w:rsidTr="007D1505">
        <w:tc>
          <w:tcPr>
            <w:tcW w:w="3258" w:type="dxa"/>
            <w:tcBorders>
              <w:top w:val="nil"/>
              <w:left w:val="nil"/>
              <w:bottom w:val="nil"/>
              <w:right w:val="nil"/>
            </w:tcBorders>
          </w:tcPr>
          <w:p w14:paraId="6A8D042A"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Observations</w:t>
            </w:r>
          </w:p>
        </w:tc>
        <w:tc>
          <w:tcPr>
            <w:tcW w:w="2070" w:type="dxa"/>
            <w:tcBorders>
              <w:top w:val="nil"/>
              <w:left w:val="nil"/>
              <w:bottom w:val="nil"/>
              <w:right w:val="nil"/>
            </w:tcBorders>
          </w:tcPr>
          <w:p w14:paraId="3EE5A28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3739</w:t>
            </w:r>
          </w:p>
        </w:tc>
        <w:tc>
          <w:tcPr>
            <w:tcW w:w="2250" w:type="dxa"/>
            <w:tcBorders>
              <w:top w:val="nil"/>
              <w:left w:val="nil"/>
              <w:bottom w:val="nil"/>
              <w:right w:val="nil"/>
            </w:tcBorders>
          </w:tcPr>
          <w:p w14:paraId="0A99557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3739</w:t>
            </w:r>
          </w:p>
        </w:tc>
      </w:tr>
      <w:tr w:rsidR="004E37EE" w:rsidRPr="007915F2" w14:paraId="66D9BF04" w14:textId="77777777" w:rsidTr="007D1505">
        <w:tc>
          <w:tcPr>
            <w:tcW w:w="3258" w:type="dxa"/>
            <w:tcBorders>
              <w:top w:val="nil"/>
              <w:left w:val="nil"/>
              <w:bottom w:val="nil"/>
              <w:right w:val="nil"/>
            </w:tcBorders>
          </w:tcPr>
          <w:p w14:paraId="6B6F3AA2"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R-squared</w:t>
            </w:r>
          </w:p>
        </w:tc>
        <w:tc>
          <w:tcPr>
            <w:tcW w:w="2070" w:type="dxa"/>
            <w:tcBorders>
              <w:top w:val="nil"/>
              <w:left w:val="nil"/>
              <w:bottom w:val="nil"/>
              <w:right w:val="nil"/>
            </w:tcBorders>
          </w:tcPr>
          <w:p w14:paraId="25295B9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.024</w:t>
            </w:r>
          </w:p>
        </w:tc>
        <w:tc>
          <w:tcPr>
            <w:tcW w:w="2250" w:type="dxa"/>
            <w:tcBorders>
              <w:top w:val="nil"/>
              <w:left w:val="nil"/>
              <w:bottom w:val="nil"/>
              <w:right w:val="nil"/>
            </w:tcBorders>
          </w:tcPr>
          <w:p w14:paraId="3EABFB7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.024</w:t>
            </w:r>
          </w:p>
        </w:tc>
      </w:tr>
      <w:tr w:rsidR="004E37EE" w:rsidRPr="007915F2" w14:paraId="77538FE0" w14:textId="77777777" w:rsidTr="007D1505">
        <w:tc>
          <w:tcPr>
            <w:tcW w:w="7578" w:type="dxa"/>
            <w:gridSpan w:val="3"/>
            <w:tcBorders>
              <w:top w:val="single" w:sz="6" w:space="0" w:color="auto"/>
              <w:left w:val="nil"/>
              <w:bottom w:val="nil"/>
              <w:right w:val="nil"/>
            </w:tcBorders>
          </w:tcPr>
          <w:p w14:paraId="4A81F9A8" w14:textId="77777777" w:rsidR="004E37EE" w:rsidRPr="007915F2" w:rsidRDefault="004E37EE" w:rsidP="00D61CD6">
            <w:pPr>
              <w:widowControl w:val="0"/>
              <w:autoSpaceDE w:val="0"/>
              <w:autoSpaceDN w:val="0"/>
              <w:adjustRightInd w:val="0"/>
              <w:spacing w:after="0" w:line="240" w:lineRule="auto"/>
              <w:rPr>
                <w:rFonts w:ascii="Garamond" w:hAnsi="Garamond"/>
                <w:i/>
                <w:iCs/>
                <w:sz w:val="24"/>
                <w:szCs w:val="24"/>
              </w:rPr>
            </w:pPr>
            <w:r w:rsidRPr="007915F2">
              <w:rPr>
                <w:rFonts w:ascii="Garamond" w:hAnsi="Garamond"/>
                <w:i/>
                <w:iCs/>
                <w:sz w:val="24"/>
                <w:szCs w:val="24"/>
              </w:rPr>
              <w:t>Standard errors are in parentheses</w:t>
            </w:r>
          </w:p>
        </w:tc>
      </w:tr>
      <w:tr w:rsidR="004E37EE" w:rsidRPr="007915F2" w14:paraId="72A5E2D8" w14:textId="77777777" w:rsidTr="007D1505">
        <w:tc>
          <w:tcPr>
            <w:tcW w:w="7578" w:type="dxa"/>
            <w:gridSpan w:val="3"/>
            <w:tcBorders>
              <w:top w:val="nil"/>
              <w:left w:val="nil"/>
              <w:bottom w:val="nil"/>
              <w:right w:val="nil"/>
            </w:tcBorders>
          </w:tcPr>
          <w:p w14:paraId="5BC36927" w14:textId="77777777" w:rsidR="004E37EE" w:rsidRPr="007915F2" w:rsidRDefault="004E37EE" w:rsidP="00D61CD6">
            <w:pPr>
              <w:widowControl w:val="0"/>
              <w:autoSpaceDE w:val="0"/>
              <w:autoSpaceDN w:val="0"/>
              <w:adjustRightInd w:val="0"/>
              <w:spacing w:after="0" w:line="240" w:lineRule="auto"/>
              <w:rPr>
                <w:rFonts w:ascii="Garamond" w:hAnsi="Garamond"/>
                <w:i/>
                <w:iCs/>
                <w:sz w:val="24"/>
                <w:szCs w:val="24"/>
              </w:rPr>
            </w:pPr>
            <w:r w:rsidRPr="007915F2">
              <w:rPr>
                <w:rFonts w:ascii="Garamond" w:hAnsi="Garamond"/>
                <w:i/>
                <w:iCs/>
                <w:sz w:val="24"/>
                <w:szCs w:val="24"/>
              </w:rPr>
              <w:t xml:space="preserve">*** p&lt;.01, ** p&lt;.05, * p&lt;.1 </w:t>
            </w:r>
          </w:p>
        </w:tc>
      </w:tr>
      <w:tr w:rsidR="004E37EE" w:rsidRPr="007915F2" w14:paraId="4DBA322B" w14:textId="77777777" w:rsidTr="007D1505">
        <w:tc>
          <w:tcPr>
            <w:tcW w:w="7578" w:type="dxa"/>
            <w:gridSpan w:val="3"/>
            <w:tcBorders>
              <w:top w:val="nil"/>
              <w:left w:val="nil"/>
              <w:bottom w:val="nil"/>
              <w:right w:val="nil"/>
            </w:tcBorders>
          </w:tcPr>
          <w:p w14:paraId="60FC64F7"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p>
        </w:tc>
      </w:tr>
    </w:tbl>
    <w:p w14:paraId="7B237EAC" w14:textId="77777777" w:rsidR="004E37EE" w:rsidRPr="007915F2" w:rsidRDefault="004E37EE" w:rsidP="00D61CD6">
      <w:pPr>
        <w:spacing w:after="0" w:line="240" w:lineRule="auto"/>
        <w:rPr>
          <w:rFonts w:ascii="Garamond" w:hAnsi="Garamond"/>
          <w:sz w:val="24"/>
          <w:szCs w:val="24"/>
        </w:rPr>
      </w:pPr>
    </w:p>
    <w:p w14:paraId="1BBF91A2"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br w:type="page"/>
      </w:r>
    </w:p>
    <w:p w14:paraId="1F42C527"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b/>
          <w:bCs/>
          <w:sz w:val="24"/>
          <w:szCs w:val="24"/>
        </w:rPr>
        <w:lastRenderedPageBreak/>
        <w:t>Table 4: Regression results including China: Dependent Variable is Q-Ratio</w:t>
      </w:r>
    </w:p>
    <w:tbl>
      <w:tblPr>
        <w:tblW w:w="0" w:type="auto"/>
        <w:tblLayout w:type="fixed"/>
        <w:tblLook w:val="0000" w:firstRow="0" w:lastRow="0" w:firstColumn="0" w:lastColumn="0" w:noHBand="0" w:noVBand="0"/>
      </w:tblPr>
      <w:tblGrid>
        <w:gridCol w:w="3078"/>
        <w:gridCol w:w="2340"/>
        <w:gridCol w:w="2160"/>
      </w:tblGrid>
      <w:tr w:rsidR="004E37EE" w:rsidRPr="007915F2" w14:paraId="39A08B23" w14:textId="77777777" w:rsidTr="007D1505">
        <w:tc>
          <w:tcPr>
            <w:tcW w:w="3078" w:type="dxa"/>
            <w:tcBorders>
              <w:top w:val="single" w:sz="4" w:space="0" w:color="auto"/>
              <w:left w:val="nil"/>
              <w:bottom w:val="nil"/>
              <w:right w:val="nil"/>
            </w:tcBorders>
          </w:tcPr>
          <w:p w14:paraId="5F921FB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w:t>
            </w:r>
          </w:p>
        </w:tc>
        <w:tc>
          <w:tcPr>
            <w:tcW w:w="2340" w:type="dxa"/>
            <w:tcBorders>
              <w:top w:val="single" w:sz="4" w:space="0" w:color="auto"/>
              <w:left w:val="nil"/>
              <w:bottom w:val="nil"/>
              <w:right w:val="nil"/>
            </w:tcBorders>
          </w:tcPr>
          <w:p w14:paraId="03D7925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(1)</w:t>
            </w:r>
          </w:p>
        </w:tc>
        <w:tc>
          <w:tcPr>
            <w:tcW w:w="2160" w:type="dxa"/>
            <w:tcBorders>
              <w:top w:val="single" w:sz="4" w:space="0" w:color="auto"/>
              <w:left w:val="nil"/>
              <w:bottom w:val="nil"/>
              <w:right w:val="nil"/>
            </w:tcBorders>
          </w:tcPr>
          <w:p w14:paraId="0014D0F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(2)</w:t>
            </w:r>
          </w:p>
        </w:tc>
      </w:tr>
      <w:tr w:rsidR="004E37EE" w:rsidRPr="007915F2" w14:paraId="72D56BE3" w14:textId="77777777" w:rsidTr="007D1505">
        <w:tc>
          <w:tcPr>
            <w:tcW w:w="3078" w:type="dxa"/>
            <w:tcBorders>
              <w:top w:val="nil"/>
              <w:left w:val="nil"/>
              <w:bottom w:val="single" w:sz="10" w:space="0" w:color="auto"/>
              <w:right w:val="nil"/>
            </w:tcBorders>
          </w:tcPr>
          <w:p w14:paraId="5F06928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single" w:sz="10" w:space="0" w:color="auto"/>
              <w:right w:val="nil"/>
            </w:tcBorders>
          </w:tcPr>
          <w:p w14:paraId="1A306A9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c>
          <w:tcPr>
            <w:tcW w:w="2160" w:type="dxa"/>
            <w:tcBorders>
              <w:top w:val="nil"/>
              <w:left w:val="nil"/>
              <w:bottom w:val="single" w:sz="10" w:space="0" w:color="auto"/>
              <w:right w:val="nil"/>
            </w:tcBorders>
          </w:tcPr>
          <w:p w14:paraId="4E74D32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6B72A798" w14:textId="77777777" w:rsidTr="007D1505">
        <w:tc>
          <w:tcPr>
            <w:tcW w:w="3078" w:type="dxa"/>
            <w:tcBorders>
              <w:top w:val="nil"/>
              <w:left w:val="nil"/>
              <w:bottom w:val="nil"/>
              <w:right w:val="nil"/>
            </w:tcBorders>
          </w:tcPr>
          <w:p w14:paraId="0098D2D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CLS</w:t>
            </w:r>
          </w:p>
        </w:tc>
        <w:tc>
          <w:tcPr>
            <w:tcW w:w="2340" w:type="dxa"/>
            <w:tcBorders>
              <w:top w:val="nil"/>
              <w:left w:val="nil"/>
              <w:bottom w:val="nil"/>
              <w:right w:val="nil"/>
            </w:tcBorders>
          </w:tcPr>
          <w:p w14:paraId="01DC260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-7.204e+08</w:t>
            </w:r>
          </w:p>
        </w:tc>
        <w:tc>
          <w:tcPr>
            <w:tcW w:w="2160" w:type="dxa"/>
            <w:tcBorders>
              <w:top w:val="nil"/>
              <w:left w:val="nil"/>
              <w:bottom w:val="nil"/>
              <w:right w:val="nil"/>
            </w:tcBorders>
          </w:tcPr>
          <w:p w14:paraId="75AC3B7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-7.533e+08</w:t>
            </w:r>
          </w:p>
        </w:tc>
      </w:tr>
      <w:tr w:rsidR="004E37EE" w:rsidRPr="007915F2" w14:paraId="5342300C" w14:textId="77777777" w:rsidTr="007D1505">
        <w:tc>
          <w:tcPr>
            <w:tcW w:w="3078" w:type="dxa"/>
            <w:tcBorders>
              <w:top w:val="nil"/>
              <w:left w:val="nil"/>
              <w:bottom w:val="nil"/>
              <w:right w:val="nil"/>
            </w:tcBorders>
          </w:tcPr>
          <w:p w14:paraId="289475DF"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627AA50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(4.803e+08)</w:t>
            </w:r>
          </w:p>
        </w:tc>
        <w:tc>
          <w:tcPr>
            <w:tcW w:w="2160" w:type="dxa"/>
            <w:tcBorders>
              <w:top w:val="nil"/>
              <w:left w:val="nil"/>
              <w:bottom w:val="nil"/>
              <w:right w:val="nil"/>
            </w:tcBorders>
          </w:tcPr>
          <w:p w14:paraId="161A068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(4.689e+08)</w:t>
            </w:r>
          </w:p>
          <w:p w14:paraId="7F78AAE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41D77260" w14:textId="77777777" w:rsidTr="007D1505">
        <w:tc>
          <w:tcPr>
            <w:tcW w:w="3078" w:type="dxa"/>
            <w:tcBorders>
              <w:top w:val="nil"/>
              <w:left w:val="nil"/>
              <w:bottom w:val="nil"/>
              <w:right w:val="nil"/>
            </w:tcBorders>
          </w:tcPr>
          <w:p w14:paraId="2D3A1035"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EIG</w:t>
            </w:r>
          </w:p>
        </w:tc>
        <w:tc>
          <w:tcPr>
            <w:tcW w:w="2340" w:type="dxa"/>
            <w:tcBorders>
              <w:top w:val="nil"/>
              <w:left w:val="nil"/>
              <w:bottom w:val="nil"/>
              <w:right w:val="nil"/>
            </w:tcBorders>
          </w:tcPr>
          <w:p w14:paraId="278C7E8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2.875***</w:t>
            </w:r>
          </w:p>
        </w:tc>
        <w:tc>
          <w:tcPr>
            <w:tcW w:w="2160" w:type="dxa"/>
            <w:tcBorders>
              <w:top w:val="nil"/>
              <w:left w:val="nil"/>
              <w:bottom w:val="nil"/>
              <w:right w:val="nil"/>
            </w:tcBorders>
          </w:tcPr>
          <w:p w14:paraId="53DF8AA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2.14**</w:t>
            </w:r>
          </w:p>
        </w:tc>
      </w:tr>
      <w:tr w:rsidR="004E37EE" w:rsidRPr="007915F2" w14:paraId="2BB8BEF6" w14:textId="77777777" w:rsidTr="007D1505">
        <w:tc>
          <w:tcPr>
            <w:tcW w:w="3078" w:type="dxa"/>
            <w:tcBorders>
              <w:top w:val="nil"/>
              <w:left w:val="nil"/>
              <w:bottom w:val="nil"/>
              <w:right w:val="nil"/>
            </w:tcBorders>
          </w:tcPr>
          <w:p w14:paraId="014BA5D2"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4E250DB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(.971)</w:t>
            </w:r>
          </w:p>
        </w:tc>
        <w:tc>
          <w:tcPr>
            <w:tcW w:w="2160" w:type="dxa"/>
            <w:tcBorders>
              <w:top w:val="nil"/>
              <w:left w:val="nil"/>
              <w:bottom w:val="nil"/>
              <w:right w:val="nil"/>
            </w:tcBorders>
          </w:tcPr>
          <w:p w14:paraId="7E8B96D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(.954)</w:t>
            </w:r>
          </w:p>
          <w:p w14:paraId="4C27BE3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94C13FE" w14:textId="77777777" w:rsidTr="007D1505">
        <w:tc>
          <w:tcPr>
            <w:tcW w:w="3078" w:type="dxa"/>
            <w:tcBorders>
              <w:top w:val="nil"/>
              <w:left w:val="nil"/>
              <w:bottom w:val="nil"/>
              <w:right w:val="nil"/>
            </w:tcBorders>
          </w:tcPr>
          <w:p w14:paraId="6982B6AF"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ECC</w:t>
            </w:r>
          </w:p>
        </w:tc>
        <w:tc>
          <w:tcPr>
            <w:tcW w:w="2340" w:type="dxa"/>
            <w:tcBorders>
              <w:top w:val="nil"/>
              <w:left w:val="nil"/>
              <w:bottom w:val="nil"/>
              <w:right w:val="nil"/>
            </w:tcBorders>
          </w:tcPr>
          <w:p w14:paraId="56A7572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-.108***</w:t>
            </w:r>
          </w:p>
        </w:tc>
        <w:tc>
          <w:tcPr>
            <w:tcW w:w="2160" w:type="dxa"/>
            <w:tcBorders>
              <w:top w:val="nil"/>
              <w:left w:val="nil"/>
              <w:bottom w:val="nil"/>
              <w:right w:val="nil"/>
            </w:tcBorders>
          </w:tcPr>
          <w:p w14:paraId="6CC83FF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-.095***</w:t>
            </w:r>
          </w:p>
        </w:tc>
      </w:tr>
      <w:tr w:rsidR="004E37EE" w:rsidRPr="007915F2" w14:paraId="0A6450B9" w14:textId="77777777" w:rsidTr="007D1505">
        <w:tc>
          <w:tcPr>
            <w:tcW w:w="3078" w:type="dxa"/>
            <w:tcBorders>
              <w:top w:val="nil"/>
              <w:left w:val="nil"/>
              <w:bottom w:val="nil"/>
              <w:right w:val="nil"/>
            </w:tcBorders>
          </w:tcPr>
          <w:p w14:paraId="56A7E8F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02A02E1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(.03)</w:t>
            </w:r>
          </w:p>
        </w:tc>
        <w:tc>
          <w:tcPr>
            <w:tcW w:w="2160" w:type="dxa"/>
            <w:tcBorders>
              <w:top w:val="nil"/>
              <w:left w:val="nil"/>
              <w:bottom w:val="nil"/>
              <w:right w:val="nil"/>
            </w:tcBorders>
          </w:tcPr>
          <w:p w14:paraId="5614AEE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(.029)</w:t>
            </w:r>
          </w:p>
          <w:p w14:paraId="728599A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726279A7" w14:textId="77777777" w:rsidTr="007D1505">
        <w:tc>
          <w:tcPr>
            <w:tcW w:w="3078" w:type="dxa"/>
            <w:tcBorders>
              <w:top w:val="nil"/>
              <w:left w:val="nil"/>
              <w:bottom w:val="nil"/>
              <w:right w:val="nil"/>
            </w:tcBorders>
          </w:tcPr>
          <w:p w14:paraId="45796D66"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ATH</w:t>
            </w:r>
          </w:p>
        </w:tc>
        <w:tc>
          <w:tcPr>
            <w:tcW w:w="2340" w:type="dxa"/>
            <w:tcBorders>
              <w:top w:val="nil"/>
              <w:left w:val="nil"/>
              <w:bottom w:val="nil"/>
              <w:right w:val="nil"/>
            </w:tcBorders>
          </w:tcPr>
          <w:p w14:paraId="5E66B1A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-1.862</w:t>
            </w:r>
          </w:p>
        </w:tc>
        <w:tc>
          <w:tcPr>
            <w:tcW w:w="2160" w:type="dxa"/>
            <w:tcBorders>
              <w:top w:val="nil"/>
              <w:left w:val="nil"/>
              <w:bottom w:val="nil"/>
              <w:right w:val="nil"/>
            </w:tcBorders>
          </w:tcPr>
          <w:p w14:paraId="24B9439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-.876</w:t>
            </w:r>
          </w:p>
        </w:tc>
      </w:tr>
      <w:tr w:rsidR="004E37EE" w:rsidRPr="007915F2" w14:paraId="43C207EE" w14:textId="77777777" w:rsidTr="007D1505">
        <w:tc>
          <w:tcPr>
            <w:tcW w:w="3078" w:type="dxa"/>
            <w:tcBorders>
              <w:top w:val="nil"/>
              <w:left w:val="nil"/>
              <w:bottom w:val="nil"/>
              <w:right w:val="nil"/>
            </w:tcBorders>
          </w:tcPr>
          <w:p w14:paraId="46E1E34B"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62D9962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(1.154)</w:t>
            </w:r>
          </w:p>
        </w:tc>
        <w:tc>
          <w:tcPr>
            <w:tcW w:w="2160" w:type="dxa"/>
            <w:tcBorders>
              <w:top w:val="nil"/>
              <w:left w:val="nil"/>
              <w:bottom w:val="nil"/>
              <w:right w:val="nil"/>
            </w:tcBorders>
          </w:tcPr>
          <w:p w14:paraId="506325B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(1.144)</w:t>
            </w:r>
          </w:p>
          <w:p w14:paraId="06AA065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43E92E8" w14:textId="77777777" w:rsidTr="007D1505">
        <w:tc>
          <w:tcPr>
            <w:tcW w:w="3078" w:type="dxa"/>
            <w:tcBorders>
              <w:top w:val="nil"/>
              <w:left w:val="nil"/>
              <w:bottom w:val="nil"/>
              <w:right w:val="nil"/>
            </w:tcBorders>
          </w:tcPr>
          <w:p w14:paraId="05B7048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PGE</w:t>
            </w:r>
          </w:p>
        </w:tc>
        <w:tc>
          <w:tcPr>
            <w:tcW w:w="2340" w:type="dxa"/>
            <w:tcBorders>
              <w:top w:val="nil"/>
              <w:left w:val="nil"/>
              <w:bottom w:val="nil"/>
              <w:right w:val="nil"/>
            </w:tcBorders>
          </w:tcPr>
          <w:p w14:paraId="5934E14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11.642</w:t>
            </w:r>
          </w:p>
        </w:tc>
        <w:tc>
          <w:tcPr>
            <w:tcW w:w="2160" w:type="dxa"/>
            <w:tcBorders>
              <w:top w:val="nil"/>
              <w:left w:val="nil"/>
              <w:bottom w:val="nil"/>
              <w:right w:val="nil"/>
            </w:tcBorders>
          </w:tcPr>
          <w:p w14:paraId="5CB2D91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34.988</w:t>
            </w:r>
          </w:p>
        </w:tc>
      </w:tr>
      <w:tr w:rsidR="004E37EE" w:rsidRPr="007915F2" w14:paraId="4824ECBE" w14:textId="77777777" w:rsidTr="007D1505">
        <w:tc>
          <w:tcPr>
            <w:tcW w:w="3078" w:type="dxa"/>
            <w:tcBorders>
              <w:top w:val="nil"/>
              <w:left w:val="nil"/>
              <w:bottom w:val="nil"/>
              <w:right w:val="nil"/>
            </w:tcBorders>
          </w:tcPr>
          <w:p w14:paraId="7F96A26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50E208C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(51.288)</w:t>
            </w:r>
          </w:p>
        </w:tc>
        <w:tc>
          <w:tcPr>
            <w:tcW w:w="2160" w:type="dxa"/>
            <w:tcBorders>
              <w:top w:val="nil"/>
              <w:left w:val="nil"/>
              <w:bottom w:val="nil"/>
              <w:right w:val="nil"/>
            </w:tcBorders>
          </w:tcPr>
          <w:p w14:paraId="0A7700A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(52.43)</w:t>
            </w:r>
          </w:p>
          <w:p w14:paraId="1261AC8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3800EF98" w14:textId="77777777" w:rsidTr="007D1505">
        <w:tc>
          <w:tcPr>
            <w:tcW w:w="3078" w:type="dxa"/>
            <w:tcBorders>
              <w:top w:val="nil"/>
              <w:left w:val="nil"/>
              <w:bottom w:val="nil"/>
              <w:right w:val="nil"/>
            </w:tcBorders>
          </w:tcPr>
          <w:p w14:paraId="4B9B2138"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IDG</w:t>
            </w:r>
          </w:p>
        </w:tc>
        <w:tc>
          <w:tcPr>
            <w:tcW w:w="2340" w:type="dxa"/>
            <w:tcBorders>
              <w:top w:val="nil"/>
              <w:left w:val="nil"/>
              <w:bottom w:val="nil"/>
              <w:right w:val="nil"/>
            </w:tcBorders>
          </w:tcPr>
          <w:p w14:paraId="1956464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.005**</w:t>
            </w:r>
          </w:p>
        </w:tc>
        <w:tc>
          <w:tcPr>
            <w:tcW w:w="2160" w:type="dxa"/>
            <w:tcBorders>
              <w:top w:val="nil"/>
              <w:left w:val="nil"/>
              <w:bottom w:val="nil"/>
              <w:right w:val="nil"/>
            </w:tcBorders>
          </w:tcPr>
          <w:p w14:paraId="1DD2B89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.014***</w:t>
            </w:r>
          </w:p>
        </w:tc>
      </w:tr>
      <w:tr w:rsidR="004E37EE" w:rsidRPr="007915F2" w14:paraId="0DD681E2" w14:textId="77777777" w:rsidTr="007D1505">
        <w:tc>
          <w:tcPr>
            <w:tcW w:w="3078" w:type="dxa"/>
            <w:tcBorders>
              <w:top w:val="nil"/>
              <w:left w:val="nil"/>
              <w:bottom w:val="nil"/>
              <w:right w:val="nil"/>
            </w:tcBorders>
          </w:tcPr>
          <w:p w14:paraId="16F47988"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3BE70BA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(.002)</w:t>
            </w:r>
          </w:p>
        </w:tc>
        <w:tc>
          <w:tcPr>
            <w:tcW w:w="2160" w:type="dxa"/>
            <w:tcBorders>
              <w:top w:val="nil"/>
              <w:left w:val="nil"/>
              <w:bottom w:val="nil"/>
              <w:right w:val="nil"/>
            </w:tcBorders>
          </w:tcPr>
          <w:p w14:paraId="29B7F1A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(.002)</w:t>
            </w:r>
          </w:p>
          <w:p w14:paraId="10BF16B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3C6EB0D7" w14:textId="77777777" w:rsidTr="007D1505">
        <w:tc>
          <w:tcPr>
            <w:tcW w:w="3078" w:type="dxa"/>
            <w:tcBorders>
              <w:top w:val="nil"/>
              <w:left w:val="nil"/>
              <w:bottom w:val="nil"/>
              <w:right w:val="nil"/>
            </w:tcBorders>
          </w:tcPr>
          <w:p w14:paraId="79417F0F"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ODG</w:t>
            </w:r>
          </w:p>
        </w:tc>
        <w:tc>
          <w:tcPr>
            <w:tcW w:w="2340" w:type="dxa"/>
            <w:tcBorders>
              <w:top w:val="nil"/>
              <w:left w:val="nil"/>
              <w:bottom w:val="nil"/>
              <w:right w:val="nil"/>
            </w:tcBorders>
          </w:tcPr>
          <w:p w14:paraId="60B458F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-.006</w:t>
            </w:r>
          </w:p>
        </w:tc>
        <w:tc>
          <w:tcPr>
            <w:tcW w:w="2160" w:type="dxa"/>
            <w:tcBorders>
              <w:top w:val="nil"/>
              <w:left w:val="nil"/>
              <w:bottom w:val="nil"/>
              <w:right w:val="nil"/>
            </w:tcBorders>
          </w:tcPr>
          <w:p w14:paraId="01C6A32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-.007**</w:t>
            </w:r>
          </w:p>
        </w:tc>
      </w:tr>
      <w:tr w:rsidR="004E37EE" w:rsidRPr="007915F2" w14:paraId="0BBBC37A" w14:textId="77777777" w:rsidTr="007D1505">
        <w:tc>
          <w:tcPr>
            <w:tcW w:w="3078" w:type="dxa"/>
            <w:tcBorders>
              <w:top w:val="nil"/>
              <w:left w:val="nil"/>
              <w:bottom w:val="nil"/>
              <w:right w:val="nil"/>
            </w:tcBorders>
          </w:tcPr>
          <w:p w14:paraId="7D830A7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27363AD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(.004)</w:t>
            </w:r>
          </w:p>
        </w:tc>
        <w:tc>
          <w:tcPr>
            <w:tcW w:w="2160" w:type="dxa"/>
            <w:tcBorders>
              <w:top w:val="nil"/>
              <w:left w:val="nil"/>
              <w:bottom w:val="nil"/>
              <w:right w:val="nil"/>
            </w:tcBorders>
          </w:tcPr>
          <w:p w14:paraId="667C5DC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(.004)</w:t>
            </w:r>
          </w:p>
          <w:p w14:paraId="4C26E8B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3A74A21F" w14:textId="77777777" w:rsidTr="007D1505">
        <w:tc>
          <w:tcPr>
            <w:tcW w:w="3078" w:type="dxa"/>
            <w:tcBorders>
              <w:top w:val="nil"/>
              <w:left w:val="nil"/>
              <w:bottom w:val="nil"/>
              <w:right w:val="nil"/>
            </w:tcBorders>
          </w:tcPr>
          <w:p w14:paraId="3D46DBDD"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CLT</w:t>
            </w:r>
          </w:p>
        </w:tc>
        <w:tc>
          <w:tcPr>
            <w:tcW w:w="2340" w:type="dxa"/>
            <w:tcBorders>
              <w:top w:val="nil"/>
              <w:left w:val="nil"/>
              <w:bottom w:val="nil"/>
              <w:right w:val="nil"/>
            </w:tcBorders>
          </w:tcPr>
          <w:p w14:paraId="626D7E2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-1.935***</w:t>
            </w:r>
          </w:p>
        </w:tc>
        <w:tc>
          <w:tcPr>
            <w:tcW w:w="2160" w:type="dxa"/>
            <w:tcBorders>
              <w:top w:val="nil"/>
              <w:left w:val="nil"/>
              <w:bottom w:val="nil"/>
              <w:right w:val="nil"/>
            </w:tcBorders>
          </w:tcPr>
          <w:p w14:paraId="1D8CB7D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-1.167*</w:t>
            </w:r>
          </w:p>
        </w:tc>
      </w:tr>
      <w:tr w:rsidR="004E37EE" w:rsidRPr="007915F2" w14:paraId="3A461456" w14:textId="77777777" w:rsidTr="007D1505">
        <w:tc>
          <w:tcPr>
            <w:tcW w:w="3078" w:type="dxa"/>
            <w:tcBorders>
              <w:top w:val="nil"/>
              <w:left w:val="nil"/>
              <w:bottom w:val="nil"/>
              <w:right w:val="nil"/>
            </w:tcBorders>
          </w:tcPr>
          <w:p w14:paraId="277C46E5"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65B88B8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(.717)</w:t>
            </w:r>
          </w:p>
        </w:tc>
        <w:tc>
          <w:tcPr>
            <w:tcW w:w="2160" w:type="dxa"/>
            <w:tcBorders>
              <w:top w:val="nil"/>
              <w:left w:val="nil"/>
              <w:bottom w:val="nil"/>
              <w:right w:val="nil"/>
            </w:tcBorders>
          </w:tcPr>
          <w:p w14:paraId="73CE30D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(.696)</w:t>
            </w:r>
          </w:p>
          <w:p w14:paraId="483527D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34E97446" w14:textId="77777777" w:rsidTr="007D1505">
        <w:tc>
          <w:tcPr>
            <w:tcW w:w="3078" w:type="dxa"/>
            <w:tcBorders>
              <w:top w:val="nil"/>
              <w:left w:val="nil"/>
              <w:bottom w:val="nil"/>
              <w:right w:val="nil"/>
            </w:tcBorders>
          </w:tcPr>
          <w:p w14:paraId="2D86E7AF"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CSZ</w:t>
            </w:r>
          </w:p>
        </w:tc>
        <w:tc>
          <w:tcPr>
            <w:tcW w:w="2340" w:type="dxa"/>
            <w:tcBorders>
              <w:top w:val="nil"/>
              <w:left w:val="nil"/>
              <w:bottom w:val="nil"/>
              <w:right w:val="nil"/>
            </w:tcBorders>
          </w:tcPr>
          <w:p w14:paraId="2B72E02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w:t>
            </w:r>
          </w:p>
        </w:tc>
        <w:tc>
          <w:tcPr>
            <w:tcW w:w="2160" w:type="dxa"/>
            <w:tcBorders>
              <w:top w:val="nil"/>
              <w:left w:val="nil"/>
              <w:bottom w:val="nil"/>
              <w:right w:val="nil"/>
            </w:tcBorders>
          </w:tcPr>
          <w:p w14:paraId="710DAE6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w:t>
            </w:r>
          </w:p>
        </w:tc>
      </w:tr>
      <w:tr w:rsidR="004E37EE" w:rsidRPr="007915F2" w14:paraId="27C5B48A" w14:textId="77777777" w:rsidTr="007D1505">
        <w:tc>
          <w:tcPr>
            <w:tcW w:w="3078" w:type="dxa"/>
            <w:tcBorders>
              <w:top w:val="nil"/>
              <w:left w:val="nil"/>
              <w:bottom w:val="nil"/>
              <w:right w:val="nil"/>
            </w:tcBorders>
          </w:tcPr>
          <w:p w14:paraId="7B1E71D3"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5A01A80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w:t>
            </w:r>
          </w:p>
        </w:tc>
        <w:tc>
          <w:tcPr>
            <w:tcW w:w="2160" w:type="dxa"/>
            <w:tcBorders>
              <w:top w:val="nil"/>
              <w:left w:val="nil"/>
              <w:bottom w:val="nil"/>
              <w:right w:val="nil"/>
            </w:tcBorders>
          </w:tcPr>
          <w:p w14:paraId="0C9828D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w:t>
            </w:r>
          </w:p>
          <w:p w14:paraId="4463126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4C7C684B" w14:textId="77777777" w:rsidTr="007D1505">
        <w:tc>
          <w:tcPr>
            <w:tcW w:w="3078" w:type="dxa"/>
            <w:tcBorders>
              <w:top w:val="nil"/>
              <w:left w:val="nil"/>
              <w:bottom w:val="nil"/>
              <w:right w:val="nil"/>
            </w:tcBorders>
          </w:tcPr>
          <w:p w14:paraId="66ABD1A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TIR</w:t>
            </w:r>
          </w:p>
        </w:tc>
        <w:tc>
          <w:tcPr>
            <w:tcW w:w="2340" w:type="dxa"/>
            <w:tcBorders>
              <w:top w:val="nil"/>
              <w:left w:val="nil"/>
              <w:bottom w:val="nil"/>
              <w:right w:val="nil"/>
            </w:tcBorders>
          </w:tcPr>
          <w:p w14:paraId="68978E8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-.211***</w:t>
            </w:r>
          </w:p>
        </w:tc>
        <w:tc>
          <w:tcPr>
            <w:tcW w:w="2160" w:type="dxa"/>
            <w:tcBorders>
              <w:top w:val="nil"/>
              <w:left w:val="nil"/>
              <w:bottom w:val="nil"/>
              <w:right w:val="nil"/>
            </w:tcBorders>
          </w:tcPr>
          <w:p w14:paraId="194378C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-.154***</w:t>
            </w:r>
          </w:p>
        </w:tc>
      </w:tr>
      <w:tr w:rsidR="004E37EE" w:rsidRPr="007915F2" w14:paraId="587630FC" w14:textId="77777777" w:rsidTr="007D1505">
        <w:tc>
          <w:tcPr>
            <w:tcW w:w="3078" w:type="dxa"/>
            <w:tcBorders>
              <w:top w:val="nil"/>
              <w:left w:val="nil"/>
              <w:bottom w:val="nil"/>
              <w:right w:val="nil"/>
            </w:tcBorders>
          </w:tcPr>
          <w:p w14:paraId="5BB9D977"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03D88A5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(.052)</w:t>
            </w:r>
          </w:p>
        </w:tc>
        <w:tc>
          <w:tcPr>
            <w:tcW w:w="2160" w:type="dxa"/>
            <w:tcBorders>
              <w:top w:val="nil"/>
              <w:left w:val="nil"/>
              <w:bottom w:val="nil"/>
              <w:right w:val="nil"/>
            </w:tcBorders>
          </w:tcPr>
          <w:p w14:paraId="2540ED5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(.051)</w:t>
            </w:r>
          </w:p>
          <w:p w14:paraId="46DE47D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07994E6D" w14:textId="77777777" w:rsidTr="007D1505">
        <w:tc>
          <w:tcPr>
            <w:tcW w:w="3078" w:type="dxa"/>
            <w:tcBorders>
              <w:top w:val="nil"/>
              <w:left w:val="nil"/>
              <w:bottom w:val="nil"/>
              <w:right w:val="nil"/>
            </w:tcBorders>
          </w:tcPr>
          <w:p w14:paraId="49420A63"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LOGSZ</w:t>
            </w:r>
          </w:p>
        </w:tc>
        <w:tc>
          <w:tcPr>
            <w:tcW w:w="2340" w:type="dxa"/>
            <w:tcBorders>
              <w:top w:val="nil"/>
              <w:left w:val="nil"/>
              <w:bottom w:val="nil"/>
              <w:right w:val="nil"/>
            </w:tcBorders>
          </w:tcPr>
          <w:p w14:paraId="059565D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c>
          <w:tcPr>
            <w:tcW w:w="2160" w:type="dxa"/>
            <w:tcBorders>
              <w:top w:val="nil"/>
              <w:left w:val="nil"/>
              <w:bottom w:val="nil"/>
              <w:right w:val="nil"/>
            </w:tcBorders>
          </w:tcPr>
          <w:p w14:paraId="4F6F9AF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-.08***</w:t>
            </w:r>
          </w:p>
        </w:tc>
      </w:tr>
      <w:tr w:rsidR="004E37EE" w:rsidRPr="007915F2" w14:paraId="11C7CFC7" w14:textId="77777777" w:rsidTr="007D1505">
        <w:tc>
          <w:tcPr>
            <w:tcW w:w="3078" w:type="dxa"/>
            <w:tcBorders>
              <w:top w:val="nil"/>
              <w:left w:val="nil"/>
              <w:bottom w:val="nil"/>
              <w:right w:val="nil"/>
            </w:tcBorders>
          </w:tcPr>
          <w:p w14:paraId="1F626AC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1DA6996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c>
          <w:tcPr>
            <w:tcW w:w="2160" w:type="dxa"/>
            <w:tcBorders>
              <w:top w:val="nil"/>
              <w:left w:val="nil"/>
              <w:bottom w:val="nil"/>
              <w:right w:val="nil"/>
            </w:tcBorders>
          </w:tcPr>
          <w:p w14:paraId="1B57C0B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(.006)</w:t>
            </w:r>
          </w:p>
          <w:p w14:paraId="1089CE9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E579FD5" w14:textId="77777777" w:rsidTr="007D1505">
        <w:tc>
          <w:tcPr>
            <w:tcW w:w="3078" w:type="dxa"/>
            <w:tcBorders>
              <w:top w:val="nil"/>
              <w:left w:val="nil"/>
              <w:bottom w:val="nil"/>
              <w:right w:val="nil"/>
            </w:tcBorders>
          </w:tcPr>
          <w:p w14:paraId="397AB30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_cons</w:t>
            </w:r>
          </w:p>
        </w:tc>
        <w:tc>
          <w:tcPr>
            <w:tcW w:w="2340" w:type="dxa"/>
            <w:tcBorders>
              <w:top w:val="nil"/>
              <w:left w:val="nil"/>
              <w:bottom w:val="nil"/>
              <w:right w:val="nil"/>
            </w:tcBorders>
          </w:tcPr>
          <w:p w14:paraId="3331D93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6.199***</w:t>
            </w:r>
          </w:p>
        </w:tc>
        <w:tc>
          <w:tcPr>
            <w:tcW w:w="2160" w:type="dxa"/>
            <w:tcBorders>
              <w:top w:val="nil"/>
              <w:left w:val="nil"/>
              <w:bottom w:val="nil"/>
              <w:right w:val="nil"/>
            </w:tcBorders>
          </w:tcPr>
          <w:p w14:paraId="1A6636F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6.507***</w:t>
            </w:r>
          </w:p>
        </w:tc>
      </w:tr>
      <w:tr w:rsidR="004E37EE" w:rsidRPr="007915F2" w14:paraId="63AB11F6" w14:textId="77777777" w:rsidTr="007D1505">
        <w:tc>
          <w:tcPr>
            <w:tcW w:w="3078" w:type="dxa"/>
            <w:tcBorders>
              <w:top w:val="nil"/>
              <w:left w:val="nil"/>
              <w:bottom w:val="nil"/>
              <w:right w:val="nil"/>
            </w:tcBorders>
          </w:tcPr>
          <w:p w14:paraId="629BA31E"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2340" w:type="dxa"/>
            <w:tcBorders>
              <w:top w:val="nil"/>
              <w:left w:val="nil"/>
              <w:bottom w:val="nil"/>
              <w:right w:val="nil"/>
            </w:tcBorders>
          </w:tcPr>
          <w:p w14:paraId="07CD8F9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(1.199)</w:t>
            </w:r>
          </w:p>
        </w:tc>
        <w:tc>
          <w:tcPr>
            <w:tcW w:w="2160" w:type="dxa"/>
            <w:tcBorders>
              <w:top w:val="nil"/>
              <w:left w:val="nil"/>
              <w:bottom w:val="nil"/>
              <w:right w:val="nil"/>
            </w:tcBorders>
          </w:tcPr>
          <w:p w14:paraId="740A579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(1.171)</w:t>
            </w:r>
          </w:p>
          <w:p w14:paraId="4BCF1D7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0129C870" w14:textId="77777777" w:rsidTr="007D1505">
        <w:tc>
          <w:tcPr>
            <w:tcW w:w="3078" w:type="dxa"/>
            <w:tcBorders>
              <w:top w:val="nil"/>
              <w:left w:val="nil"/>
              <w:bottom w:val="nil"/>
              <w:right w:val="nil"/>
            </w:tcBorders>
          </w:tcPr>
          <w:p w14:paraId="34DCE422"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Observations</w:t>
            </w:r>
          </w:p>
        </w:tc>
        <w:tc>
          <w:tcPr>
            <w:tcW w:w="2340" w:type="dxa"/>
            <w:tcBorders>
              <w:top w:val="nil"/>
              <w:left w:val="nil"/>
              <w:bottom w:val="nil"/>
              <w:right w:val="nil"/>
            </w:tcBorders>
          </w:tcPr>
          <w:p w14:paraId="1928B70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3815</w:t>
            </w:r>
          </w:p>
        </w:tc>
        <w:tc>
          <w:tcPr>
            <w:tcW w:w="2160" w:type="dxa"/>
            <w:tcBorders>
              <w:top w:val="nil"/>
              <w:left w:val="nil"/>
              <w:bottom w:val="nil"/>
              <w:right w:val="nil"/>
            </w:tcBorders>
          </w:tcPr>
          <w:p w14:paraId="4A03719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3815</w:t>
            </w:r>
          </w:p>
        </w:tc>
      </w:tr>
      <w:tr w:rsidR="004E37EE" w:rsidRPr="007915F2" w14:paraId="28A3600C" w14:textId="77777777" w:rsidTr="007D1505">
        <w:tc>
          <w:tcPr>
            <w:tcW w:w="3078" w:type="dxa"/>
            <w:tcBorders>
              <w:top w:val="nil"/>
              <w:left w:val="nil"/>
              <w:bottom w:val="nil"/>
              <w:right w:val="nil"/>
            </w:tcBorders>
          </w:tcPr>
          <w:p w14:paraId="3AFB1999"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R-squared</w:t>
            </w:r>
          </w:p>
        </w:tc>
        <w:tc>
          <w:tcPr>
            <w:tcW w:w="2340" w:type="dxa"/>
            <w:tcBorders>
              <w:top w:val="nil"/>
              <w:left w:val="nil"/>
              <w:bottom w:val="nil"/>
              <w:right w:val="nil"/>
            </w:tcBorders>
          </w:tcPr>
          <w:p w14:paraId="4E11E32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.041</w:t>
            </w:r>
          </w:p>
        </w:tc>
        <w:tc>
          <w:tcPr>
            <w:tcW w:w="2160" w:type="dxa"/>
            <w:tcBorders>
              <w:top w:val="nil"/>
              <w:left w:val="nil"/>
              <w:bottom w:val="nil"/>
              <w:right w:val="nil"/>
            </w:tcBorders>
          </w:tcPr>
          <w:p w14:paraId="1F44ACB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.083</w:t>
            </w:r>
          </w:p>
        </w:tc>
      </w:tr>
      <w:tr w:rsidR="004E37EE" w:rsidRPr="007915F2" w14:paraId="3D405D1A" w14:textId="77777777" w:rsidTr="007D1505">
        <w:tc>
          <w:tcPr>
            <w:tcW w:w="7578" w:type="dxa"/>
            <w:gridSpan w:val="3"/>
            <w:tcBorders>
              <w:top w:val="single" w:sz="6" w:space="0" w:color="auto"/>
              <w:left w:val="nil"/>
              <w:bottom w:val="nil"/>
              <w:right w:val="nil"/>
            </w:tcBorders>
          </w:tcPr>
          <w:p w14:paraId="1EA8653B" w14:textId="77777777" w:rsidR="004E37EE" w:rsidRPr="007915F2" w:rsidRDefault="004E37EE" w:rsidP="00D61CD6">
            <w:pPr>
              <w:widowControl w:val="0"/>
              <w:autoSpaceDE w:val="0"/>
              <w:autoSpaceDN w:val="0"/>
              <w:adjustRightInd w:val="0"/>
              <w:spacing w:after="0" w:line="240" w:lineRule="auto"/>
              <w:rPr>
                <w:rFonts w:ascii="Garamond" w:hAnsi="Garamond"/>
                <w:i/>
                <w:iCs/>
                <w:sz w:val="24"/>
                <w:szCs w:val="24"/>
              </w:rPr>
            </w:pPr>
            <w:r w:rsidRPr="007915F2">
              <w:rPr>
                <w:rFonts w:ascii="Garamond" w:hAnsi="Garamond"/>
                <w:i/>
                <w:iCs/>
                <w:sz w:val="24"/>
                <w:szCs w:val="24"/>
              </w:rPr>
              <w:t>Standard errors are in parentheses</w:t>
            </w:r>
          </w:p>
        </w:tc>
      </w:tr>
      <w:tr w:rsidR="004E37EE" w:rsidRPr="007915F2" w14:paraId="6D2ED960" w14:textId="77777777" w:rsidTr="007D1505">
        <w:tc>
          <w:tcPr>
            <w:tcW w:w="7578" w:type="dxa"/>
            <w:gridSpan w:val="3"/>
            <w:tcBorders>
              <w:top w:val="nil"/>
              <w:left w:val="nil"/>
              <w:bottom w:val="nil"/>
              <w:right w:val="nil"/>
            </w:tcBorders>
          </w:tcPr>
          <w:p w14:paraId="69409206" w14:textId="77777777" w:rsidR="004E37EE" w:rsidRPr="007915F2" w:rsidRDefault="004E37EE" w:rsidP="00D61CD6">
            <w:pPr>
              <w:widowControl w:val="0"/>
              <w:autoSpaceDE w:val="0"/>
              <w:autoSpaceDN w:val="0"/>
              <w:adjustRightInd w:val="0"/>
              <w:spacing w:after="0" w:line="240" w:lineRule="auto"/>
              <w:rPr>
                <w:rFonts w:ascii="Garamond" w:hAnsi="Garamond"/>
                <w:i/>
                <w:iCs/>
                <w:sz w:val="24"/>
                <w:szCs w:val="24"/>
              </w:rPr>
            </w:pPr>
            <w:r w:rsidRPr="007915F2">
              <w:rPr>
                <w:rFonts w:ascii="Garamond" w:hAnsi="Garamond"/>
                <w:i/>
                <w:iCs/>
                <w:sz w:val="24"/>
                <w:szCs w:val="24"/>
              </w:rPr>
              <w:t xml:space="preserve">*** p&lt;.01, ** p&lt;.05, * p&lt;.1 </w:t>
            </w:r>
          </w:p>
        </w:tc>
      </w:tr>
      <w:tr w:rsidR="004E37EE" w:rsidRPr="007915F2" w14:paraId="3BD4A776" w14:textId="77777777" w:rsidTr="007D1505">
        <w:tc>
          <w:tcPr>
            <w:tcW w:w="7578" w:type="dxa"/>
            <w:gridSpan w:val="3"/>
            <w:tcBorders>
              <w:top w:val="nil"/>
              <w:left w:val="nil"/>
              <w:bottom w:val="nil"/>
              <w:right w:val="nil"/>
            </w:tcBorders>
          </w:tcPr>
          <w:p w14:paraId="395638FA"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p>
        </w:tc>
      </w:tr>
    </w:tbl>
    <w:p w14:paraId="68292F22" w14:textId="77777777" w:rsidR="004E37EE" w:rsidRPr="007915F2" w:rsidRDefault="004E37EE" w:rsidP="00D61CD6">
      <w:pPr>
        <w:spacing w:after="0" w:line="240" w:lineRule="auto"/>
        <w:rPr>
          <w:rFonts w:ascii="Garamond" w:hAnsi="Garamond"/>
          <w:sz w:val="24"/>
          <w:szCs w:val="24"/>
        </w:rPr>
      </w:pPr>
    </w:p>
    <w:p w14:paraId="0F022051"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b/>
          <w:bCs/>
          <w:sz w:val="24"/>
          <w:szCs w:val="24"/>
        </w:rPr>
        <w:br w:type="page"/>
      </w:r>
      <w:r w:rsidRPr="007915F2">
        <w:rPr>
          <w:rFonts w:ascii="Garamond" w:hAnsi="Garamond"/>
          <w:b/>
          <w:bCs/>
          <w:sz w:val="24"/>
          <w:szCs w:val="24"/>
        </w:rPr>
        <w:lastRenderedPageBreak/>
        <w:t xml:space="preserve">Table 5: Regression results excluding China: Dependent Variable is ROE </w:t>
      </w:r>
    </w:p>
    <w:tbl>
      <w:tblPr>
        <w:tblW w:w="0" w:type="auto"/>
        <w:tblLayout w:type="fixed"/>
        <w:tblLook w:val="0000" w:firstRow="0" w:lastRow="0" w:firstColumn="0" w:lastColumn="0" w:noHBand="0" w:noVBand="0"/>
      </w:tblPr>
      <w:tblGrid>
        <w:gridCol w:w="3348"/>
        <w:gridCol w:w="1980"/>
        <w:gridCol w:w="2160"/>
      </w:tblGrid>
      <w:tr w:rsidR="004E37EE" w:rsidRPr="007915F2" w14:paraId="6721CE47" w14:textId="77777777" w:rsidTr="007D1505">
        <w:tc>
          <w:tcPr>
            <w:tcW w:w="3348" w:type="dxa"/>
            <w:tcBorders>
              <w:top w:val="single" w:sz="4" w:space="0" w:color="auto"/>
              <w:left w:val="nil"/>
              <w:bottom w:val="nil"/>
              <w:right w:val="nil"/>
            </w:tcBorders>
          </w:tcPr>
          <w:p w14:paraId="5F9E8BA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w:t>
            </w:r>
          </w:p>
        </w:tc>
        <w:tc>
          <w:tcPr>
            <w:tcW w:w="1980" w:type="dxa"/>
            <w:tcBorders>
              <w:top w:val="single" w:sz="4" w:space="0" w:color="auto"/>
              <w:left w:val="nil"/>
              <w:bottom w:val="nil"/>
              <w:right w:val="nil"/>
            </w:tcBorders>
          </w:tcPr>
          <w:p w14:paraId="606089C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(1)</w:t>
            </w:r>
          </w:p>
        </w:tc>
        <w:tc>
          <w:tcPr>
            <w:tcW w:w="2160" w:type="dxa"/>
            <w:tcBorders>
              <w:top w:val="single" w:sz="4" w:space="0" w:color="auto"/>
              <w:left w:val="nil"/>
              <w:bottom w:val="nil"/>
              <w:right w:val="nil"/>
            </w:tcBorders>
          </w:tcPr>
          <w:p w14:paraId="729206F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(2)</w:t>
            </w:r>
          </w:p>
        </w:tc>
      </w:tr>
      <w:tr w:rsidR="004E37EE" w:rsidRPr="007915F2" w14:paraId="4663A342" w14:textId="77777777" w:rsidTr="007D1505">
        <w:tc>
          <w:tcPr>
            <w:tcW w:w="3348" w:type="dxa"/>
            <w:tcBorders>
              <w:top w:val="nil"/>
              <w:left w:val="nil"/>
              <w:bottom w:val="single" w:sz="10" w:space="0" w:color="auto"/>
              <w:right w:val="nil"/>
            </w:tcBorders>
          </w:tcPr>
          <w:p w14:paraId="16F35B9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single" w:sz="10" w:space="0" w:color="auto"/>
              <w:right w:val="nil"/>
            </w:tcBorders>
          </w:tcPr>
          <w:p w14:paraId="110CF1D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w:t>
            </w:r>
          </w:p>
        </w:tc>
        <w:tc>
          <w:tcPr>
            <w:tcW w:w="2160" w:type="dxa"/>
            <w:tcBorders>
              <w:top w:val="nil"/>
              <w:left w:val="nil"/>
              <w:bottom w:val="single" w:sz="10" w:space="0" w:color="auto"/>
              <w:right w:val="nil"/>
            </w:tcBorders>
          </w:tcPr>
          <w:p w14:paraId="38A5A97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2A32A18C" w14:textId="77777777" w:rsidTr="007D1505">
        <w:tc>
          <w:tcPr>
            <w:tcW w:w="3348" w:type="dxa"/>
            <w:tcBorders>
              <w:top w:val="nil"/>
              <w:left w:val="nil"/>
              <w:bottom w:val="nil"/>
              <w:right w:val="nil"/>
            </w:tcBorders>
          </w:tcPr>
          <w:p w14:paraId="777AF111"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CLS</w:t>
            </w:r>
          </w:p>
        </w:tc>
        <w:tc>
          <w:tcPr>
            <w:tcW w:w="1980" w:type="dxa"/>
            <w:tcBorders>
              <w:top w:val="nil"/>
              <w:left w:val="nil"/>
              <w:bottom w:val="nil"/>
              <w:right w:val="nil"/>
            </w:tcBorders>
          </w:tcPr>
          <w:p w14:paraId="427F0E1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.187</w:t>
            </w:r>
          </w:p>
        </w:tc>
        <w:tc>
          <w:tcPr>
            <w:tcW w:w="2160" w:type="dxa"/>
            <w:tcBorders>
              <w:top w:val="nil"/>
              <w:left w:val="nil"/>
              <w:bottom w:val="nil"/>
              <w:right w:val="nil"/>
            </w:tcBorders>
          </w:tcPr>
          <w:p w14:paraId="1F4B637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.127</w:t>
            </w:r>
          </w:p>
        </w:tc>
      </w:tr>
      <w:tr w:rsidR="004E37EE" w:rsidRPr="007915F2" w14:paraId="7A73321F" w14:textId="77777777" w:rsidTr="007D1505">
        <w:tc>
          <w:tcPr>
            <w:tcW w:w="3348" w:type="dxa"/>
            <w:tcBorders>
              <w:top w:val="nil"/>
              <w:left w:val="nil"/>
              <w:bottom w:val="nil"/>
              <w:right w:val="nil"/>
            </w:tcBorders>
          </w:tcPr>
          <w:p w14:paraId="736C33E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190F052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(1.884)</w:t>
            </w:r>
          </w:p>
        </w:tc>
        <w:tc>
          <w:tcPr>
            <w:tcW w:w="2160" w:type="dxa"/>
            <w:tcBorders>
              <w:top w:val="nil"/>
              <w:left w:val="nil"/>
              <w:bottom w:val="nil"/>
              <w:right w:val="nil"/>
            </w:tcBorders>
          </w:tcPr>
          <w:p w14:paraId="704638E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(1.886)</w:t>
            </w:r>
          </w:p>
          <w:p w14:paraId="5102FB6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07B56CFC" w14:textId="77777777" w:rsidTr="007D1505">
        <w:tc>
          <w:tcPr>
            <w:tcW w:w="3348" w:type="dxa"/>
            <w:tcBorders>
              <w:top w:val="nil"/>
              <w:left w:val="nil"/>
              <w:bottom w:val="nil"/>
              <w:right w:val="nil"/>
            </w:tcBorders>
          </w:tcPr>
          <w:p w14:paraId="3056C6B3"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EIG</w:t>
            </w:r>
          </w:p>
        </w:tc>
        <w:tc>
          <w:tcPr>
            <w:tcW w:w="1980" w:type="dxa"/>
            <w:tcBorders>
              <w:top w:val="nil"/>
              <w:left w:val="nil"/>
              <w:bottom w:val="nil"/>
              <w:right w:val="nil"/>
            </w:tcBorders>
          </w:tcPr>
          <w:p w14:paraId="0C11893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9.901*</w:t>
            </w:r>
          </w:p>
        </w:tc>
        <w:tc>
          <w:tcPr>
            <w:tcW w:w="2160" w:type="dxa"/>
            <w:tcBorders>
              <w:top w:val="nil"/>
              <w:left w:val="nil"/>
              <w:bottom w:val="nil"/>
              <w:right w:val="nil"/>
            </w:tcBorders>
          </w:tcPr>
          <w:p w14:paraId="17C8A6D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9.931*</w:t>
            </w:r>
          </w:p>
        </w:tc>
      </w:tr>
      <w:tr w:rsidR="004E37EE" w:rsidRPr="007915F2" w14:paraId="10B8F9C5" w14:textId="77777777" w:rsidTr="007D1505">
        <w:tc>
          <w:tcPr>
            <w:tcW w:w="3348" w:type="dxa"/>
            <w:tcBorders>
              <w:top w:val="nil"/>
              <w:left w:val="nil"/>
              <w:bottom w:val="nil"/>
              <w:right w:val="nil"/>
            </w:tcBorders>
          </w:tcPr>
          <w:p w14:paraId="5622C215"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0E7C84D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(5.961)</w:t>
            </w:r>
          </w:p>
        </w:tc>
        <w:tc>
          <w:tcPr>
            <w:tcW w:w="2160" w:type="dxa"/>
            <w:tcBorders>
              <w:top w:val="nil"/>
              <w:left w:val="nil"/>
              <w:bottom w:val="nil"/>
              <w:right w:val="nil"/>
            </w:tcBorders>
          </w:tcPr>
          <w:p w14:paraId="5A01AE9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(5.965)</w:t>
            </w:r>
          </w:p>
          <w:p w14:paraId="0D94637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78F0D88F" w14:textId="77777777" w:rsidTr="007D1505">
        <w:tc>
          <w:tcPr>
            <w:tcW w:w="3348" w:type="dxa"/>
            <w:tcBorders>
              <w:top w:val="nil"/>
              <w:left w:val="nil"/>
              <w:bottom w:val="nil"/>
              <w:right w:val="nil"/>
            </w:tcBorders>
          </w:tcPr>
          <w:p w14:paraId="2352A1C2"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ECC</w:t>
            </w:r>
          </w:p>
        </w:tc>
        <w:tc>
          <w:tcPr>
            <w:tcW w:w="1980" w:type="dxa"/>
            <w:tcBorders>
              <w:top w:val="nil"/>
              <w:left w:val="nil"/>
              <w:bottom w:val="nil"/>
              <w:right w:val="nil"/>
            </w:tcBorders>
          </w:tcPr>
          <w:p w14:paraId="341442E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.222</w:t>
            </w:r>
          </w:p>
        </w:tc>
        <w:tc>
          <w:tcPr>
            <w:tcW w:w="2160" w:type="dxa"/>
            <w:tcBorders>
              <w:top w:val="nil"/>
              <w:left w:val="nil"/>
              <w:bottom w:val="nil"/>
              <w:right w:val="nil"/>
            </w:tcBorders>
          </w:tcPr>
          <w:p w14:paraId="08567C7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.208</w:t>
            </w:r>
          </w:p>
        </w:tc>
      </w:tr>
      <w:tr w:rsidR="004E37EE" w:rsidRPr="007915F2" w14:paraId="26855A72" w14:textId="77777777" w:rsidTr="007D1505">
        <w:tc>
          <w:tcPr>
            <w:tcW w:w="3348" w:type="dxa"/>
            <w:tcBorders>
              <w:top w:val="nil"/>
              <w:left w:val="nil"/>
              <w:bottom w:val="nil"/>
              <w:right w:val="nil"/>
            </w:tcBorders>
          </w:tcPr>
          <w:p w14:paraId="4AB0DA2A"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7DAE4C9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(.157)</w:t>
            </w:r>
          </w:p>
        </w:tc>
        <w:tc>
          <w:tcPr>
            <w:tcW w:w="2160" w:type="dxa"/>
            <w:tcBorders>
              <w:top w:val="nil"/>
              <w:left w:val="nil"/>
              <w:bottom w:val="nil"/>
              <w:right w:val="nil"/>
            </w:tcBorders>
          </w:tcPr>
          <w:p w14:paraId="22BDBDD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(.158)</w:t>
            </w:r>
          </w:p>
          <w:p w14:paraId="64297BF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07D7FE0A" w14:textId="77777777" w:rsidTr="007D1505">
        <w:tc>
          <w:tcPr>
            <w:tcW w:w="3348" w:type="dxa"/>
            <w:tcBorders>
              <w:top w:val="nil"/>
              <w:left w:val="nil"/>
              <w:bottom w:val="nil"/>
              <w:right w:val="nil"/>
            </w:tcBorders>
          </w:tcPr>
          <w:p w14:paraId="64EB853A"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ATH</w:t>
            </w:r>
          </w:p>
        </w:tc>
        <w:tc>
          <w:tcPr>
            <w:tcW w:w="1980" w:type="dxa"/>
            <w:tcBorders>
              <w:top w:val="nil"/>
              <w:left w:val="nil"/>
              <w:bottom w:val="nil"/>
              <w:right w:val="nil"/>
            </w:tcBorders>
          </w:tcPr>
          <w:p w14:paraId="3A62FCA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3.672</w:t>
            </w:r>
          </w:p>
        </w:tc>
        <w:tc>
          <w:tcPr>
            <w:tcW w:w="2160" w:type="dxa"/>
            <w:tcBorders>
              <w:top w:val="nil"/>
              <w:left w:val="nil"/>
              <w:bottom w:val="nil"/>
              <w:right w:val="nil"/>
            </w:tcBorders>
          </w:tcPr>
          <w:p w14:paraId="028372C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3.99</w:t>
            </w:r>
          </w:p>
        </w:tc>
      </w:tr>
      <w:tr w:rsidR="004E37EE" w:rsidRPr="007915F2" w14:paraId="31464E20" w14:textId="77777777" w:rsidTr="007D1505">
        <w:tc>
          <w:tcPr>
            <w:tcW w:w="3348" w:type="dxa"/>
            <w:tcBorders>
              <w:top w:val="nil"/>
              <w:left w:val="nil"/>
              <w:bottom w:val="nil"/>
              <w:right w:val="nil"/>
            </w:tcBorders>
          </w:tcPr>
          <w:p w14:paraId="043977C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2BB4522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(12.156)</w:t>
            </w:r>
          </w:p>
        </w:tc>
        <w:tc>
          <w:tcPr>
            <w:tcW w:w="2160" w:type="dxa"/>
            <w:tcBorders>
              <w:top w:val="nil"/>
              <w:left w:val="nil"/>
              <w:bottom w:val="nil"/>
              <w:right w:val="nil"/>
            </w:tcBorders>
          </w:tcPr>
          <w:p w14:paraId="3FC0FA2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(12.129)</w:t>
            </w:r>
          </w:p>
          <w:p w14:paraId="694904B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100D78B0" w14:textId="77777777" w:rsidTr="007D1505">
        <w:tc>
          <w:tcPr>
            <w:tcW w:w="3348" w:type="dxa"/>
            <w:tcBorders>
              <w:top w:val="nil"/>
              <w:left w:val="nil"/>
              <w:bottom w:val="nil"/>
              <w:right w:val="nil"/>
            </w:tcBorders>
          </w:tcPr>
          <w:p w14:paraId="712FE83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PGE</w:t>
            </w:r>
          </w:p>
        </w:tc>
        <w:tc>
          <w:tcPr>
            <w:tcW w:w="1980" w:type="dxa"/>
            <w:tcBorders>
              <w:top w:val="nil"/>
              <w:left w:val="nil"/>
              <w:bottom w:val="nil"/>
              <w:right w:val="nil"/>
            </w:tcBorders>
          </w:tcPr>
          <w:p w14:paraId="55EC172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-4026.321**</w:t>
            </w:r>
          </w:p>
        </w:tc>
        <w:tc>
          <w:tcPr>
            <w:tcW w:w="2160" w:type="dxa"/>
            <w:tcBorders>
              <w:top w:val="nil"/>
              <w:left w:val="nil"/>
              <w:bottom w:val="nil"/>
              <w:right w:val="nil"/>
            </w:tcBorders>
          </w:tcPr>
          <w:p w14:paraId="5D408A7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-3951.122**</w:t>
            </w:r>
          </w:p>
        </w:tc>
      </w:tr>
      <w:tr w:rsidR="004E37EE" w:rsidRPr="007915F2" w14:paraId="51223428" w14:textId="77777777" w:rsidTr="007D1505">
        <w:tc>
          <w:tcPr>
            <w:tcW w:w="3348" w:type="dxa"/>
            <w:tcBorders>
              <w:top w:val="nil"/>
              <w:left w:val="nil"/>
              <w:bottom w:val="nil"/>
              <w:right w:val="nil"/>
            </w:tcBorders>
          </w:tcPr>
          <w:p w14:paraId="6FDBAFE8"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59F84B6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(1879.766)</w:t>
            </w:r>
          </w:p>
        </w:tc>
        <w:tc>
          <w:tcPr>
            <w:tcW w:w="2160" w:type="dxa"/>
            <w:tcBorders>
              <w:top w:val="nil"/>
              <w:left w:val="nil"/>
              <w:bottom w:val="nil"/>
              <w:right w:val="nil"/>
            </w:tcBorders>
          </w:tcPr>
          <w:p w14:paraId="257236B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(1880.408)</w:t>
            </w:r>
          </w:p>
          <w:p w14:paraId="29A8F09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399C5E6B" w14:textId="77777777" w:rsidTr="007D1505">
        <w:tc>
          <w:tcPr>
            <w:tcW w:w="3348" w:type="dxa"/>
            <w:tcBorders>
              <w:top w:val="nil"/>
              <w:left w:val="nil"/>
              <w:bottom w:val="nil"/>
              <w:right w:val="nil"/>
            </w:tcBorders>
          </w:tcPr>
          <w:p w14:paraId="2837CCEE"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IDG</w:t>
            </w:r>
          </w:p>
        </w:tc>
        <w:tc>
          <w:tcPr>
            <w:tcW w:w="1980" w:type="dxa"/>
            <w:tcBorders>
              <w:top w:val="nil"/>
              <w:left w:val="nil"/>
              <w:bottom w:val="nil"/>
              <w:right w:val="nil"/>
            </w:tcBorders>
          </w:tcPr>
          <w:p w14:paraId="7FBD9D9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.101***</w:t>
            </w:r>
          </w:p>
        </w:tc>
        <w:tc>
          <w:tcPr>
            <w:tcW w:w="2160" w:type="dxa"/>
            <w:tcBorders>
              <w:top w:val="nil"/>
              <w:left w:val="nil"/>
              <w:bottom w:val="nil"/>
              <w:right w:val="nil"/>
            </w:tcBorders>
          </w:tcPr>
          <w:p w14:paraId="2854004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.106***</w:t>
            </w:r>
          </w:p>
        </w:tc>
      </w:tr>
      <w:tr w:rsidR="004E37EE" w:rsidRPr="007915F2" w14:paraId="570E4B4D" w14:textId="77777777" w:rsidTr="007D1505">
        <w:tc>
          <w:tcPr>
            <w:tcW w:w="3348" w:type="dxa"/>
            <w:tcBorders>
              <w:top w:val="nil"/>
              <w:left w:val="nil"/>
              <w:bottom w:val="nil"/>
              <w:right w:val="nil"/>
            </w:tcBorders>
          </w:tcPr>
          <w:p w14:paraId="3EDEFD8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0BB1B31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(.026)</w:t>
            </w:r>
          </w:p>
        </w:tc>
        <w:tc>
          <w:tcPr>
            <w:tcW w:w="2160" w:type="dxa"/>
            <w:tcBorders>
              <w:top w:val="nil"/>
              <w:left w:val="nil"/>
              <w:bottom w:val="nil"/>
              <w:right w:val="nil"/>
            </w:tcBorders>
          </w:tcPr>
          <w:p w14:paraId="3B2F201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(.026)</w:t>
            </w:r>
          </w:p>
          <w:p w14:paraId="19EDE8F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0ADD0F16" w14:textId="77777777" w:rsidTr="007D1505">
        <w:tc>
          <w:tcPr>
            <w:tcW w:w="3348" w:type="dxa"/>
            <w:tcBorders>
              <w:top w:val="nil"/>
              <w:left w:val="nil"/>
              <w:bottom w:val="nil"/>
              <w:right w:val="nil"/>
            </w:tcBorders>
          </w:tcPr>
          <w:p w14:paraId="5A6BBC7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ODG</w:t>
            </w:r>
          </w:p>
        </w:tc>
        <w:tc>
          <w:tcPr>
            <w:tcW w:w="1980" w:type="dxa"/>
            <w:tcBorders>
              <w:top w:val="nil"/>
              <w:left w:val="nil"/>
              <w:bottom w:val="nil"/>
              <w:right w:val="nil"/>
            </w:tcBorders>
          </w:tcPr>
          <w:p w14:paraId="7228EB0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-.014</w:t>
            </w:r>
          </w:p>
        </w:tc>
        <w:tc>
          <w:tcPr>
            <w:tcW w:w="2160" w:type="dxa"/>
            <w:tcBorders>
              <w:top w:val="nil"/>
              <w:left w:val="nil"/>
              <w:bottom w:val="nil"/>
              <w:right w:val="nil"/>
            </w:tcBorders>
          </w:tcPr>
          <w:p w14:paraId="26CC68C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-.018</w:t>
            </w:r>
          </w:p>
        </w:tc>
      </w:tr>
      <w:tr w:rsidR="004E37EE" w:rsidRPr="007915F2" w14:paraId="3BECEB00" w14:textId="77777777" w:rsidTr="007D1505">
        <w:tc>
          <w:tcPr>
            <w:tcW w:w="3348" w:type="dxa"/>
            <w:tcBorders>
              <w:top w:val="nil"/>
              <w:left w:val="nil"/>
              <w:bottom w:val="nil"/>
              <w:right w:val="nil"/>
            </w:tcBorders>
          </w:tcPr>
          <w:p w14:paraId="5D988293"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3ED63B7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(.034)</w:t>
            </w:r>
          </w:p>
        </w:tc>
        <w:tc>
          <w:tcPr>
            <w:tcW w:w="2160" w:type="dxa"/>
            <w:tcBorders>
              <w:top w:val="nil"/>
              <w:left w:val="nil"/>
              <w:bottom w:val="nil"/>
              <w:right w:val="nil"/>
            </w:tcBorders>
          </w:tcPr>
          <w:p w14:paraId="3BB3F39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(.035)</w:t>
            </w:r>
          </w:p>
          <w:p w14:paraId="0194938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1D5249B3" w14:textId="77777777" w:rsidTr="007D1505">
        <w:tc>
          <w:tcPr>
            <w:tcW w:w="3348" w:type="dxa"/>
            <w:tcBorders>
              <w:top w:val="nil"/>
              <w:left w:val="nil"/>
              <w:bottom w:val="nil"/>
              <w:right w:val="nil"/>
            </w:tcBorders>
          </w:tcPr>
          <w:p w14:paraId="0B003EFD"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CLT</w:t>
            </w:r>
          </w:p>
        </w:tc>
        <w:tc>
          <w:tcPr>
            <w:tcW w:w="1980" w:type="dxa"/>
            <w:tcBorders>
              <w:top w:val="nil"/>
              <w:left w:val="nil"/>
              <w:bottom w:val="nil"/>
              <w:right w:val="nil"/>
            </w:tcBorders>
          </w:tcPr>
          <w:p w14:paraId="237D22A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-4.037</w:t>
            </w:r>
          </w:p>
        </w:tc>
        <w:tc>
          <w:tcPr>
            <w:tcW w:w="2160" w:type="dxa"/>
            <w:tcBorders>
              <w:top w:val="nil"/>
              <w:left w:val="nil"/>
              <w:bottom w:val="nil"/>
              <w:right w:val="nil"/>
            </w:tcBorders>
          </w:tcPr>
          <w:p w14:paraId="12A69FE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-3.611</w:t>
            </w:r>
          </w:p>
        </w:tc>
      </w:tr>
      <w:tr w:rsidR="004E37EE" w:rsidRPr="007915F2" w14:paraId="6D494A2F" w14:textId="77777777" w:rsidTr="007D1505">
        <w:tc>
          <w:tcPr>
            <w:tcW w:w="3348" w:type="dxa"/>
            <w:tcBorders>
              <w:top w:val="nil"/>
              <w:left w:val="nil"/>
              <w:bottom w:val="nil"/>
              <w:right w:val="nil"/>
            </w:tcBorders>
          </w:tcPr>
          <w:p w14:paraId="78E22281"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16529DD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(6.385)</w:t>
            </w:r>
          </w:p>
        </w:tc>
        <w:tc>
          <w:tcPr>
            <w:tcW w:w="2160" w:type="dxa"/>
            <w:tcBorders>
              <w:top w:val="nil"/>
              <w:left w:val="nil"/>
              <w:bottom w:val="nil"/>
              <w:right w:val="nil"/>
            </w:tcBorders>
          </w:tcPr>
          <w:p w14:paraId="7A7DCEA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(6.407)</w:t>
            </w:r>
          </w:p>
          <w:p w14:paraId="476E4B3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BCB006C" w14:textId="77777777" w:rsidTr="007D1505">
        <w:tc>
          <w:tcPr>
            <w:tcW w:w="3348" w:type="dxa"/>
            <w:tcBorders>
              <w:top w:val="nil"/>
              <w:left w:val="nil"/>
              <w:bottom w:val="nil"/>
              <w:right w:val="nil"/>
            </w:tcBorders>
          </w:tcPr>
          <w:p w14:paraId="2FAFE3E9"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CSZ</w:t>
            </w:r>
          </w:p>
        </w:tc>
        <w:tc>
          <w:tcPr>
            <w:tcW w:w="1980" w:type="dxa"/>
            <w:tcBorders>
              <w:top w:val="nil"/>
              <w:left w:val="nil"/>
              <w:bottom w:val="nil"/>
              <w:right w:val="nil"/>
            </w:tcBorders>
          </w:tcPr>
          <w:p w14:paraId="09C73EC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-.003**</w:t>
            </w:r>
          </w:p>
        </w:tc>
        <w:tc>
          <w:tcPr>
            <w:tcW w:w="2160" w:type="dxa"/>
            <w:tcBorders>
              <w:top w:val="nil"/>
              <w:left w:val="nil"/>
              <w:bottom w:val="nil"/>
              <w:right w:val="nil"/>
            </w:tcBorders>
          </w:tcPr>
          <w:p w14:paraId="3BC0500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-.003**</w:t>
            </w:r>
          </w:p>
        </w:tc>
      </w:tr>
      <w:tr w:rsidR="004E37EE" w:rsidRPr="007915F2" w14:paraId="23550B32" w14:textId="77777777" w:rsidTr="007D1505">
        <w:tc>
          <w:tcPr>
            <w:tcW w:w="3348" w:type="dxa"/>
            <w:tcBorders>
              <w:top w:val="nil"/>
              <w:left w:val="nil"/>
              <w:bottom w:val="nil"/>
              <w:right w:val="nil"/>
            </w:tcBorders>
          </w:tcPr>
          <w:p w14:paraId="15DC0DF2"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360FC72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(.001)</w:t>
            </w:r>
          </w:p>
        </w:tc>
        <w:tc>
          <w:tcPr>
            <w:tcW w:w="2160" w:type="dxa"/>
            <w:tcBorders>
              <w:top w:val="nil"/>
              <w:left w:val="nil"/>
              <w:bottom w:val="nil"/>
              <w:right w:val="nil"/>
            </w:tcBorders>
          </w:tcPr>
          <w:p w14:paraId="165896B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(.001)</w:t>
            </w:r>
          </w:p>
          <w:p w14:paraId="5F999E2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7945DA3B" w14:textId="77777777" w:rsidTr="007D1505">
        <w:tc>
          <w:tcPr>
            <w:tcW w:w="3348" w:type="dxa"/>
            <w:tcBorders>
              <w:top w:val="nil"/>
              <w:left w:val="nil"/>
              <w:bottom w:val="nil"/>
              <w:right w:val="nil"/>
            </w:tcBorders>
          </w:tcPr>
          <w:p w14:paraId="109B4C8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TIR</w:t>
            </w:r>
          </w:p>
        </w:tc>
        <w:tc>
          <w:tcPr>
            <w:tcW w:w="1980" w:type="dxa"/>
            <w:tcBorders>
              <w:top w:val="nil"/>
              <w:left w:val="nil"/>
              <w:bottom w:val="nil"/>
              <w:right w:val="nil"/>
            </w:tcBorders>
          </w:tcPr>
          <w:p w14:paraId="30D3252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.198</w:t>
            </w:r>
          </w:p>
        </w:tc>
        <w:tc>
          <w:tcPr>
            <w:tcW w:w="2160" w:type="dxa"/>
            <w:tcBorders>
              <w:top w:val="nil"/>
              <w:left w:val="nil"/>
              <w:bottom w:val="nil"/>
              <w:right w:val="nil"/>
            </w:tcBorders>
          </w:tcPr>
          <w:p w14:paraId="2F44B0F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.23</w:t>
            </w:r>
          </w:p>
        </w:tc>
      </w:tr>
      <w:tr w:rsidR="004E37EE" w:rsidRPr="007915F2" w14:paraId="7FFCF88E" w14:textId="77777777" w:rsidTr="007D1505">
        <w:tc>
          <w:tcPr>
            <w:tcW w:w="3348" w:type="dxa"/>
            <w:tcBorders>
              <w:top w:val="nil"/>
              <w:left w:val="nil"/>
              <w:bottom w:val="nil"/>
              <w:right w:val="nil"/>
            </w:tcBorders>
          </w:tcPr>
          <w:p w14:paraId="07D1F5D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1CD1A61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(.386)</w:t>
            </w:r>
          </w:p>
        </w:tc>
        <w:tc>
          <w:tcPr>
            <w:tcW w:w="2160" w:type="dxa"/>
            <w:tcBorders>
              <w:top w:val="nil"/>
              <w:left w:val="nil"/>
              <w:bottom w:val="nil"/>
              <w:right w:val="nil"/>
            </w:tcBorders>
          </w:tcPr>
          <w:p w14:paraId="31DE219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(.389)</w:t>
            </w:r>
          </w:p>
          <w:p w14:paraId="31BB782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41787820" w14:textId="77777777" w:rsidTr="007D1505">
        <w:tc>
          <w:tcPr>
            <w:tcW w:w="3348" w:type="dxa"/>
            <w:tcBorders>
              <w:top w:val="nil"/>
              <w:left w:val="nil"/>
              <w:bottom w:val="nil"/>
              <w:right w:val="nil"/>
            </w:tcBorders>
          </w:tcPr>
          <w:p w14:paraId="26D86CFA"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LOGSZ</w:t>
            </w:r>
          </w:p>
        </w:tc>
        <w:tc>
          <w:tcPr>
            <w:tcW w:w="1980" w:type="dxa"/>
            <w:tcBorders>
              <w:top w:val="nil"/>
              <w:left w:val="nil"/>
              <w:bottom w:val="nil"/>
              <w:right w:val="nil"/>
            </w:tcBorders>
          </w:tcPr>
          <w:p w14:paraId="57D9835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c>
          <w:tcPr>
            <w:tcW w:w="2160" w:type="dxa"/>
            <w:tcBorders>
              <w:top w:val="nil"/>
              <w:left w:val="nil"/>
              <w:bottom w:val="nil"/>
              <w:right w:val="nil"/>
            </w:tcBorders>
          </w:tcPr>
          <w:p w14:paraId="4E91911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-.045</w:t>
            </w:r>
          </w:p>
        </w:tc>
      </w:tr>
      <w:tr w:rsidR="004E37EE" w:rsidRPr="007915F2" w14:paraId="3B1EDB8C" w14:textId="77777777" w:rsidTr="007D1505">
        <w:tc>
          <w:tcPr>
            <w:tcW w:w="3348" w:type="dxa"/>
            <w:tcBorders>
              <w:top w:val="nil"/>
              <w:left w:val="nil"/>
              <w:bottom w:val="nil"/>
              <w:right w:val="nil"/>
            </w:tcBorders>
          </w:tcPr>
          <w:p w14:paraId="45A529C2"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6C3FD1E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c>
          <w:tcPr>
            <w:tcW w:w="2160" w:type="dxa"/>
            <w:tcBorders>
              <w:top w:val="nil"/>
              <w:left w:val="nil"/>
              <w:bottom w:val="nil"/>
              <w:right w:val="nil"/>
            </w:tcBorders>
          </w:tcPr>
          <w:p w14:paraId="6764E11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(.054)</w:t>
            </w:r>
          </w:p>
          <w:p w14:paraId="241B01C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778E453F" w14:textId="77777777" w:rsidTr="007D1505">
        <w:tc>
          <w:tcPr>
            <w:tcW w:w="3348" w:type="dxa"/>
            <w:tcBorders>
              <w:top w:val="nil"/>
              <w:left w:val="nil"/>
              <w:bottom w:val="nil"/>
              <w:right w:val="nil"/>
            </w:tcBorders>
          </w:tcPr>
          <w:p w14:paraId="29D9579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_cons</w:t>
            </w:r>
          </w:p>
        </w:tc>
        <w:tc>
          <w:tcPr>
            <w:tcW w:w="1980" w:type="dxa"/>
            <w:tcBorders>
              <w:top w:val="nil"/>
              <w:left w:val="nil"/>
              <w:bottom w:val="nil"/>
              <w:right w:val="nil"/>
            </w:tcBorders>
          </w:tcPr>
          <w:p w14:paraId="1200F0A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5.812*</w:t>
            </w:r>
          </w:p>
        </w:tc>
        <w:tc>
          <w:tcPr>
            <w:tcW w:w="2160" w:type="dxa"/>
            <w:tcBorders>
              <w:top w:val="nil"/>
              <w:left w:val="nil"/>
              <w:bottom w:val="nil"/>
              <w:right w:val="nil"/>
            </w:tcBorders>
          </w:tcPr>
          <w:p w14:paraId="491CF92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6.263**</w:t>
            </w:r>
          </w:p>
        </w:tc>
      </w:tr>
      <w:tr w:rsidR="004E37EE" w:rsidRPr="007915F2" w14:paraId="1A9F6508" w14:textId="77777777" w:rsidTr="007D1505">
        <w:tc>
          <w:tcPr>
            <w:tcW w:w="3348" w:type="dxa"/>
            <w:tcBorders>
              <w:top w:val="nil"/>
              <w:left w:val="nil"/>
              <w:bottom w:val="nil"/>
              <w:right w:val="nil"/>
            </w:tcBorders>
          </w:tcPr>
          <w:p w14:paraId="28036F0F"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26C85EF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(2.99)</w:t>
            </w:r>
          </w:p>
        </w:tc>
        <w:tc>
          <w:tcPr>
            <w:tcW w:w="2160" w:type="dxa"/>
            <w:tcBorders>
              <w:top w:val="nil"/>
              <w:left w:val="nil"/>
              <w:bottom w:val="nil"/>
              <w:right w:val="nil"/>
            </w:tcBorders>
          </w:tcPr>
          <w:p w14:paraId="6FEF7B9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(3.05)</w:t>
            </w:r>
          </w:p>
          <w:p w14:paraId="5164947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3689607B" w14:textId="77777777" w:rsidTr="007D1505">
        <w:tc>
          <w:tcPr>
            <w:tcW w:w="3348" w:type="dxa"/>
            <w:tcBorders>
              <w:top w:val="nil"/>
              <w:left w:val="nil"/>
              <w:bottom w:val="nil"/>
              <w:right w:val="nil"/>
            </w:tcBorders>
          </w:tcPr>
          <w:p w14:paraId="6FF39D4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Observations</w:t>
            </w:r>
          </w:p>
        </w:tc>
        <w:tc>
          <w:tcPr>
            <w:tcW w:w="1980" w:type="dxa"/>
            <w:tcBorders>
              <w:top w:val="nil"/>
              <w:left w:val="nil"/>
              <w:bottom w:val="nil"/>
              <w:right w:val="nil"/>
            </w:tcBorders>
          </w:tcPr>
          <w:p w14:paraId="6FE6720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3105</w:t>
            </w:r>
          </w:p>
        </w:tc>
        <w:tc>
          <w:tcPr>
            <w:tcW w:w="2160" w:type="dxa"/>
            <w:tcBorders>
              <w:top w:val="nil"/>
              <w:left w:val="nil"/>
              <w:bottom w:val="nil"/>
              <w:right w:val="nil"/>
            </w:tcBorders>
          </w:tcPr>
          <w:p w14:paraId="76B2704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3105</w:t>
            </w:r>
          </w:p>
        </w:tc>
      </w:tr>
      <w:tr w:rsidR="004E37EE" w:rsidRPr="007915F2" w14:paraId="13CC9DED" w14:textId="77777777" w:rsidTr="007D1505">
        <w:tc>
          <w:tcPr>
            <w:tcW w:w="3348" w:type="dxa"/>
            <w:tcBorders>
              <w:top w:val="nil"/>
              <w:left w:val="nil"/>
              <w:bottom w:val="nil"/>
              <w:right w:val="nil"/>
            </w:tcBorders>
          </w:tcPr>
          <w:p w14:paraId="4F4713B1"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R-squared</w:t>
            </w:r>
          </w:p>
        </w:tc>
        <w:tc>
          <w:tcPr>
            <w:tcW w:w="1980" w:type="dxa"/>
            <w:tcBorders>
              <w:top w:val="nil"/>
              <w:left w:val="nil"/>
              <w:bottom w:val="nil"/>
              <w:right w:val="nil"/>
            </w:tcBorders>
          </w:tcPr>
          <w:p w14:paraId="74CB524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.015</w:t>
            </w:r>
          </w:p>
        </w:tc>
        <w:tc>
          <w:tcPr>
            <w:tcW w:w="2160" w:type="dxa"/>
            <w:tcBorders>
              <w:top w:val="nil"/>
              <w:left w:val="nil"/>
              <w:bottom w:val="nil"/>
              <w:right w:val="nil"/>
            </w:tcBorders>
          </w:tcPr>
          <w:p w14:paraId="37214E7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.015</w:t>
            </w:r>
          </w:p>
        </w:tc>
      </w:tr>
      <w:tr w:rsidR="004E37EE" w:rsidRPr="007915F2" w14:paraId="644CA2F5" w14:textId="77777777" w:rsidTr="007D1505">
        <w:tc>
          <w:tcPr>
            <w:tcW w:w="7488" w:type="dxa"/>
            <w:gridSpan w:val="3"/>
            <w:tcBorders>
              <w:top w:val="single" w:sz="6" w:space="0" w:color="auto"/>
              <w:left w:val="nil"/>
              <w:bottom w:val="nil"/>
              <w:right w:val="nil"/>
            </w:tcBorders>
          </w:tcPr>
          <w:p w14:paraId="2BD34D63" w14:textId="77777777" w:rsidR="004E37EE" w:rsidRPr="007915F2" w:rsidRDefault="004E37EE" w:rsidP="00D61CD6">
            <w:pPr>
              <w:widowControl w:val="0"/>
              <w:autoSpaceDE w:val="0"/>
              <w:autoSpaceDN w:val="0"/>
              <w:adjustRightInd w:val="0"/>
              <w:spacing w:after="0" w:line="240" w:lineRule="auto"/>
              <w:rPr>
                <w:rFonts w:ascii="Garamond" w:hAnsi="Garamond"/>
                <w:i/>
                <w:iCs/>
                <w:sz w:val="24"/>
                <w:szCs w:val="24"/>
              </w:rPr>
            </w:pPr>
            <w:r w:rsidRPr="007915F2">
              <w:rPr>
                <w:rFonts w:ascii="Garamond" w:hAnsi="Garamond"/>
                <w:i/>
                <w:iCs/>
                <w:sz w:val="24"/>
                <w:szCs w:val="24"/>
              </w:rPr>
              <w:t>Standard errors are in parentheses</w:t>
            </w:r>
          </w:p>
        </w:tc>
      </w:tr>
      <w:tr w:rsidR="004E37EE" w:rsidRPr="007915F2" w14:paraId="0CE2E926" w14:textId="77777777" w:rsidTr="007D1505">
        <w:tc>
          <w:tcPr>
            <w:tcW w:w="7488" w:type="dxa"/>
            <w:gridSpan w:val="3"/>
            <w:tcBorders>
              <w:top w:val="nil"/>
              <w:left w:val="nil"/>
              <w:bottom w:val="nil"/>
              <w:right w:val="nil"/>
            </w:tcBorders>
          </w:tcPr>
          <w:p w14:paraId="6B148298" w14:textId="77777777" w:rsidR="004E37EE" w:rsidRPr="007915F2" w:rsidRDefault="004E37EE" w:rsidP="00D61CD6">
            <w:pPr>
              <w:widowControl w:val="0"/>
              <w:autoSpaceDE w:val="0"/>
              <w:autoSpaceDN w:val="0"/>
              <w:adjustRightInd w:val="0"/>
              <w:spacing w:after="0" w:line="240" w:lineRule="auto"/>
              <w:rPr>
                <w:rFonts w:ascii="Garamond" w:hAnsi="Garamond"/>
                <w:i/>
                <w:iCs/>
                <w:sz w:val="24"/>
                <w:szCs w:val="24"/>
              </w:rPr>
            </w:pPr>
            <w:r w:rsidRPr="007915F2">
              <w:rPr>
                <w:rFonts w:ascii="Garamond" w:hAnsi="Garamond"/>
                <w:i/>
                <w:iCs/>
                <w:sz w:val="24"/>
                <w:szCs w:val="24"/>
              </w:rPr>
              <w:t xml:space="preserve">*** p&lt;.01, ** p&lt;.05, * p&lt;.1 </w:t>
            </w:r>
          </w:p>
        </w:tc>
      </w:tr>
      <w:tr w:rsidR="004E37EE" w:rsidRPr="007915F2" w14:paraId="269641F8" w14:textId="77777777" w:rsidTr="007D1505">
        <w:tc>
          <w:tcPr>
            <w:tcW w:w="7488" w:type="dxa"/>
            <w:gridSpan w:val="3"/>
            <w:tcBorders>
              <w:top w:val="nil"/>
              <w:left w:val="nil"/>
              <w:bottom w:val="nil"/>
              <w:right w:val="nil"/>
            </w:tcBorders>
          </w:tcPr>
          <w:p w14:paraId="781707E1"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p>
        </w:tc>
      </w:tr>
    </w:tbl>
    <w:p w14:paraId="6D6D8B0D" w14:textId="77777777" w:rsidR="004E37EE" w:rsidRPr="007915F2" w:rsidRDefault="004E37EE" w:rsidP="00D61CD6">
      <w:pPr>
        <w:spacing w:after="0" w:line="240" w:lineRule="auto"/>
        <w:rPr>
          <w:rFonts w:ascii="Garamond" w:hAnsi="Garamond"/>
          <w:sz w:val="24"/>
          <w:szCs w:val="24"/>
        </w:rPr>
      </w:pPr>
    </w:p>
    <w:p w14:paraId="1E7C6843" w14:textId="77777777" w:rsidR="004E37EE" w:rsidRPr="007915F2" w:rsidRDefault="004E37EE" w:rsidP="00D61CD6">
      <w:pPr>
        <w:spacing w:after="0" w:line="240" w:lineRule="auto"/>
        <w:rPr>
          <w:rFonts w:ascii="Garamond" w:hAnsi="Garamond"/>
          <w:sz w:val="24"/>
          <w:szCs w:val="24"/>
        </w:rPr>
      </w:pPr>
      <w:r w:rsidRPr="007915F2">
        <w:rPr>
          <w:rFonts w:ascii="Garamond" w:hAnsi="Garamond"/>
          <w:sz w:val="24"/>
          <w:szCs w:val="24"/>
        </w:rPr>
        <w:br w:type="page"/>
      </w:r>
    </w:p>
    <w:p w14:paraId="25B8939B" w14:textId="77777777" w:rsidR="004E37EE" w:rsidRPr="007915F2" w:rsidRDefault="004E37EE" w:rsidP="00D61CD6">
      <w:pPr>
        <w:spacing w:after="0" w:line="240" w:lineRule="auto"/>
        <w:rPr>
          <w:rFonts w:ascii="Garamond" w:hAnsi="Garamond"/>
          <w:sz w:val="24"/>
          <w:szCs w:val="24"/>
        </w:rPr>
      </w:pPr>
      <w:r w:rsidRPr="007915F2">
        <w:rPr>
          <w:rFonts w:ascii="Garamond" w:hAnsi="Garamond"/>
          <w:b/>
          <w:bCs/>
          <w:sz w:val="24"/>
          <w:szCs w:val="24"/>
        </w:rPr>
        <w:lastRenderedPageBreak/>
        <w:t>Table 6: Regression results excluding China: Dependent Variable is Q-Ratio</w:t>
      </w:r>
    </w:p>
    <w:tbl>
      <w:tblPr>
        <w:tblW w:w="0" w:type="auto"/>
        <w:tblLayout w:type="fixed"/>
        <w:tblLook w:val="0000" w:firstRow="0" w:lastRow="0" w:firstColumn="0" w:lastColumn="0" w:noHBand="0" w:noVBand="0"/>
      </w:tblPr>
      <w:tblGrid>
        <w:gridCol w:w="2808"/>
        <w:gridCol w:w="1980"/>
        <w:gridCol w:w="1980"/>
      </w:tblGrid>
      <w:tr w:rsidR="004E37EE" w:rsidRPr="007915F2" w14:paraId="280B7139" w14:textId="77777777" w:rsidTr="007D1505">
        <w:tc>
          <w:tcPr>
            <w:tcW w:w="2808" w:type="dxa"/>
            <w:tcBorders>
              <w:top w:val="single" w:sz="4" w:space="0" w:color="auto"/>
              <w:left w:val="nil"/>
              <w:bottom w:val="nil"/>
              <w:right w:val="nil"/>
            </w:tcBorders>
          </w:tcPr>
          <w:p w14:paraId="35035CC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w:t>
            </w:r>
          </w:p>
        </w:tc>
        <w:tc>
          <w:tcPr>
            <w:tcW w:w="1980" w:type="dxa"/>
            <w:tcBorders>
              <w:top w:val="single" w:sz="4" w:space="0" w:color="auto"/>
              <w:left w:val="nil"/>
              <w:bottom w:val="nil"/>
              <w:right w:val="nil"/>
            </w:tcBorders>
          </w:tcPr>
          <w:p w14:paraId="5D0C06D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(1)</w:t>
            </w:r>
          </w:p>
        </w:tc>
        <w:tc>
          <w:tcPr>
            <w:tcW w:w="1980" w:type="dxa"/>
            <w:tcBorders>
              <w:top w:val="single" w:sz="4" w:space="0" w:color="auto"/>
              <w:left w:val="nil"/>
              <w:bottom w:val="nil"/>
              <w:right w:val="nil"/>
            </w:tcBorders>
          </w:tcPr>
          <w:p w14:paraId="316FC5F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(2)</w:t>
            </w:r>
          </w:p>
        </w:tc>
      </w:tr>
      <w:tr w:rsidR="004E37EE" w:rsidRPr="007915F2" w14:paraId="2F6D6FAB" w14:textId="77777777" w:rsidTr="007D1505">
        <w:tc>
          <w:tcPr>
            <w:tcW w:w="2808" w:type="dxa"/>
            <w:tcBorders>
              <w:top w:val="nil"/>
              <w:left w:val="nil"/>
              <w:bottom w:val="single" w:sz="10" w:space="0" w:color="auto"/>
              <w:right w:val="nil"/>
            </w:tcBorders>
          </w:tcPr>
          <w:p w14:paraId="5A036A4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single" w:sz="10" w:space="0" w:color="auto"/>
              <w:right w:val="nil"/>
            </w:tcBorders>
          </w:tcPr>
          <w:p w14:paraId="5011061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c>
          <w:tcPr>
            <w:tcW w:w="1980" w:type="dxa"/>
            <w:tcBorders>
              <w:top w:val="nil"/>
              <w:left w:val="nil"/>
              <w:bottom w:val="single" w:sz="10" w:space="0" w:color="auto"/>
              <w:right w:val="nil"/>
            </w:tcBorders>
          </w:tcPr>
          <w:p w14:paraId="3822F06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0D522C5A" w14:textId="77777777" w:rsidTr="007D1505">
        <w:tc>
          <w:tcPr>
            <w:tcW w:w="2808" w:type="dxa"/>
            <w:tcBorders>
              <w:top w:val="nil"/>
              <w:left w:val="nil"/>
              <w:bottom w:val="nil"/>
              <w:right w:val="nil"/>
            </w:tcBorders>
          </w:tcPr>
          <w:p w14:paraId="1461BB35"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CLS</w:t>
            </w:r>
          </w:p>
        </w:tc>
        <w:tc>
          <w:tcPr>
            <w:tcW w:w="1980" w:type="dxa"/>
            <w:tcBorders>
              <w:top w:val="nil"/>
              <w:left w:val="nil"/>
              <w:bottom w:val="nil"/>
              <w:right w:val="nil"/>
            </w:tcBorders>
          </w:tcPr>
          <w:p w14:paraId="045789B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-.167</w:t>
            </w:r>
          </w:p>
        </w:tc>
        <w:tc>
          <w:tcPr>
            <w:tcW w:w="1980" w:type="dxa"/>
            <w:tcBorders>
              <w:top w:val="nil"/>
              <w:left w:val="nil"/>
              <w:bottom w:val="nil"/>
              <w:right w:val="nil"/>
            </w:tcBorders>
          </w:tcPr>
          <w:p w14:paraId="2D4A0FF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-.27</w:t>
            </w:r>
          </w:p>
        </w:tc>
      </w:tr>
      <w:tr w:rsidR="004E37EE" w:rsidRPr="007915F2" w14:paraId="42017D0D" w14:textId="77777777" w:rsidTr="007D1505">
        <w:tc>
          <w:tcPr>
            <w:tcW w:w="2808" w:type="dxa"/>
            <w:tcBorders>
              <w:top w:val="nil"/>
              <w:left w:val="nil"/>
              <w:bottom w:val="nil"/>
              <w:right w:val="nil"/>
            </w:tcBorders>
          </w:tcPr>
          <w:p w14:paraId="247C3B15"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4CF36BE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(.237)</w:t>
            </w:r>
          </w:p>
        </w:tc>
        <w:tc>
          <w:tcPr>
            <w:tcW w:w="1980" w:type="dxa"/>
            <w:tcBorders>
              <w:top w:val="nil"/>
              <w:left w:val="nil"/>
              <w:bottom w:val="nil"/>
              <w:right w:val="nil"/>
            </w:tcBorders>
          </w:tcPr>
          <w:p w14:paraId="318007A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(.233)</w:t>
            </w:r>
          </w:p>
          <w:p w14:paraId="17B2D0D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44EA4DDD" w14:textId="77777777" w:rsidTr="007D1505">
        <w:tc>
          <w:tcPr>
            <w:tcW w:w="2808" w:type="dxa"/>
            <w:tcBorders>
              <w:top w:val="nil"/>
              <w:left w:val="nil"/>
              <w:bottom w:val="nil"/>
              <w:right w:val="nil"/>
            </w:tcBorders>
          </w:tcPr>
          <w:p w14:paraId="4E272C1F"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EIG</w:t>
            </w:r>
          </w:p>
        </w:tc>
        <w:tc>
          <w:tcPr>
            <w:tcW w:w="1980" w:type="dxa"/>
            <w:tcBorders>
              <w:top w:val="nil"/>
              <w:left w:val="nil"/>
              <w:bottom w:val="nil"/>
              <w:right w:val="nil"/>
            </w:tcBorders>
          </w:tcPr>
          <w:p w14:paraId="4FD4774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.751</w:t>
            </w:r>
          </w:p>
        </w:tc>
        <w:tc>
          <w:tcPr>
            <w:tcW w:w="1980" w:type="dxa"/>
            <w:tcBorders>
              <w:top w:val="nil"/>
              <w:left w:val="nil"/>
              <w:bottom w:val="nil"/>
              <w:right w:val="nil"/>
            </w:tcBorders>
          </w:tcPr>
          <w:p w14:paraId="24F0CCB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.794</w:t>
            </w:r>
          </w:p>
        </w:tc>
      </w:tr>
      <w:tr w:rsidR="004E37EE" w:rsidRPr="007915F2" w14:paraId="3B3BD976" w14:textId="77777777" w:rsidTr="007D1505">
        <w:tc>
          <w:tcPr>
            <w:tcW w:w="2808" w:type="dxa"/>
            <w:tcBorders>
              <w:top w:val="nil"/>
              <w:left w:val="nil"/>
              <w:bottom w:val="nil"/>
              <w:right w:val="nil"/>
            </w:tcBorders>
          </w:tcPr>
          <w:p w14:paraId="6BB9F8C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58895D1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(.789)</w:t>
            </w:r>
          </w:p>
        </w:tc>
        <w:tc>
          <w:tcPr>
            <w:tcW w:w="1980" w:type="dxa"/>
            <w:tcBorders>
              <w:top w:val="nil"/>
              <w:left w:val="nil"/>
              <w:bottom w:val="nil"/>
              <w:right w:val="nil"/>
            </w:tcBorders>
          </w:tcPr>
          <w:p w14:paraId="28C5AFD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(.759)</w:t>
            </w:r>
          </w:p>
          <w:p w14:paraId="42F7E5E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7A920FED" w14:textId="77777777" w:rsidTr="007D1505">
        <w:tc>
          <w:tcPr>
            <w:tcW w:w="2808" w:type="dxa"/>
            <w:tcBorders>
              <w:top w:val="nil"/>
              <w:left w:val="nil"/>
              <w:bottom w:val="nil"/>
              <w:right w:val="nil"/>
            </w:tcBorders>
          </w:tcPr>
          <w:p w14:paraId="02125817"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ECC</w:t>
            </w:r>
          </w:p>
        </w:tc>
        <w:tc>
          <w:tcPr>
            <w:tcW w:w="1980" w:type="dxa"/>
            <w:tcBorders>
              <w:top w:val="nil"/>
              <w:left w:val="nil"/>
              <w:bottom w:val="nil"/>
              <w:right w:val="nil"/>
            </w:tcBorders>
          </w:tcPr>
          <w:p w14:paraId="14CA242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-.008</w:t>
            </w:r>
          </w:p>
        </w:tc>
        <w:tc>
          <w:tcPr>
            <w:tcW w:w="1980" w:type="dxa"/>
            <w:tcBorders>
              <w:top w:val="nil"/>
              <w:left w:val="nil"/>
              <w:bottom w:val="nil"/>
              <w:right w:val="nil"/>
            </w:tcBorders>
          </w:tcPr>
          <w:p w14:paraId="29D8BB3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-.033*</w:t>
            </w:r>
          </w:p>
        </w:tc>
      </w:tr>
      <w:tr w:rsidR="004E37EE" w:rsidRPr="007915F2" w14:paraId="6C5264A3" w14:textId="77777777" w:rsidTr="007D1505">
        <w:tc>
          <w:tcPr>
            <w:tcW w:w="2808" w:type="dxa"/>
            <w:tcBorders>
              <w:top w:val="nil"/>
              <w:left w:val="nil"/>
              <w:bottom w:val="nil"/>
              <w:right w:val="nil"/>
            </w:tcBorders>
          </w:tcPr>
          <w:p w14:paraId="507A0217"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73AF041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(.02)</w:t>
            </w:r>
          </w:p>
        </w:tc>
        <w:tc>
          <w:tcPr>
            <w:tcW w:w="1980" w:type="dxa"/>
            <w:tcBorders>
              <w:top w:val="nil"/>
              <w:left w:val="nil"/>
              <w:bottom w:val="nil"/>
              <w:right w:val="nil"/>
            </w:tcBorders>
          </w:tcPr>
          <w:p w14:paraId="1C3D017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(.02)</w:t>
            </w:r>
          </w:p>
          <w:p w14:paraId="6B6DBF5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4529C3C6" w14:textId="77777777" w:rsidTr="007D1505">
        <w:tc>
          <w:tcPr>
            <w:tcW w:w="2808" w:type="dxa"/>
            <w:tcBorders>
              <w:top w:val="nil"/>
              <w:left w:val="nil"/>
              <w:bottom w:val="nil"/>
              <w:right w:val="nil"/>
            </w:tcBorders>
          </w:tcPr>
          <w:p w14:paraId="2FEBC11E"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ATH</w:t>
            </w:r>
          </w:p>
        </w:tc>
        <w:tc>
          <w:tcPr>
            <w:tcW w:w="1980" w:type="dxa"/>
            <w:tcBorders>
              <w:top w:val="nil"/>
              <w:left w:val="nil"/>
              <w:bottom w:val="nil"/>
              <w:right w:val="nil"/>
            </w:tcBorders>
          </w:tcPr>
          <w:p w14:paraId="025C782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1.312</w:t>
            </w:r>
          </w:p>
        </w:tc>
        <w:tc>
          <w:tcPr>
            <w:tcW w:w="1980" w:type="dxa"/>
            <w:tcBorders>
              <w:top w:val="nil"/>
              <w:left w:val="nil"/>
              <w:bottom w:val="nil"/>
              <w:right w:val="nil"/>
            </w:tcBorders>
          </w:tcPr>
          <w:p w14:paraId="3079A13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1.78</w:t>
            </w:r>
          </w:p>
        </w:tc>
      </w:tr>
      <w:tr w:rsidR="004E37EE" w:rsidRPr="007915F2" w14:paraId="68BFE083" w14:textId="77777777" w:rsidTr="007D1505">
        <w:tc>
          <w:tcPr>
            <w:tcW w:w="2808" w:type="dxa"/>
            <w:tcBorders>
              <w:top w:val="nil"/>
              <w:left w:val="nil"/>
              <w:bottom w:val="nil"/>
              <w:right w:val="nil"/>
            </w:tcBorders>
          </w:tcPr>
          <w:p w14:paraId="6E484DC8"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66DCDD1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(2.086)</w:t>
            </w:r>
          </w:p>
        </w:tc>
        <w:tc>
          <w:tcPr>
            <w:tcW w:w="1980" w:type="dxa"/>
            <w:tcBorders>
              <w:top w:val="nil"/>
              <w:left w:val="nil"/>
              <w:bottom w:val="nil"/>
              <w:right w:val="nil"/>
            </w:tcBorders>
          </w:tcPr>
          <w:p w14:paraId="421B1A9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(2.152)</w:t>
            </w:r>
          </w:p>
          <w:p w14:paraId="24D70AA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60E64D0F" w14:textId="77777777" w:rsidTr="007D1505">
        <w:tc>
          <w:tcPr>
            <w:tcW w:w="2808" w:type="dxa"/>
            <w:tcBorders>
              <w:top w:val="nil"/>
              <w:left w:val="nil"/>
              <w:bottom w:val="nil"/>
              <w:right w:val="nil"/>
            </w:tcBorders>
          </w:tcPr>
          <w:p w14:paraId="2414DE81"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PGE</w:t>
            </w:r>
          </w:p>
        </w:tc>
        <w:tc>
          <w:tcPr>
            <w:tcW w:w="1980" w:type="dxa"/>
            <w:tcBorders>
              <w:top w:val="nil"/>
              <w:left w:val="nil"/>
              <w:bottom w:val="nil"/>
              <w:right w:val="nil"/>
            </w:tcBorders>
          </w:tcPr>
          <w:p w14:paraId="4FA8B75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-950.484***</w:t>
            </w:r>
          </w:p>
        </w:tc>
        <w:tc>
          <w:tcPr>
            <w:tcW w:w="1980" w:type="dxa"/>
            <w:tcBorders>
              <w:top w:val="nil"/>
              <w:left w:val="nil"/>
              <w:bottom w:val="nil"/>
              <w:right w:val="nil"/>
            </w:tcBorders>
          </w:tcPr>
          <w:p w14:paraId="168E01C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-810.055***</w:t>
            </w:r>
          </w:p>
        </w:tc>
      </w:tr>
      <w:tr w:rsidR="004E37EE" w:rsidRPr="007915F2" w14:paraId="28B2CC36" w14:textId="77777777" w:rsidTr="007D1505">
        <w:tc>
          <w:tcPr>
            <w:tcW w:w="2808" w:type="dxa"/>
            <w:tcBorders>
              <w:top w:val="nil"/>
              <w:left w:val="nil"/>
              <w:bottom w:val="nil"/>
              <w:right w:val="nil"/>
            </w:tcBorders>
          </w:tcPr>
          <w:p w14:paraId="7E2733A1"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40F4990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(219.85)</w:t>
            </w:r>
          </w:p>
        </w:tc>
        <w:tc>
          <w:tcPr>
            <w:tcW w:w="1980" w:type="dxa"/>
            <w:tcBorders>
              <w:top w:val="nil"/>
              <w:left w:val="nil"/>
              <w:bottom w:val="nil"/>
              <w:right w:val="nil"/>
            </w:tcBorders>
          </w:tcPr>
          <w:p w14:paraId="029E9C6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(218.044)</w:t>
            </w:r>
          </w:p>
          <w:p w14:paraId="19E2B12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6DFD724" w14:textId="77777777" w:rsidTr="007D1505">
        <w:tc>
          <w:tcPr>
            <w:tcW w:w="2808" w:type="dxa"/>
            <w:tcBorders>
              <w:top w:val="nil"/>
              <w:left w:val="nil"/>
              <w:bottom w:val="nil"/>
              <w:right w:val="nil"/>
            </w:tcBorders>
          </w:tcPr>
          <w:p w14:paraId="6E50F015"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IDG</w:t>
            </w:r>
          </w:p>
        </w:tc>
        <w:tc>
          <w:tcPr>
            <w:tcW w:w="1980" w:type="dxa"/>
            <w:tcBorders>
              <w:top w:val="nil"/>
              <w:left w:val="nil"/>
              <w:bottom w:val="nil"/>
              <w:right w:val="nil"/>
            </w:tcBorders>
          </w:tcPr>
          <w:p w14:paraId="321745D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.014***</w:t>
            </w:r>
          </w:p>
        </w:tc>
        <w:tc>
          <w:tcPr>
            <w:tcW w:w="1980" w:type="dxa"/>
            <w:tcBorders>
              <w:top w:val="nil"/>
              <w:left w:val="nil"/>
              <w:bottom w:val="nil"/>
              <w:right w:val="nil"/>
            </w:tcBorders>
          </w:tcPr>
          <w:p w14:paraId="41E059B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.023***</w:t>
            </w:r>
          </w:p>
        </w:tc>
      </w:tr>
      <w:tr w:rsidR="004E37EE" w:rsidRPr="007915F2" w14:paraId="32F59291" w14:textId="77777777" w:rsidTr="007D1505">
        <w:tc>
          <w:tcPr>
            <w:tcW w:w="2808" w:type="dxa"/>
            <w:tcBorders>
              <w:top w:val="nil"/>
              <w:left w:val="nil"/>
              <w:bottom w:val="nil"/>
              <w:right w:val="nil"/>
            </w:tcBorders>
          </w:tcPr>
          <w:p w14:paraId="644D695A"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08CF836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(.003)</w:t>
            </w:r>
          </w:p>
        </w:tc>
        <w:tc>
          <w:tcPr>
            <w:tcW w:w="1980" w:type="dxa"/>
            <w:tcBorders>
              <w:top w:val="nil"/>
              <w:left w:val="nil"/>
              <w:bottom w:val="nil"/>
              <w:right w:val="nil"/>
            </w:tcBorders>
          </w:tcPr>
          <w:p w14:paraId="1BF0DAD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(.003)</w:t>
            </w:r>
          </w:p>
          <w:p w14:paraId="02091EF7"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7738001" w14:textId="77777777" w:rsidTr="007D1505">
        <w:tc>
          <w:tcPr>
            <w:tcW w:w="2808" w:type="dxa"/>
            <w:tcBorders>
              <w:top w:val="nil"/>
              <w:left w:val="nil"/>
              <w:bottom w:val="nil"/>
              <w:right w:val="nil"/>
            </w:tcBorders>
          </w:tcPr>
          <w:p w14:paraId="12049E4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ODG</w:t>
            </w:r>
          </w:p>
        </w:tc>
        <w:tc>
          <w:tcPr>
            <w:tcW w:w="1980" w:type="dxa"/>
            <w:tcBorders>
              <w:top w:val="nil"/>
              <w:left w:val="nil"/>
              <w:bottom w:val="nil"/>
              <w:right w:val="nil"/>
            </w:tcBorders>
          </w:tcPr>
          <w:p w14:paraId="5639770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.002</w:t>
            </w:r>
          </w:p>
        </w:tc>
        <w:tc>
          <w:tcPr>
            <w:tcW w:w="1980" w:type="dxa"/>
            <w:tcBorders>
              <w:top w:val="nil"/>
              <w:left w:val="nil"/>
              <w:bottom w:val="nil"/>
              <w:right w:val="nil"/>
            </w:tcBorders>
          </w:tcPr>
          <w:p w14:paraId="7597B12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-.004</w:t>
            </w:r>
          </w:p>
        </w:tc>
      </w:tr>
      <w:tr w:rsidR="004E37EE" w:rsidRPr="007915F2" w14:paraId="7B4B8370" w14:textId="77777777" w:rsidTr="007D1505">
        <w:tc>
          <w:tcPr>
            <w:tcW w:w="2808" w:type="dxa"/>
            <w:tcBorders>
              <w:top w:val="nil"/>
              <w:left w:val="nil"/>
              <w:bottom w:val="nil"/>
              <w:right w:val="nil"/>
            </w:tcBorders>
          </w:tcPr>
          <w:p w14:paraId="05027C9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4B7322C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(.004)</w:t>
            </w:r>
          </w:p>
        </w:tc>
        <w:tc>
          <w:tcPr>
            <w:tcW w:w="1980" w:type="dxa"/>
            <w:tcBorders>
              <w:top w:val="nil"/>
              <w:left w:val="nil"/>
              <w:bottom w:val="nil"/>
              <w:right w:val="nil"/>
            </w:tcBorders>
          </w:tcPr>
          <w:p w14:paraId="1B09BEF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(.004)</w:t>
            </w:r>
          </w:p>
          <w:p w14:paraId="5FEF52E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9FF029D" w14:textId="77777777" w:rsidTr="007D1505">
        <w:tc>
          <w:tcPr>
            <w:tcW w:w="2808" w:type="dxa"/>
            <w:tcBorders>
              <w:top w:val="nil"/>
              <w:left w:val="nil"/>
              <w:bottom w:val="nil"/>
              <w:right w:val="nil"/>
            </w:tcBorders>
          </w:tcPr>
          <w:p w14:paraId="1AFE49A4"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CLT</w:t>
            </w:r>
          </w:p>
        </w:tc>
        <w:tc>
          <w:tcPr>
            <w:tcW w:w="1980" w:type="dxa"/>
            <w:tcBorders>
              <w:top w:val="nil"/>
              <w:left w:val="nil"/>
              <w:bottom w:val="nil"/>
              <w:right w:val="nil"/>
            </w:tcBorders>
          </w:tcPr>
          <w:p w14:paraId="285BC61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-2.13***</w:t>
            </w:r>
          </w:p>
        </w:tc>
        <w:tc>
          <w:tcPr>
            <w:tcW w:w="1980" w:type="dxa"/>
            <w:tcBorders>
              <w:top w:val="nil"/>
              <w:left w:val="nil"/>
              <w:bottom w:val="nil"/>
              <w:right w:val="nil"/>
            </w:tcBorders>
          </w:tcPr>
          <w:p w14:paraId="63CA111A"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-1.343*</w:t>
            </w:r>
          </w:p>
        </w:tc>
      </w:tr>
      <w:tr w:rsidR="004E37EE" w:rsidRPr="007915F2" w14:paraId="4D8A32B5" w14:textId="77777777" w:rsidTr="007D1505">
        <w:tc>
          <w:tcPr>
            <w:tcW w:w="2808" w:type="dxa"/>
            <w:tcBorders>
              <w:top w:val="nil"/>
              <w:left w:val="nil"/>
              <w:bottom w:val="nil"/>
              <w:right w:val="nil"/>
            </w:tcBorders>
          </w:tcPr>
          <w:p w14:paraId="271417A7"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48DC3A9C"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(.735)</w:t>
            </w:r>
          </w:p>
        </w:tc>
        <w:tc>
          <w:tcPr>
            <w:tcW w:w="1980" w:type="dxa"/>
            <w:tcBorders>
              <w:top w:val="nil"/>
              <w:left w:val="nil"/>
              <w:bottom w:val="nil"/>
              <w:right w:val="nil"/>
            </w:tcBorders>
          </w:tcPr>
          <w:p w14:paraId="43C13D73"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(.715)</w:t>
            </w:r>
          </w:p>
          <w:p w14:paraId="675F494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58A211FE" w14:textId="77777777" w:rsidTr="007D1505">
        <w:tc>
          <w:tcPr>
            <w:tcW w:w="2808" w:type="dxa"/>
            <w:tcBorders>
              <w:top w:val="nil"/>
              <w:left w:val="nil"/>
              <w:bottom w:val="nil"/>
              <w:right w:val="nil"/>
            </w:tcBorders>
          </w:tcPr>
          <w:p w14:paraId="49C81967"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CSZ</w:t>
            </w:r>
          </w:p>
        </w:tc>
        <w:tc>
          <w:tcPr>
            <w:tcW w:w="1980" w:type="dxa"/>
            <w:tcBorders>
              <w:top w:val="nil"/>
              <w:left w:val="nil"/>
              <w:bottom w:val="nil"/>
              <w:right w:val="nil"/>
            </w:tcBorders>
          </w:tcPr>
          <w:p w14:paraId="1C83617B"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-.001***</w:t>
            </w:r>
          </w:p>
        </w:tc>
        <w:tc>
          <w:tcPr>
            <w:tcW w:w="1980" w:type="dxa"/>
            <w:tcBorders>
              <w:top w:val="nil"/>
              <w:left w:val="nil"/>
              <w:bottom w:val="nil"/>
              <w:right w:val="nil"/>
            </w:tcBorders>
          </w:tcPr>
          <w:p w14:paraId="773F761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-.001***</w:t>
            </w:r>
          </w:p>
        </w:tc>
      </w:tr>
      <w:tr w:rsidR="004E37EE" w:rsidRPr="007915F2" w14:paraId="09723263" w14:textId="77777777" w:rsidTr="007D1505">
        <w:tc>
          <w:tcPr>
            <w:tcW w:w="2808" w:type="dxa"/>
            <w:tcBorders>
              <w:top w:val="nil"/>
              <w:left w:val="nil"/>
              <w:bottom w:val="nil"/>
              <w:right w:val="nil"/>
            </w:tcBorders>
          </w:tcPr>
          <w:p w14:paraId="5C991B9B"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78C4FD7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w:t>
            </w:r>
          </w:p>
        </w:tc>
        <w:tc>
          <w:tcPr>
            <w:tcW w:w="1980" w:type="dxa"/>
            <w:tcBorders>
              <w:top w:val="nil"/>
              <w:left w:val="nil"/>
              <w:bottom w:val="nil"/>
              <w:right w:val="nil"/>
            </w:tcBorders>
          </w:tcPr>
          <w:p w14:paraId="383BED15"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w:t>
            </w:r>
          </w:p>
          <w:p w14:paraId="6E032368"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6019A42E" w14:textId="77777777" w:rsidTr="007D1505">
        <w:tc>
          <w:tcPr>
            <w:tcW w:w="2808" w:type="dxa"/>
            <w:tcBorders>
              <w:top w:val="nil"/>
              <w:left w:val="nil"/>
              <w:bottom w:val="nil"/>
              <w:right w:val="nil"/>
            </w:tcBorders>
          </w:tcPr>
          <w:p w14:paraId="7D03BF20"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TIR</w:t>
            </w:r>
          </w:p>
        </w:tc>
        <w:tc>
          <w:tcPr>
            <w:tcW w:w="1980" w:type="dxa"/>
            <w:tcBorders>
              <w:top w:val="nil"/>
              <w:left w:val="nil"/>
              <w:bottom w:val="nil"/>
              <w:right w:val="nil"/>
            </w:tcBorders>
          </w:tcPr>
          <w:p w14:paraId="13C8338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-.307***</w:t>
            </w:r>
          </w:p>
        </w:tc>
        <w:tc>
          <w:tcPr>
            <w:tcW w:w="1980" w:type="dxa"/>
            <w:tcBorders>
              <w:top w:val="nil"/>
              <w:left w:val="nil"/>
              <w:bottom w:val="nil"/>
              <w:right w:val="nil"/>
            </w:tcBorders>
          </w:tcPr>
          <w:p w14:paraId="026E64B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-.248***</w:t>
            </w:r>
          </w:p>
        </w:tc>
      </w:tr>
      <w:tr w:rsidR="004E37EE" w:rsidRPr="007915F2" w14:paraId="0158AD84" w14:textId="77777777" w:rsidTr="007D1505">
        <w:tc>
          <w:tcPr>
            <w:tcW w:w="2808" w:type="dxa"/>
            <w:tcBorders>
              <w:top w:val="nil"/>
              <w:left w:val="nil"/>
              <w:bottom w:val="nil"/>
              <w:right w:val="nil"/>
            </w:tcBorders>
          </w:tcPr>
          <w:p w14:paraId="52BC564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1E478D6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(.049)</w:t>
            </w:r>
          </w:p>
        </w:tc>
        <w:tc>
          <w:tcPr>
            <w:tcW w:w="1980" w:type="dxa"/>
            <w:tcBorders>
              <w:top w:val="nil"/>
              <w:left w:val="nil"/>
              <w:bottom w:val="nil"/>
              <w:right w:val="nil"/>
            </w:tcBorders>
          </w:tcPr>
          <w:p w14:paraId="3A099D69"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(.048)</w:t>
            </w:r>
          </w:p>
          <w:p w14:paraId="1DE8A6E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69CFB498" w14:textId="77777777" w:rsidTr="007D1505">
        <w:tc>
          <w:tcPr>
            <w:tcW w:w="2808" w:type="dxa"/>
            <w:tcBorders>
              <w:top w:val="nil"/>
              <w:left w:val="nil"/>
              <w:bottom w:val="nil"/>
              <w:right w:val="nil"/>
            </w:tcBorders>
          </w:tcPr>
          <w:p w14:paraId="42054525"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LOGSZ</w:t>
            </w:r>
          </w:p>
        </w:tc>
        <w:tc>
          <w:tcPr>
            <w:tcW w:w="1980" w:type="dxa"/>
            <w:tcBorders>
              <w:top w:val="nil"/>
              <w:left w:val="nil"/>
              <w:bottom w:val="nil"/>
              <w:right w:val="nil"/>
            </w:tcBorders>
          </w:tcPr>
          <w:p w14:paraId="5F3A6C0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c>
          <w:tcPr>
            <w:tcW w:w="1980" w:type="dxa"/>
            <w:tcBorders>
              <w:top w:val="nil"/>
              <w:left w:val="nil"/>
              <w:bottom w:val="nil"/>
              <w:right w:val="nil"/>
            </w:tcBorders>
          </w:tcPr>
          <w:p w14:paraId="5F4EB70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-.082***</w:t>
            </w:r>
          </w:p>
        </w:tc>
      </w:tr>
      <w:tr w:rsidR="004E37EE" w:rsidRPr="007915F2" w14:paraId="44452638" w14:textId="77777777" w:rsidTr="007D1505">
        <w:tc>
          <w:tcPr>
            <w:tcW w:w="2808" w:type="dxa"/>
            <w:tcBorders>
              <w:top w:val="nil"/>
              <w:left w:val="nil"/>
              <w:bottom w:val="nil"/>
              <w:right w:val="nil"/>
            </w:tcBorders>
          </w:tcPr>
          <w:p w14:paraId="6050287F"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w:t>
            </w:r>
          </w:p>
        </w:tc>
        <w:tc>
          <w:tcPr>
            <w:tcW w:w="1980" w:type="dxa"/>
            <w:tcBorders>
              <w:top w:val="nil"/>
              <w:left w:val="nil"/>
              <w:bottom w:val="nil"/>
              <w:right w:val="nil"/>
            </w:tcBorders>
          </w:tcPr>
          <w:p w14:paraId="7E2E84F2"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c>
          <w:tcPr>
            <w:tcW w:w="1980" w:type="dxa"/>
            <w:tcBorders>
              <w:top w:val="nil"/>
              <w:left w:val="nil"/>
              <w:bottom w:val="nil"/>
              <w:right w:val="nil"/>
            </w:tcBorders>
          </w:tcPr>
          <w:p w14:paraId="59AF3EE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(.006)</w:t>
            </w:r>
          </w:p>
          <w:p w14:paraId="330E3CF4"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2C4AB70C" w14:textId="77777777" w:rsidTr="007D1505">
        <w:tc>
          <w:tcPr>
            <w:tcW w:w="2808" w:type="dxa"/>
            <w:tcBorders>
              <w:top w:val="nil"/>
              <w:left w:val="nil"/>
              <w:bottom w:val="nil"/>
              <w:right w:val="nil"/>
            </w:tcBorders>
          </w:tcPr>
          <w:p w14:paraId="2BD81A6C"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_cons</w:t>
            </w:r>
          </w:p>
        </w:tc>
        <w:tc>
          <w:tcPr>
            <w:tcW w:w="1980" w:type="dxa"/>
            <w:tcBorders>
              <w:top w:val="nil"/>
              <w:left w:val="nil"/>
              <w:bottom w:val="nil"/>
              <w:right w:val="nil"/>
            </w:tcBorders>
          </w:tcPr>
          <w:p w14:paraId="1C7A602D"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3.572***</w:t>
            </w:r>
          </w:p>
        </w:tc>
        <w:tc>
          <w:tcPr>
            <w:tcW w:w="1980" w:type="dxa"/>
            <w:tcBorders>
              <w:top w:val="nil"/>
              <w:left w:val="nil"/>
              <w:bottom w:val="nil"/>
              <w:right w:val="nil"/>
            </w:tcBorders>
          </w:tcPr>
          <w:p w14:paraId="1DC86801"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4.368***</w:t>
            </w:r>
          </w:p>
        </w:tc>
      </w:tr>
      <w:tr w:rsidR="004E37EE" w:rsidRPr="007915F2" w14:paraId="4D7BA392" w14:textId="77777777" w:rsidTr="007D1505">
        <w:tc>
          <w:tcPr>
            <w:tcW w:w="2808" w:type="dxa"/>
            <w:tcBorders>
              <w:top w:val="nil"/>
              <w:left w:val="nil"/>
              <w:bottom w:val="nil"/>
              <w:right w:val="nil"/>
            </w:tcBorders>
          </w:tcPr>
          <w:p w14:paraId="495D022E"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p>
        </w:tc>
        <w:tc>
          <w:tcPr>
            <w:tcW w:w="1980" w:type="dxa"/>
            <w:tcBorders>
              <w:top w:val="nil"/>
              <w:left w:val="nil"/>
              <w:bottom w:val="nil"/>
              <w:right w:val="nil"/>
            </w:tcBorders>
          </w:tcPr>
          <w:p w14:paraId="102968B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(.379)</w:t>
            </w:r>
          </w:p>
        </w:tc>
        <w:tc>
          <w:tcPr>
            <w:tcW w:w="1980" w:type="dxa"/>
            <w:tcBorders>
              <w:top w:val="nil"/>
              <w:left w:val="nil"/>
              <w:bottom w:val="nil"/>
              <w:right w:val="nil"/>
            </w:tcBorders>
          </w:tcPr>
          <w:p w14:paraId="1FA4062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(.376)</w:t>
            </w:r>
          </w:p>
          <w:p w14:paraId="728E05A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p>
        </w:tc>
      </w:tr>
      <w:tr w:rsidR="004E37EE" w:rsidRPr="007915F2" w14:paraId="7A6B5D66" w14:textId="77777777" w:rsidTr="007D1505">
        <w:tc>
          <w:tcPr>
            <w:tcW w:w="2808" w:type="dxa"/>
            <w:tcBorders>
              <w:top w:val="nil"/>
              <w:left w:val="nil"/>
              <w:bottom w:val="nil"/>
              <w:right w:val="nil"/>
            </w:tcBorders>
          </w:tcPr>
          <w:p w14:paraId="1B3EF208"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Observations</w:t>
            </w:r>
          </w:p>
        </w:tc>
        <w:tc>
          <w:tcPr>
            <w:tcW w:w="1980" w:type="dxa"/>
            <w:tcBorders>
              <w:top w:val="nil"/>
              <w:left w:val="nil"/>
              <w:bottom w:val="nil"/>
              <w:right w:val="nil"/>
            </w:tcBorders>
          </w:tcPr>
          <w:p w14:paraId="58D7D626"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3179</w:t>
            </w:r>
          </w:p>
        </w:tc>
        <w:tc>
          <w:tcPr>
            <w:tcW w:w="1980" w:type="dxa"/>
            <w:tcBorders>
              <w:top w:val="nil"/>
              <w:left w:val="nil"/>
              <w:bottom w:val="nil"/>
              <w:right w:val="nil"/>
            </w:tcBorders>
          </w:tcPr>
          <w:p w14:paraId="6B3F6750"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3179</w:t>
            </w:r>
          </w:p>
        </w:tc>
      </w:tr>
      <w:tr w:rsidR="004E37EE" w:rsidRPr="007915F2" w14:paraId="073CD802" w14:textId="77777777" w:rsidTr="007D1505">
        <w:tc>
          <w:tcPr>
            <w:tcW w:w="2808" w:type="dxa"/>
            <w:tcBorders>
              <w:top w:val="nil"/>
              <w:left w:val="nil"/>
              <w:bottom w:val="nil"/>
              <w:right w:val="nil"/>
            </w:tcBorders>
          </w:tcPr>
          <w:p w14:paraId="03EAFD48" w14:textId="77777777" w:rsidR="004E37EE" w:rsidRPr="007915F2" w:rsidRDefault="004E37EE" w:rsidP="00D61CD6">
            <w:pPr>
              <w:widowControl w:val="0"/>
              <w:autoSpaceDE w:val="0"/>
              <w:autoSpaceDN w:val="0"/>
              <w:adjustRightInd w:val="0"/>
              <w:spacing w:after="0" w:line="240" w:lineRule="auto"/>
              <w:rPr>
                <w:rFonts w:ascii="Garamond" w:hAnsi="Garamond"/>
                <w:sz w:val="24"/>
                <w:szCs w:val="24"/>
              </w:rPr>
            </w:pPr>
            <w:r w:rsidRPr="007915F2">
              <w:rPr>
                <w:rFonts w:ascii="Garamond" w:hAnsi="Garamond"/>
                <w:sz w:val="24"/>
                <w:szCs w:val="24"/>
              </w:rPr>
              <w:t xml:space="preserve"> R-squared</w:t>
            </w:r>
          </w:p>
        </w:tc>
        <w:tc>
          <w:tcPr>
            <w:tcW w:w="1980" w:type="dxa"/>
            <w:tcBorders>
              <w:top w:val="nil"/>
              <w:left w:val="nil"/>
              <w:bottom w:val="nil"/>
              <w:right w:val="nil"/>
            </w:tcBorders>
          </w:tcPr>
          <w:p w14:paraId="690363EF"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.058</w:t>
            </w:r>
          </w:p>
        </w:tc>
        <w:tc>
          <w:tcPr>
            <w:tcW w:w="1980" w:type="dxa"/>
            <w:tcBorders>
              <w:top w:val="nil"/>
              <w:left w:val="nil"/>
              <w:bottom w:val="nil"/>
              <w:right w:val="nil"/>
            </w:tcBorders>
          </w:tcPr>
          <w:p w14:paraId="421DAB2E" w14:textId="77777777" w:rsidR="004E37EE" w:rsidRPr="007915F2" w:rsidRDefault="004E37EE" w:rsidP="00D61CD6">
            <w:pPr>
              <w:widowControl w:val="0"/>
              <w:autoSpaceDE w:val="0"/>
              <w:autoSpaceDN w:val="0"/>
              <w:adjustRightInd w:val="0"/>
              <w:spacing w:after="0" w:line="240" w:lineRule="auto"/>
              <w:jc w:val="center"/>
              <w:rPr>
                <w:rFonts w:ascii="Garamond" w:hAnsi="Garamond"/>
                <w:sz w:val="24"/>
                <w:szCs w:val="24"/>
              </w:rPr>
            </w:pPr>
            <w:r w:rsidRPr="007915F2">
              <w:rPr>
                <w:rFonts w:ascii="Garamond" w:hAnsi="Garamond"/>
                <w:sz w:val="24"/>
                <w:szCs w:val="24"/>
              </w:rPr>
              <w:t>.102</w:t>
            </w:r>
          </w:p>
        </w:tc>
      </w:tr>
      <w:tr w:rsidR="004E37EE" w:rsidRPr="007915F2" w14:paraId="2107FDAD" w14:textId="77777777" w:rsidTr="007D1505">
        <w:tc>
          <w:tcPr>
            <w:tcW w:w="6768" w:type="dxa"/>
            <w:gridSpan w:val="3"/>
            <w:tcBorders>
              <w:top w:val="single" w:sz="6" w:space="0" w:color="auto"/>
              <w:left w:val="nil"/>
              <w:bottom w:val="nil"/>
              <w:right w:val="nil"/>
            </w:tcBorders>
          </w:tcPr>
          <w:p w14:paraId="44378577" w14:textId="77777777" w:rsidR="004E37EE" w:rsidRPr="007915F2" w:rsidRDefault="004E37EE" w:rsidP="00D61CD6">
            <w:pPr>
              <w:widowControl w:val="0"/>
              <w:autoSpaceDE w:val="0"/>
              <w:autoSpaceDN w:val="0"/>
              <w:adjustRightInd w:val="0"/>
              <w:spacing w:after="0" w:line="240" w:lineRule="auto"/>
              <w:rPr>
                <w:rFonts w:ascii="Garamond" w:hAnsi="Garamond"/>
                <w:i/>
                <w:iCs/>
                <w:sz w:val="24"/>
                <w:szCs w:val="24"/>
              </w:rPr>
            </w:pPr>
            <w:r w:rsidRPr="007915F2">
              <w:rPr>
                <w:rFonts w:ascii="Garamond" w:hAnsi="Garamond"/>
                <w:i/>
                <w:iCs/>
                <w:sz w:val="24"/>
                <w:szCs w:val="24"/>
              </w:rPr>
              <w:t>Standard errors are in parentheses</w:t>
            </w:r>
          </w:p>
        </w:tc>
      </w:tr>
      <w:tr w:rsidR="004E37EE" w:rsidRPr="0093071C" w14:paraId="4BCAA881" w14:textId="77777777" w:rsidTr="007D1505">
        <w:tc>
          <w:tcPr>
            <w:tcW w:w="6768" w:type="dxa"/>
            <w:gridSpan w:val="3"/>
            <w:tcBorders>
              <w:top w:val="nil"/>
              <w:left w:val="nil"/>
              <w:bottom w:val="nil"/>
              <w:right w:val="nil"/>
            </w:tcBorders>
          </w:tcPr>
          <w:p w14:paraId="4A9B8859" w14:textId="77777777" w:rsidR="004E37EE" w:rsidRPr="0093071C" w:rsidRDefault="004E37EE" w:rsidP="00D61CD6">
            <w:pPr>
              <w:widowControl w:val="0"/>
              <w:autoSpaceDE w:val="0"/>
              <w:autoSpaceDN w:val="0"/>
              <w:adjustRightInd w:val="0"/>
              <w:spacing w:after="0" w:line="240" w:lineRule="auto"/>
              <w:rPr>
                <w:rFonts w:ascii="Garamond" w:hAnsi="Garamond"/>
                <w:i/>
                <w:iCs/>
                <w:sz w:val="24"/>
                <w:szCs w:val="24"/>
              </w:rPr>
            </w:pPr>
            <w:r w:rsidRPr="007915F2">
              <w:rPr>
                <w:rFonts w:ascii="Garamond" w:hAnsi="Garamond"/>
                <w:i/>
                <w:iCs/>
                <w:sz w:val="24"/>
                <w:szCs w:val="24"/>
              </w:rPr>
              <w:t>*** p&lt;.01, ** p&lt;.05, * p&lt;.1</w:t>
            </w:r>
            <w:r w:rsidRPr="0093071C">
              <w:rPr>
                <w:rFonts w:ascii="Garamond" w:hAnsi="Garamond"/>
                <w:i/>
                <w:iCs/>
                <w:sz w:val="24"/>
                <w:szCs w:val="24"/>
              </w:rPr>
              <w:t xml:space="preserve"> </w:t>
            </w:r>
          </w:p>
        </w:tc>
      </w:tr>
      <w:tr w:rsidR="004E37EE" w:rsidRPr="0093071C" w14:paraId="3708AF96" w14:textId="77777777" w:rsidTr="007D1505">
        <w:tc>
          <w:tcPr>
            <w:tcW w:w="6768" w:type="dxa"/>
            <w:gridSpan w:val="3"/>
            <w:tcBorders>
              <w:top w:val="nil"/>
              <w:left w:val="nil"/>
              <w:bottom w:val="nil"/>
              <w:right w:val="nil"/>
            </w:tcBorders>
          </w:tcPr>
          <w:p w14:paraId="38AF4577" w14:textId="77777777" w:rsidR="004E37EE" w:rsidRPr="0093071C" w:rsidRDefault="004E37EE" w:rsidP="00D61CD6">
            <w:pPr>
              <w:widowControl w:val="0"/>
              <w:autoSpaceDE w:val="0"/>
              <w:autoSpaceDN w:val="0"/>
              <w:adjustRightInd w:val="0"/>
              <w:spacing w:after="0" w:line="240" w:lineRule="auto"/>
              <w:rPr>
                <w:rFonts w:ascii="Garamond" w:hAnsi="Garamond"/>
                <w:sz w:val="24"/>
                <w:szCs w:val="24"/>
              </w:rPr>
            </w:pPr>
          </w:p>
        </w:tc>
      </w:tr>
    </w:tbl>
    <w:p w14:paraId="6344E0A9" w14:textId="77777777" w:rsidR="004E37EE" w:rsidRPr="0093071C" w:rsidRDefault="004E37EE" w:rsidP="00D61CD6">
      <w:pPr>
        <w:spacing w:after="0" w:line="240" w:lineRule="auto"/>
        <w:rPr>
          <w:rFonts w:ascii="Garamond" w:hAnsi="Garamond"/>
          <w:sz w:val="24"/>
          <w:szCs w:val="24"/>
        </w:rPr>
      </w:pPr>
    </w:p>
    <w:p w14:paraId="646BA50F" w14:textId="77777777" w:rsidR="00D61CD6" w:rsidRPr="0093071C" w:rsidRDefault="00D61CD6">
      <w:pPr>
        <w:spacing w:after="0" w:line="240" w:lineRule="auto"/>
        <w:rPr>
          <w:rFonts w:ascii="Garamond" w:hAnsi="Garamond"/>
          <w:sz w:val="24"/>
          <w:szCs w:val="24"/>
        </w:rPr>
      </w:pPr>
    </w:p>
    <w:sectPr w:rsidR="00D61CD6" w:rsidRPr="009307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E274B" w14:textId="77777777" w:rsidR="003C0A67" w:rsidRDefault="003C0A67" w:rsidP="00F72EF1">
      <w:pPr>
        <w:spacing w:after="0" w:line="240" w:lineRule="auto"/>
      </w:pPr>
      <w:r>
        <w:separator/>
      </w:r>
    </w:p>
  </w:endnote>
  <w:endnote w:type="continuationSeparator" w:id="0">
    <w:p w14:paraId="78797C73" w14:textId="77777777" w:rsidR="003C0A67" w:rsidRDefault="003C0A67" w:rsidP="00F72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8B937" w14:textId="77777777" w:rsidR="003C0A67" w:rsidRDefault="003C0A67" w:rsidP="00F72EF1">
      <w:pPr>
        <w:spacing w:after="0" w:line="240" w:lineRule="auto"/>
      </w:pPr>
      <w:r>
        <w:separator/>
      </w:r>
    </w:p>
  </w:footnote>
  <w:footnote w:type="continuationSeparator" w:id="0">
    <w:p w14:paraId="1967EA29" w14:textId="77777777" w:rsidR="003C0A67" w:rsidRDefault="003C0A67" w:rsidP="00F72EF1">
      <w:pPr>
        <w:spacing w:after="0" w:line="240" w:lineRule="auto"/>
      </w:pPr>
      <w:r>
        <w:continuationSeparator/>
      </w:r>
    </w:p>
  </w:footnote>
  <w:footnote w:id="1">
    <w:p w14:paraId="7B72A3ED" w14:textId="77777777" w:rsidR="00092961" w:rsidRDefault="00092961">
      <w:pPr>
        <w:pStyle w:val="FootnoteText"/>
      </w:pPr>
      <w:r>
        <w:rPr>
          <w:rStyle w:val="FootnoteReference"/>
        </w:rPr>
        <w:footnoteRef/>
      </w:r>
      <w:r>
        <w:t xml:space="preserve"> Industries, and firms here are counted based on their number of contribution across the 5 tiers.</w:t>
      </w:r>
    </w:p>
  </w:footnote>
  <w:footnote w:id="2">
    <w:p w14:paraId="7807BE85" w14:textId="77777777" w:rsidR="00092961" w:rsidRDefault="00092961" w:rsidP="00F72EF1">
      <w:pPr>
        <w:pStyle w:val="FootnoteText"/>
      </w:pPr>
      <w:r>
        <w:rPr>
          <w:rStyle w:val="FootnoteReference"/>
        </w:rPr>
        <w:footnoteRef/>
      </w:r>
      <w:r>
        <w:t xml:space="preserve"> </w:t>
      </w:r>
      <w:r w:rsidRPr="00B83777">
        <w:rPr>
          <w:rFonts w:ascii="Garamond" w:hAnsi="Garamond"/>
        </w:rPr>
        <w:t>For details see</w:t>
      </w:r>
      <w:r>
        <w:rPr>
          <w:rFonts w:ascii="Garamond" w:hAnsi="Garamond"/>
        </w:rPr>
        <w:t xml:space="preserve"> </w:t>
      </w:r>
      <w:hyperlink r:id="rId1" w:history="1">
        <w:r w:rsidRPr="00BC0E39">
          <w:rPr>
            <w:rStyle w:val="Hyperlink"/>
            <w:rFonts w:ascii="Garamond" w:hAnsi="Garamond"/>
          </w:rPr>
          <w:t>https://mba.tuck.dartmouth.edu/PGEs/faculty/ken.French/Data_Library/det_12_ind_port.html</w:t>
        </w:r>
      </w:hyperlink>
    </w:p>
  </w:footnote>
  <w:footnote w:id="3">
    <w:p w14:paraId="5C24E53B" w14:textId="77777777" w:rsidR="00092961" w:rsidRDefault="00092961" w:rsidP="00F72EF1">
      <w:pPr>
        <w:pStyle w:val="FootnoteText"/>
      </w:pPr>
      <w:r>
        <w:rPr>
          <w:rStyle w:val="FootnoteReference"/>
        </w:rPr>
        <w:footnoteRef/>
      </w:r>
      <w:r>
        <w:t xml:space="preserve"> </w:t>
      </w:r>
      <w:r w:rsidRPr="00366CA7">
        <w:rPr>
          <w:rFonts w:ascii="Garamond" w:hAnsi="Garamond"/>
        </w:rPr>
        <w:t>Results available upon request.</w:t>
      </w:r>
    </w:p>
  </w:footnote>
  <w:footnote w:id="4">
    <w:p w14:paraId="0E7AFE73" w14:textId="26ACFCD0" w:rsidR="00092961" w:rsidRPr="000F23F0" w:rsidRDefault="00092961" w:rsidP="00F72EF1">
      <w:pPr>
        <w:pStyle w:val="FootnoteText"/>
        <w:rPr>
          <w:rFonts w:ascii="Garamond" w:hAnsi="Garamond"/>
        </w:rPr>
      </w:pPr>
      <w:r w:rsidRPr="000F23F0">
        <w:rPr>
          <w:rStyle w:val="FootnoteReference"/>
          <w:rFonts w:ascii="Garamond" w:hAnsi="Garamond"/>
        </w:rPr>
        <w:footnoteRef/>
      </w:r>
      <w:r w:rsidRPr="000F23F0">
        <w:rPr>
          <w:rFonts w:ascii="Garamond" w:hAnsi="Garamond"/>
        </w:rPr>
        <w:t xml:space="preserve">   </w:t>
      </w:r>
      <w:r>
        <w:rPr>
          <w:rFonts w:ascii="Garamond" w:hAnsi="Garamond"/>
        </w:rPr>
        <w:t xml:space="preserve">See </w:t>
      </w:r>
      <w:r w:rsidR="00273B0B">
        <w:rPr>
          <w:rFonts w:ascii="Garamond" w:hAnsi="Garamond"/>
        </w:rPr>
        <w:t>Appendix 3</w:t>
      </w:r>
      <w:r>
        <w:rPr>
          <w:rFonts w:ascii="Garamond" w:hAnsi="Garamond"/>
        </w:rPr>
        <w:t xml:space="preserve"> for details. </w:t>
      </w:r>
      <w:r w:rsidRPr="000F23F0">
        <w:rPr>
          <w:rFonts w:ascii="Garamond" w:hAnsi="Garamond"/>
        </w:rPr>
        <w:t>All of our sensitivity results</w:t>
      </w:r>
      <w:r>
        <w:rPr>
          <w:rFonts w:ascii="Garamond" w:hAnsi="Garamond"/>
        </w:rPr>
        <w:t>,</w:t>
      </w:r>
      <w:r w:rsidRPr="000F23F0">
        <w:rPr>
          <w:rFonts w:ascii="Garamond" w:hAnsi="Garamond"/>
        </w:rPr>
        <w:t xml:space="preserve"> </w:t>
      </w:r>
      <w:r>
        <w:rPr>
          <w:rFonts w:ascii="Garamond" w:hAnsi="Garamond"/>
        </w:rPr>
        <w:t xml:space="preserve">in full, </w:t>
      </w:r>
      <w:r w:rsidRPr="000F23F0">
        <w:rPr>
          <w:rFonts w:ascii="Garamond" w:hAnsi="Garamond"/>
        </w:rPr>
        <w:t>are available upon request.</w:t>
      </w:r>
    </w:p>
  </w:footnote>
  <w:footnote w:id="5">
    <w:p w14:paraId="1F80387A" w14:textId="77777777" w:rsidR="00092961" w:rsidRPr="00623574" w:rsidRDefault="00092961" w:rsidP="00F72EF1">
      <w:pPr>
        <w:pStyle w:val="FootnoteText"/>
        <w:rPr>
          <w:rFonts w:ascii="Garamond" w:hAnsi="Garamond"/>
        </w:rPr>
      </w:pPr>
      <w:r w:rsidRPr="00623574">
        <w:rPr>
          <w:rStyle w:val="FootnoteReference"/>
          <w:rFonts w:ascii="Garamond" w:hAnsi="Garamond"/>
        </w:rPr>
        <w:footnoteRef/>
      </w:r>
      <w:r w:rsidRPr="00623574">
        <w:rPr>
          <w:rFonts w:ascii="Garamond" w:hAnsi="Garamond"/>
        </w:rPr>
        <w:t xml:space="preserve"> We compute this by taking the difference between firms</w:t>
      </w:r>
      <w:r>
        <w:rPr>
          <w:rFonts w:ascii="Garamond" w:hAnsi="Garamond"/>
        </w:rPr>
        <w:t>’</w:t>
      </w:r>
      <w:r w:rsidRPr="00623574">
        <w:rPr>
          <w:rFonts w:ascii="Garamond" w:hAnsi="Garamond"/>
        </w:rPr>
        <w:t xml:space="preserve"> accoun</w:t>
      </w:r>
      <w:r>
        <w:rPr>
          <w:rFonts w:ascii="Garamond" w:hAnsi="Garamond"/>
        </w:rPr>
        <w:t>ting (market) returns and the median</w:t>
      </w:r>
      <w:r w:rsidRPr="00623574">
        <w:rPr>
          <w:rFonts w:ascii="Garamond" w:hAnsi="Garamond"/>
        </w:rPr>
        <w:t xml:space="preserve"> accounting (market) </w:t>
      </w:r>
      <w:r>
        <w:rPr>
          <w:rFonts w:ascii="Garamond" w:hAnsi="Garamond"/>
        </w:rPr>
        <w:t xml:space="preserve">returns for all companies in the firm’s same Fama-French industry </w:t>
      </w:r>
      <w:r w:rsidRPr="00623574">
        <w:rPr>
          <w:rFonts w:ascii="Garamond" w:hAnsi="Garamond"/>
        </w:rPr>
        <w:t>classification.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82D1A"/>
    <w:multiLevelType w:val="hybridMultilevel"/>
    <w:tmpl w:val="27B6C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YwNTIzNLAwMjE3tTBU0lEKTi0uzszPAykwMq8FAP7wswotAAAA"/>
  </w:docVars>
  <w:rsids>
    <w:rsidRoot w:val="00D24F48"/>
    <w:rsid w:val="00006FA2"/>
    <w:rsid w:val="00011A81"/>
    <w:rsid w:val="0001352D"/>
    <w:rsid w:val="000154AF"/>
    <w:rsid w:val="00016A88"/>
    <w:rsid w:val="00027646"/>
    <w:rsid w:val="000324C6"/>
    <w:rsid w:val="00043968"/>
    <w:rsid w:val="00043EBC"/>
    <w:rsid w:val="00050F95"/>
    <w:rsid w:val="00053564"/>
    <w:rsid w:val="00055177"/>
    <w:rsid w:val="00057B58"/>
    <w:rsid w:val="00064633"/>
    <w:rsid w:val="0006489F"/>
    <w:rsid w:val="00065E4A"/>
    <w:rsid w:val="00066077"/>
    <w:rsid w:val="000672C2"/>
    <w:rsid w:val="0007335C"/>
    <w:rsid w:val="00074FAA"/>
    <w:rsid w:val="00083EBF"/>
    <w:rsid w:val="00087794"/>
    <w:rsid w:val="00092961"/>
    <w:rsid w:val="000C0474"/>
    <w:rsid w:val="000C3B94"/>
    <w:rsid w:val="000D0D18"/>
    <w:rsid w:val="000D2C63"/>
    <w:rsid w:val="000D6CE6"/>
    <w:rsid w:val="000E67EE"/>
    <w:rsid w:val="000F4618"/>
    <w:rsid w:val="000F4F8B"/>
    <w:rsid w:val="00106902"/>
    <w:rsid w:val="00123ECB"/>
    <w:rsid w:val="00124C25"/>
    <w:rsid w:val="001279BA"/>
    <w:rsid w:val="001401FB"/>
    <w:rsid w:val="00143673"/>
    <w:rsid w:val="0014758C"/>
    <w:rsid w:val="00154079"/>
    <w:rsid w:val="001561BF"/>
    <w:rsid w:val="00171AD4"/>
    <w:rsid w:val="00172DD2"/>
    <w:rsid w:val="001825A3"/>
    <w:rsid w:val="001904D8"/>
    <w:rsid w:val="001930FA"/>
    <w:rsid w:val="00196451"/>
    <w:rsid w:val="00196E78"/>
    <w:rsid w:val="001A1338"/>
    <w:rsid w:val="001A413C"/>
    <w:rsid w:val="001A45C9"/>
    <w:rsid w:val="001A4E93"/>
    <w:rsid w:val="001A708D"/>
    <w:rsid w:val="001B0918"/>
    <w:rsid w:val="001B542C"/>
    <w:rsid w:val="001C7E64"/>
    <w:rsid w:val="001D0E26"/>
    <w:rsid w:val="001E0B11"/>
    <w:rsid w:val="001E70D4"/>
    <w:rsid w:val="001F0F83"/>
    <w:rsid w:val="001F4E00"/>
    <w:rsid w:val="00200D00"/>
    <w:rsid w:val="00220124"/>
    <w:rsid w:val="00220765"/>
    <w:rsid w:val="002368F5"/>
    <w:rsid w:val="002421D4"/>
    <w:rsid w:val="00245E38"/>
    <w:rsid w:val="00250A38"/>
    <w:rsid w:val="00260E39"/>
    <w:rsid w:val="00262354"/>
    <w:rsid w:val="00270E0D"/>
    <w:rsid w:val="00273807"/>
    <w:rsid w:val="00273B0B"/>
    <w:rsid w:val="00275E2C"/>
    <w:rsid w:val="00297C27"/>
    <w:rsid w:val="002A1E5C"/>
    <w:rsid w:val="002A6029"/>
    <w:rsid w:val="002B7BDB"/>
    <w:rsid w:val="002C526C"/>
    <w:rsid w:val="002D367F"/>
    <w:rsid w:val="002D50C3"/>
    <w:rsid w:val="002E066C"/>
    <w:rsid w:val="002F60EF"/>
    <w:rsid w:val="002F6156"/>
    <w:rsid w:val="003000BC"/>
    <w:rsid w:val="00302921"/>
    <w:rsid w:val="00304064"/>
    <w:rsid w:val="00306D66"/>
    <w:rsid w:val="003119DF"/>
    <w:rsid w:val="00312E0C"/>
    <w:rsid w:val="0031331F"/>
    <w:rsid w:val="003204AF"/>
    <w:rsid w:val="003226B1"/>
    <w:rsid w:val="003304A4"/>
    <w:rsid w:val="00335463"/>
    <w:rsid w:val="00337ABC"/>
    <w:rsid w:val="00361957"/>
    <w:rsid w:val="003654A5"/>
    <w:rsid w:val="00366BEF"/>
    <w:rsid w:val="00370E57"/>
    <w:rsid w:val="003742CC"/>
    <w:rsid w:val="0037668B"/>
    <w:rsid w:val="00381031"/>
    <w:rsid w:val="00383B83"/>
    <w:rsid w:val="00391D37"/>
    <w:rsid w:val="00393247"/>
    <w:rsid w:val="00394013"/>
    <w:rsid w:val="003A0583"/>
    <w:rsid w:val="003A2842"/>
    <w:rsid w:val="003A3B74"/>
    <w:rsid w:val="003B0ECF"/>
    <w:rsid w:val="003C0A67"/>
    <w:rsid w:val="003D019C"/>
    <w:rsid w:val="003D03A3"/>
    <w:rsid w:val="003D3E9A"/>
    <w:rsid w:val="003D6A2D"/>
    <w:rsid w:val="003D7398"/>
    <w:rsid w:val="003E63C3"/>
    <w:rsid w:val="003F5C78"/>
    <w:rsid w:val="0040750D"/>
    <w:rsid w:val="00414F87"/>
    <w:rsid w:val="00421B4F"/>
    <w:rsid w:val="00426DAE"/>
    <w:rsid w:val="004345AB"/>
    <w:rsid w:val="00444117"/>
    <w:rsid w:val="004458BC"/>
    <w:rsid w:val="00446264"/>
    <w:rsid w:val="00450924"/>
    <w:rsid w:val="00450F83"/>
    <w:rsid w:val="004521BC"/>
    <w:rsid w:val="00462A34"/>
    <w:rsid w:val="00465A4B"/>
    <w:rsid w:val="00474963"/>
    <w:rsid w:val="004800EC"/>
    <w:rsid w:val="004845E4"/>
    <w:rsid w:val="00484748"/>
    <w:rsid w:val="004874E1"/>
    <w:rsid w:val="004A0242"/>
    <w:rsid w:val="004A0B8D"/>
    <w:rsid w:val="004A2BB1"/>
    <w:rsid w:val="004A5907"/>
    <w:rsid w:val="004A78CA"/>
    <w:rsid w:val="004B2404"/>
    <w:rsid w:val="004C0B4E"/>
    <w:rsid w:val="004D2D2D"/>
    <w:rsid w:val="004D35A9"/>
    <w:rsid w:val="004D45CF"/>
    <w:rsid w:val="004D600E"/>
    <w:rsid w:val="004E232A"/>
    <w:rsid w:val="004E284E"/>
    <w:rsid w:val="004E37EE"/>
    <w:rsid w:val="00514815"/>
    <w:rsid w:val="00521DE2"/>
    <w:rsid w:val="00525CC9"/>
    <w:rsid w:val="005409C4"/>
    <w:rsid w:val="00547CD0"/>
    <w:rsid w:val="0055198F"/>
    <w:rsid w:val="005562CD"/>
    <w:rsid w:val="0055678C"/>
    <w:rsid w:val="00560A88"/>
    <w:rsid w:val="005713BF"/>
    <w:rsid w:val="0057341E"/>
    <w:rsid w:val="00586D4D"/>
    <w:rsid w:val="00587073"/>
    <w:rsid w:val="005972F0"/>
    <w:rsid w:val="005A053A"/>
    <w:rsid w:val="005A11D2"/>
    <w:rsid w:val="005A4C6D"/>
    <w:rsid w:val="005B3B41"/>
    <w:rsid w:val="005B6E20"/>
    <w:rsid w:val="005B7107"/>
    <w:rsid w:val="005B7707"/>
    <w:rsid w:val="005D14C2"/>
    <w:rsid w:val="005D3154"/>
    <w:rsid w:val="005E46D5"/>
    <w:rsid w:val="005E4B41"/>
    <w:rsid w:val="005E5AC4"/>
    <w:rsid w:val="005F5758"/>
    <w:rsid w:val="00604FB5"/>
    <w:rsid w:val="006170D9"/>
    <w:rsid w:val="00623859"/>
    <w:rsid w:val="0062520F"/>
    <w:rsid w:val="00627780"/>
    <w:rsid w:val="006314E0"/>
    <w:rsid w:val="00635EC3"/>
    <w:rsid w:val="00662D4B"/>
    <w:rsid w:val="006641FC"/>
    <w:rsid w:val="00680796"/>
    <w:rsid w:val="006813DB"/>
    <w:rsid w:val="006817DE"/>
    <w:rsid w:val="00694494"/>
    <w:rsid w:val="00694894"/>
    <w:rsid w:val="00695915"/>
    <w:rsid w:val="00695BC8"/>
    <w:rsid w:val="006A27FB"/>
    <w:rsid w:val="006A6A8A"/>
    <w:rsid w:val="006B4D65"/>
    <w:rsid w:val="006B5789"/>
    <w:rsid w:val="006C348F"/>
    <w:rsid w:val="006C49C0"/>
    <w:rsid w:val="006D13BA"/>
    <w:rsid w:val="006D1634"/>
    <w:rsid w:val="006D566C"/>
    <w:rsid w:val="006E323D"/>
    <w:rsid w:val="006F0A7A"/>
    <w:rsid w:val="00703A9A"/>
    <w:rsid w:val="00703DAB"/>
    <w:rsid w:val="00713ECD"/>
    <w:rsid w:val="00714079"/>
    <w:rsid w:val="007265D5"/>
    <w:rsid w:val="00732016"/>
    <w:rsid w:val="007338C0"/>
    <w:rsid w:val="00740AF3"/>
    <w:rsid w:val="007432EA"/>
    <w:rsid w:val="00743A8F"/>
    <w:rsid w:val="0074486D"/>
    <w:rsid w:val="0074712C"/>
    <w:rsid w:val="007563B6"/>
    <w:rsid w:val="007637EF"/>
    <w:rsid w:val="00763FFE"/>
    <w:rsid w:val="007660E5"/>
    <w:rsid w:val="00770D57"/>
    <w:rsid w:val="00773781"/>
    <w:rsid w:val="0077762E"/>
    <w:rsid w:val="007843EA"/>
    <w:rsid w:val="007915F2"/>
    <w:rsid w:val="00794A74"/>
    <w:rsid w:val="00796A0D"/>
    <w:rsid w:val="007A3D25"/>
    <w:rsid w:val="007B0E51"/>
    <w:rsid w:val="007B3E6C"/>
    <w:rsid w:val="007C02DD"/>
    <w:rsid w:val="007C6517"/>
    <w:rsid w:val="007D1029"/>
    <w:rsid w:val="007D1505"/>
    <w:rsid w:val="007E11E2"/>
    <w:rsid w:val="007E3C45"/>
    <w:rsid w:val="007E6938"/>
    <w:rsid w:val="007F2227"/>
    <w:rsid w:val="007F2D22"/>
    <w:rsid w:val="00823408"/>
    <w:rsid w:val="00825BC5"/>
    <w:rsid w:val="00842BD3"/>
    <w:rsid w:val="00843C2D"/>
    <w:rsid w:val="00845AB5"/>
    <w:rsid w:val="00846774"/>
    <w:rsid w:val="00851C79"/>
    <w:rsid w:val="00865D50"/>
    <w:rsid w:val="00871BD5"/>
    <w:rsid w:val="00872C4F"/>
    <w:rsid w:val="008821CB"/>
    <w:rsid w:val="008841C4"/>
    <w:rsid w:val="00885359"/>
    <w:rsid w:val="00892C86"/>
    <w:rsid w:val="00893DFF"/>
    <w:rsid w:val="008949EB"/>
    <w:rsid w:val="00897B91"/>
    <w:rsid w:val="008A60F4"/>
    <w:rsid w:val="008B1CEE"/>
    <w:rsid w:val="008B24D1"/>
    <w:rsid w:val="008B35A3"/>
    <w:rsid w:val="008B7A44"/>
    <w:rsid w:val="008C1C04"/>
    <w:rsid w:val="008C2287"/>
    <w:rsid w:val="008C68BB"/>
    <w:rsid w:val="008D4296"/>
    <w:rsid w:val="008D4AD6"/>
    <w:rsid w:val="008E04D0"/>
    <w:rsid w:val="008E10F3"/>
    <w:rsid w:val="009008D5"/>
    <w:rsid w:val="00901634"/>
    <w:rsid w:val="00901A30"/>
    <w:rsid w:val="0090320A"/>
    <w:rsid w:val="00915763"/>
    <w:rsid w:val="00916E54"/>
    <w:rsid w:val="00924579"/>
    <w:rsid w:val="00926ACD"/>
    <w:rsid w:val="0093071C"/>
    <w:rsid w:val="00935BE1"/>
    <w:rsid w:val="00936816"/>
    <w:rsid w:val="0094684A"/>
    <w:rsid w:val="009506CD"/>
    <w:rsid w:val="00957388"/>
    <w:rsid w:val="0096264C"/>
    <w:rsid w:val="00976269"/>
    <w:rsid w:val="00980EA3"/>
    <w:rsid w:val="009852D8"/>
    <w:rsid w:val="00986D41"/>
    <w:rsid w:val="00990C28"/>
    <w:rsid w:val="009B4373"/>
    <w:rsid w:val="009D607D"/>
    <w:rsid w:val="009E06D9"/>
    <w:rsid w:val="00A03A89"/>
    <w:rsid w:val="00A043A4"/>
    <w:rsid w:val="00A05197"/>
    <w:rsid w:val="00A073A8"/>
    <w:rsid w:val="00A115D1"/>
    <w:rsid w:val="00A146BC"/>
    <w:rsid w:val="00A14C70"/>
    <w:rsid w:val="00A16C6E"/>
    <w:rsid w:val="00A17419"/>
    <w:rsid w:val="00A175DF"/>
    <w:rsid w:val="00A433D8"/>
    <w:rsid w:val="00A44E74"/>
    <w:rsid w:val="00A47A8C"/>
    <w:rsid w:val="00A51EA8"/>
    <w:rsid w:val="00A62795"/>
    <w:rsid w:val="00A65735"/>
    <w:rsid w:val="00A66E54"/>
    <w:rsid w:val="00A7155C"/>
    <w:rsid w:val="00A82FDC"/>
    <w:rsid w:val="00A90E0F"/>
    <w:rsid w:val="00A92E8E"/>
    <w:rsid w:val="00A966DC"/>
    <w:rsid w:val="00AA264E"/>
    <w:rsid w:val="00AA2860"/>
    <w:rsid w:val="00AA348D"/>
    <w:rsid w:val="00AA6F5D"/>
    <w:rsid w:val="00AB1DE2"/>
    <w:rsid w:val="00AB61EF"/>
    <w:rsid w:val="00AC054A"/>
    <w:rsid w:val="00AC775B"/>
    <w:rsid w:val="00AD0611"/>
    <w:rsid w:val="00AF6AEB"/>
    <w:rsid w:val="00B0484A"/>
    <w:rsid w:val="00B07C52"/>
    <w:rsid w:val="00B26CEB"/>
    <w:rsid w:val="00B31512"/>
    <w:rsid w:val="00B407D6"/>
    <w:rsid w:val="00B60F8C"/>
    <w:rsid w:val="00B64EBE"/>
    <w:rsid w:val="00B66D78"/>
    <w:rsid w:val="00B7381A"/>
    <w:rsid w:val="00B77050"/>
    <w:rsid w:val="00B8760B"/>
    <w:rsid w:val="00B975AE"/>
    <w:rsid w:val="00BA1204"/>
    <w:rsid w:val="00BB6DD2"/>
    <w:rsid w:val="00BC013B"/>
    <w:rsid w:val="00BC33F8"/>
    <w:rsid w:val="00BC6437"/>
    <w:rsid w:val="00BD2BE0"/>
    <w:rsid w:val="00BD5D22"/>
    <w:rsid w:val="00BE42CF"/>
    <w:rsid w:val="00BF4ED4"/>
    <w:rsid w:val="00C01564"/>
    <w:rsid w:val="00C0206D"/>
    <w:rsid w:val="00C06847"/>
    <w:rsid w:val="00C2037D"/>
    <w:rsid w:val="00C2258E"/>
    <w:rsid w:val="00C24ABC"/>
    <w:rsid w:val="00C32E19"/>
    <w:rsid w:val="00C35D8E"/>
    <w:rsid w:val="00C5279A"/>
    <w:rsid w:val="00C53D54"/>
    <w:rsid w:val="00C55F7E"/>
    <w:rsid w:val="00C704EB"/>
    <w:rsid w:val="00C75888"/>
    <w:rsid w:val="00C87BE8"/>
    <w:rsid w:val="00C929A7"/>
    <w:rsid w:val="00C967B4"/>
    <w:rsid w:val="00CA347C"/>
    <w:rsid w:val="00CA509F"/>
    <w:rsid w:val="00CC075E"/>
    <w:rsid w:val="00CC41AC"/>
    <w:rsid w:val="00CC7460"/>
    <w:rsid w:val="00CE0DB8"/>
    <w:rsid w:val="00CE42E9"/>
    <w:rsid w:val="00CF251D"/>
    <w:rsid w:val="00CF5380"/>
    <w:rsid w:val="00CF71FA"/>
    <w:rsid w:val="00CF7590"/>
    <w:rsid w:val="00D01E22"/>
    <w:rsid w:val="00D135BA"/>
    <w:rsid w:val="00D24F48"/>
    <w:rsid w:val="00D25346"/>
    <w:rsid w:val="00D32B3C"/>
    <w:rsid w:val="00D32F69"/>
    <w:rsid w:val="00D3544A"/>
    <w:rsid w:val="00D35BD0"/>
    <w:rsid w:val="00D36EC9"/>
    <w:rsid w:val="00D50953"/>
    <w:rsid w:val="00D61CD6"/>
    <w:rsid w:val="00D62404"/>
    <w:rsid w:val="00D642A3"/>
    <w:rsid w:val="00D66BE7"/>
    <w:rsid w:val="00D67FD0"/>
    <w:rsid w:val="00D73027"/>
    <w:rsid w:val="00D80587"/>
    <w:rsid w:val="00D822F2"/>
    <w:rsid w:val="00D948E9"/>
    <w:rsid w:val="00D959D0"/>
    <w:rsid w:val="00D97841"/>
    <w:rsid w:val="00DA14AC"/>
    <w:rsid w:val="00DA5340"/>
    <w:rsid w:val="00DB04C8"/>
    <w:rsid w:val="00DC74CA"/>
    <w:rsid w:val="00DD0CFF"/>
    <w:rsid w:val="00DD2D8E"/>
    <w:rsid w:val="00DD45E7"/>
    <w:rsid w:val="00DD4628"/>
    <w:rsid w:val="00DD727F"/>
    <w:rsid w:val="00DE4E6D"/>
    <w:rsid w:val="00DF1C33"/>
    <w:rsid w:val="00DF52F2"/>
    <w:rsid w:val="00E125EC"/>
    <w:rsid w:val="00E21464"/>
    <w:rsid w:val="00E259E5"/>
    <w:rsid w:val="00E42A4E"/>
    <w:rsid w:val="00E47DB5"/>
    <w:rsid w:val="00E51C15"/>
    <w:rsid w:val="00E51F3B"/>
    <w:rsid w:val="00E52226"/>
    <w:rsid w:val="00E5297E"/>
    <w:rsid w:val="00E52C47"/>
    <w:rsid w:val="00E54FC9"/>
    <w:rsid w:val="00E573DF"/>
    <w:rsid w:val="00E624DF"/>
    <w:rsid w:val="00E6496B"/>
    <w:rsid w:val="00E672FA"/>
    <w:rsid w:val="00E67408"/>
    <w:rsid w:val="00E71596"/>
    <w:rsid w:val="00E77EC5"/>
    <w:rsid w:val="00E85723"/>
    <w:rsid w:val="00E86FBF"/>
    <w:rsid w:val="00E90F7F"/>
    <w:rsid w:val="00EA153A"/>
    <w:rsid w:val="00EA2572"/>
    <w:rsid w:val="00EB06CD"/>
    <w:rsid w:val="00EB39FE"/>
    <w:rsid w:val="00EB4301"/>
    <w:rsid w:val="00EB4BEB"/>
    <w:rsid w:val="00EB66D7"/>
    <w:rsid w:val="00EB6EED"/>
    <w:rsid w:val="00EC02AE"/>
    <w:rsid w:val="00EC0D55"/>
    <w:rsid w:val="00ED0545"/>
    <w:rsid w:val="00EE60CB"/>
    <w:rsid w:val="00EE7B59"/>
    <w:rsid w:val="00EF0F58"/>
    <w:rsid w:val="00EF2299"/>
    <w:rsid w:val="00EF2497"/>
    <w:rsid w:val="00EF373A"/>
    <w:rsid w:val="00EF7918"/>
    <w:rsid w:val="00F032B6"/>
    <w:rsid w:val="00F04570"/>
    <w:rsid w:val="00F11400"/>
    <w:rsid w:val="00F277E7"/>
    <w:rsid w:val="00F32E7D"/>
    <w:rsid w:val="00F35A9B"/>
    <w:rsid w:val="00F41CD3"/>
    <w:rsid w:val="00F436A1"/>
    <w:rsid w:val="00F56A74"/>
    <w:rsid w:val="00F67D38"/>
    <w:rsid w:val="00F72EF1"/>
    <w:rsid w:val="00F740EA"/>
    <w:rsid w:val="00F90CFB"/>
    <w:rsid w:val="00F91391"/>
    <w:rsid w:val="00F936A7"/>
    <w:rsid w:val="00F93A16"/>
    <w:rsid w:val="00FA409D"/>
    <w:rsid w:val="00FA7E2B"/>
    <w:rsid w:val="00FC7F54"/>
    <w:rsid w:val="00FD6A81"/>
    <w:rsid w:val="00FE15FC"/>
    <w:rsid w:val="00FE33BD"/>
    <w:rsid w:val="00FE3D18"/>
    <w:rsid w:val="00FE3D21"/>
    <w:rsid w:val="00FE50E5"/>
    <w:rsid w:val="00FF0084"/>
    <w:rsid w:val="00FF22A4"/>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8697"/>
  <w15:docId w15:val="{3410CF0D-F254-40FA-BDF8-16A64B95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4E37EE"/>
    <w:pPr>
      <w:keepNext/>
      <w:spacing w:after="0" w:line="240" w:lineRule="auto"/>
      <w:outlineLvl w:val="0"/>
    </w:pPr>
    <w:rPr>
      <w:rFonts w:ascii="Times New Roman" w:eastAsia="Times New Roman" w:hAnsi="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50F83"/>
    <w:rPr>
      <w:color w:val="0000FF"/>
      <w:u w:val="single"/>
    </w:rPr>
  </w:style>
  <w:style w:type="character" w:customStyle="1" w:styleId="ref-journal">
    <w:name w:val="ref-journal"/>
    <w:basedOn w:val="DefaultParagraphFont"/>
    <w:rsid w:val="006A6A8A"/>
  </w:style>
  <w:style w:type="paragraph" w:styleId="ListParagraph">
    <w:name w:val="List Paragraph"/>
    <w:basedOn w:val="Normal"/>
    <w:uiPriority w:val="34"/>
    <w:qFormat/>
    <w:rsid w:val="00DF52F2"/>
    <w:pPr>
      <w:ind w:left="720"/>
      <w:contextualSpacing/>
    </w:pPr>
  </w:style>
  <w:style w:type="table" w:styleId="TableGrid">
    <w:name w:val="Table Grid"/>
    <w:basedOn w:val="TableNormal"/>
    <w:uiPriority w:val="39"/>
    <w:rsid w:val="00E52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4E37EE"/>
    <w:rPr>
      <w:rFonts w:ascii="Times New Roman" w:eastAsia="Times New Roman" w:hAnsi="Times New Roman" w:cs="Times New Roman"/>
      <w:i/>
      <w:iCs/>
      <w:sz w:val="24"/>
      <w:szCs w:val="20"/>
    </w:rPr>
  </w:style>
  <w:style w:type="paragraph" w:styleId="FootnoteText">
    <w:name w:val="footnote text"/>
    <w:basedOn w:val="Normal"/>
    <w:link w:val="FootnoteTextChar"/>
    <w:semiHidden/>
    <w:rsid w:val="00F72EF1"/>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semiHidden/>
    <w:rsid w:val="00F72EF1"/>
    <w:rPr>
      <w:rFonts w:ascii="Times New Roman" w:eastAsia="Times New Roman" w:hAnsi="Times New Roman" w:cs="Times New Roman"/>
      <w:sz w:val="20"/>
      <w:szCs w:val="20"/>
    </w:rPr>
  </w:style>
  <w:style w:type="character" w:styleId="FootnoteReference">
    <w:name w:val="footnote reference"/>
    <w:semiHidden/>
    <w:rsid w:val="00F72EF1"/>
    <w:rPr>
      <w:vertAlign w:val="superscript"/>
    </w:rPr>
  </w:style>
  <w:style w:type="paragraph" w:styleId="BodyTextIndent">
    <w:name w:val="Body Text Indent"/>
    <w:basedOn w:val="Normal"/>
    <w:link w:val="BodyTextIndentChar"/>
    <w:rsid w:val="00F72EF1"/>
    <w:pPr>
      <w:spacing w:after="0" w:line="480" w:lineRule="auto"/>
      <w:ind w:firstLine="720"/>
      <w:jc w:val="both"/>
    </w:pPr>
    <w:rPr>
      <w:rFonts w:ascii="Times New Roman" w:eastAsia="Times New Roman" w:hAnsi="Times New Roman"/>
      <w:sz w:val="24"/>
      <w:szCs w:val="24"/>
    </w:rPr>
  </w:style>
  <w:style w:type="character" w:customStyle="1" w:styleId="BodyTextIndentChar">
    <w:name w:val="Body Text Indent Char"/>
    <w:link w:val="BodyTextIndent"/>
    <w:rsid w:val="00F72EF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6A8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16A88"/>
    <w:rPr>
      <w:rFonts w:ascii="Segoe UI" w:hAnsi="Segoe UI" w:cs="Segoe UI"/>
      <w:sz w:val="18"/>
      <w:szCs w:val="18"/>
    </w:rPr>
  </w:style>
  <w:style w:type="character" w:styleId="CommentReference">
    <w:name w:val="annotation reference"/>
    <w:basedOn w:val="DefaultParagraphFont"/>
    <w:uiPriority w:val="99"/>
    <w:semiHidden/>
    <w:unhideWhenUsed/>
    <w:rsid w:val="00CC075E"/>
    <w:rPr>
      <w:sz w:val="16"/>
      <w:szCs w:val="16"/>
    </w:rPr>
  </w:style>
  <w:style w:type="paragraph" w:styleId="CommentText">
    <w:name w:val="annotation text"/>
    <w:basedOn w:val="Normal"/>
    <w:link w:val="CommentTextChar"/>
    <w:uiPriority w:val="99"/>
    <w:semiHidden/>
    <w:unhideWhenUsed/>
    <w:rsid w:val="00CC075E"/>
    <w:pPr>
      <w:spacing w:line="240" w:lineRule="auto"/>
    </w:pPr>
    <w:rPr>
      <w:sz w:val="20"/>
      <w:szCs w:val="20"/>
    </w:rPr>
  </w:style>
  <w:style w:type="character" w:customStyle="1" w:styleId="CommentTextChar">
    <w:name w:val="Comment Text Char"/>
    <w:basedOn w:val="DefaultParagraphFont"/>
    <w:link w:val="CommentText"/>
    <w:uiPriority w:val="99"/>
    <w:semiHidden/>
    <w:rsid w:val="00CC075E"/>
  </w:style>
  <w:style w:type="paragraph" w:styleId="CommentSubject">
    <w:name w:val="annotation subject"/>
    <w:basedOn w:val="CommentText"/>
    <w:next w:val="CommentText"/>
    <w:link w:val="CommentSubjectChar"/>
    <w:uiPriority w:val="99"/>
    <w:semiHidden/>
    <w:unhideWhenUsed/>
    <w:rsid w:val="00CC075E"/>
    <w:rPr>
      <w:b/>
      <w:bCs/>
    </w:rPr>
  </w:style>
  <w:style w:type="character" w:customStyle="1" w:styleId="CommentSubjectChar">
    <w:name w:val="Comment Subject Char"/>
    <w:basedOn w:val="CommentTextChar"/>
    <w:link w:val="CommentSubject"/>
    <w:uiPriority w:val="99"/>
    <w:semiHidden/>
    <w:rsid w:val="00CC0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40460">
      <w:bodyDiv w:val="1"/>
      <w:marLeft w:val="0"/>
      <w:marRight w:val="0"/>
      <w:marTop w:val="0"/>
      <w:marBottom w:val="0"/>
      <w:divBdr>
        <w:top w:val="none" w:sz="0" w:space="0" w:color="auto"/>
        <w:left w:val="none" w:sz="0" w:space="0" w:color="auto"/>
        <w:bottom w:val="none" w:sz="0" w:space="0" w:color="auto"/>
        <w:right w:val="none" w:sz="0" w:space="0" w:color="auto"/>
      </w:divBdr>
    </w:div>
    <w:div w:id="200241036">
      <w:bodyDiv w:val="1"/>
      <w:marLeft w:val="0"/>
      <w:marRight w:val="0"/>
      <w:marTop w:val="0"/>
      <w:marBottom w:val="0"/>
      <w:divBdr>
        <w:top w:val="none" w:sz="0" w:space="0" w:color="auto"/>
        <w:left w:val="none" w:sz="0" w:space="0" w:color="auto"/>
        <w:bottom w:val="none" w:sz="0" w:space="0" w:color="auto"/>
        <w:right w:val="none" w:sz="0" w:space="0" w:color="auto"/>
      </w:divBdr>
    </w:div>
    <w:div w:id="418913300">
      <w:bodyDiv w:val="1"/>
      <w:marLeft w:val="0"/>
      <w:marRight w:val="0"/>
      <w:marTop w:val="0"/>
      <w:marBottom w:val="0"/>
      <w:divBdr>
        <w:top w:val="none" w:sz="0" w:space="0" w:color="auto"/>
        <w:left w:val="none" w:sz="0" w:space="0" w:color="auto"/>
        <w:bottom w:val="none" w:sz="0" w:space="0" w:color="auto"/>
        <w:right w:val="none" w:sz="0" w:space="0" w:color="auto"/>
      </w:divBdr>
    </w:div>
    <w:div w:id="969241272">
      <w:bodyDiv w:val="1"/>
      <w:marLeft w:val="0"/>
      <w:marRight w:val="0"/>
      <w:marTop w:val="0"/>
      <w:marBottom w:val="0"/>
      <w:divBdr>
        <w:top w:val="none" w:sz="0" w:space="0" w:color="auto"/>
        <w:left w:val="none" w:sz="0" w:space="0" w:color="auto"/>
        <w:bottom w:val="none" w:sz="0" w:space="0" w:color="auto"/>
        <w:right w:val="none" w:sz="0" w:space="0" w:color="auto"/>
      </w:divBdr>
    </w:div>
    <w:div w:id="1310936677">
      <w:bodyDiv w:val="1"/>
      <w:marLeft w:val="0"/>
      <w:marRight w:val="0"/>
      <w:marTop w:val="0"/>
      <w:marBottom w:val="0"/>
      <w:divBdr>
        <w:top w:val="none" w:sz="0" w:space="0" w:color="auto"/>
        <w:left w:val="none" w:sz="0" w:space="0" w:color="auto"/>
        <w:bottom w:val="none" w:sz="0" w:space="0" w:color="auto"/>
        <w:right w:val="none" w:sz="0" w:space="0" w:color="auto"/>
      </w:divBdr>
    </w:div>
    <w:div w:id="1338728565">
      <w:bodyDiv w:val="1"/>
      <w:marLeft w:val="0"/>
      <w:marRight w:val="0"/>
      <w:marTop w:val="0"/>
      <w:marBottom w:val="0"/>
      <w:divBdr>
        <w:top w:val="none" w:sz="0" w:space="0" w:color="auto"/>
        <w:left w:val="none" w:sz="0" w:space="0" w:color="auto"/>
        <w:bottom w:val="none" w:sz="0" w:space="0" w:color="auto"/>
        <w:right w:val="none" w:sz="0" w:space="0" w:color="auto"/>
      </w:divBdr>
    </w:div>
    <w:div w:id="1507742729">
      <w:bodyDiv w:val="1"/>
      <w:marLeft w:val="0"/>
      <w:marRight w:val="0"/>
      <w:marTop w:val="0"/>
      <w:marBottom w:val="0"/>
      <w:divBdr>
        <w:top w:val="none" w:sz="0" w:space="0" w:color="auto"/>
        <w:left w:val="none" w:sz="0" w:space="0" w:color="auto"/>
        <w:bottom w:val="none" w:sz="0" w:space="0" w:color="auto"/>
        <w:right w:val="none" w:sz="0" w:space="0" w:color="auto"/>
      </w:divBdr>
    </w:div>
    <w:div w:id="1571499399">
      <w:bodyDiv w:val="1"/>
      <w:marLeft w:val="0"/>
      <w:marRight w:val="0"/>
      <w:marTop w:val="0"/>
      <w:marBottom w:val="0"/>
      <w:divBdr>
        <w:top w:val="none" w:sz="0" w:space="0" w:color="auto"/>
        <w:left w:val="none" w:sz="0" w:space="0" w:color="auto"/>
        <w:bottom w:val="none" w:sz="0" w:space="0" w:color="auto"/>
        <w:right w:val="none" w:sz="0" w:space="0" w:color="auto"/>
      </w:divBdr>
    </w:div>
    <w:div w:id="1623682233">
      <w:bodyDiv w:val="1"/>
      <w:marLeft w:val="0"/>
      <w:marRight w:val="0"/>
      <w:marTop w:val="0"/>
      <w:marBottom w:val="0"/>
      <w:divBdr>
        <w:top w:val="none" w:sz="0" w:space="0" w:color="auto"/>
        <w:left w:val="none" w:sz="0" w:space="0" w:color="auto"/>
        <w:bottom w:val="none" w:sz="0" w:space="0" w:color="auto"/>
        <w:right w:val="none" w:sz="0" w:space="0" w:color="auto"/>
      </w:divBdr>
    </w:div>
    <w:div w:id="1700087286">
      <w:bodyDiv w:val="1"/>
      <w:marLeft w:val="0"/>
      <w:marRight w:val="0"/>
      <w:marTop w:val="0"/>
      <w:marBottom w:val="0"/>
      <w:divBdr>
        <w:top w:val="none" w:sz="0" w:space="0" w:color="auto"/>
        <w:left w:val="none" w:sz="0" w:space="0" w:color="auto"/>
        <w:bottom w:val="none" w:sz="0" w:space="0" w:color="auto"/>
        <w:right w:val="none" w:sz="0" w:space="0" w:color="auto"/>
      </w:divBdr>
    </w:div>
    <w:div w:id="1853101368">
      <w:bodyDiv w:val="1"/>
      <w:marLeft w:val="0"/>
      <w:marRight w:val="0"/>
      <w:marTop w:val="0"/>
      <w:marBottom w:val="0"/>
      <w:divBdr>
        <w:top w:val="none" w:sz="0" w:space="0" w:color="auto"/>
        <w:left w:val="none" w:sz="0" w:space="0" w:color="auto"/>
        <w:bottom w:val="none" w:sz="0" w:space="0" w:color="auto"/>
        <w:right w:val="none" w:sz="0" w:space="0" w:color="auto"/>
      </w:divBdr>
    </w:div>
    <w:div w:id="21374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ba.tuck.dartmouth.edu/pages/faculty/ken.French/Data_Library/det_12_ind_por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wto.org/english/news_e/pres20_e/pr855_e.htm" TargetMode="External"/><Relationship Id="rId4" Type="http://schemas.openxmlformats.org/officeDocument/2006/relationships/settings" Target="settings.xml"/><Relationship Id="rId9" Type="http://schemas.openxmlformats.org/officeDocument/2006/relationships/hyperlink" Target="https://www.nam.org/wp-content/uploads/2020/03/NAM-SPECIAL-CORONA-SURVEY.pdf%20Last%20visited%205/13/202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ba.tuck.dartmouth.edu/pages/faculty/ken.French/Data_Library/det_12_ind_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5598C-EC85-4C2E-A0C2-DFC521A8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11840</Words>
  <Characters>67492</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North Carolina Central University</Company>
  <LinksUpToDate>false</LinksUpToDate>
  <CharactersWithSpaces>79174</CharactersWithSpaces>
  <SharedDoc>false</SharedDoc>
  <HLinks>
    <vt:vector size="24" baseType="variant">
      <vt:variant>
        <vt:i4>4980753</vt:i4>
      </vt:variant>
      <vt:variant>
        <vt:i4>6</vt:i4>
      </vt:variant>
      <vt:variant>
        <vt:i4>0</vt:i4>
      </vt:variant>
      <vt:variant>
        <vt:i4>5</vt:i4>
      </vt:variant>
      <vt:variant>
        <vt:lpwstr>https://mba.tuck.dartmouth.edu/pages/faculty/ken.French/Data_Library/det_12_ind_port.html</vt:lpwstr>
      </vt:variant>
      <vt:variant>
        <vt:lpwstr/>
      </vt:variant>
      <vt:variant>
        <vt:i4>7798814</vt:i4>
      </vt:variant>
      <vt:variant>
        <vt:i4>3</vt:i4>
      </vt:variant>
      <vt:variant>
        <vt:i4>0</vt:i4>
      </vt:variant>
      <vt:variant>
        <vt:i4>5</vt:i4>
      </vt:variant>
      <vt:variant>
        <vt:lpwstr>https://www.wto.org/english/news_e/pres20_e/pr855_e.htm</vt:lpwstr>
      </vt:variant>
      <vt:variant>
        <vt:lpwstr/>
      </vt:variant>
      <vt:variant>
        <vt:i4>6881383</vt:i4>
      </vt:variant>
      <vt:variant>
        <vt:i4>0</vt:i4>
      </vt:variant>
      <vt:variant>
        <vt:i4>0</vt:i4>
      </vt:variant>
      <vt:variant>
        <vt:i4>5</vt:i4>
      </vt:variant>
      <vt:variant>
        <vt:lpwstr>https://www.nam.org/wp-content/uploads/2020/03/NAM-SPECIAL-CORONA-SURVEY.pdf Last visited 5/13/2020</vt:lpwstr>
      </vt:variant>
      <vt:variant>
        <vt:lpwstr/>
      </vt:variant>
      <vt:variant>
        <vt:i4>4980753</vt:i4>
      </vt:variant>
      <vt:variant>
        <vt:i4>0</vt:i4>
      </vt:variant>
      <vt:variant>
        <vt:i4>0</vt:i4>
      </vt:variant>
      <vt:variant>
        <vt:i4>5</vt:i4>
      </vt:variant>
      <vt:variant>
        <vt:lpwstr>https://mba.tuck.dartmouth.edu/pages/faculty/ken.French/Data_Library/det_12_ind_port.html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Lavassani, Kayvan</dc:creator>
  <cp:lastModifiedBy>Lavassani, Kayvan</cp:lastModifiedBy>
  <cp:revision>5</cp:revision>
  <cp:lastPrinted>2020-07-18T18:18:00Z</cp:lastPrinted>
  <dcterms:created xsi:type="dcterms:W3CDTF">2020-08-20T21:06:00Z</dcterms:created>
  <dcterms:modified xsi:type="dcterms:W3CDTF">2020-08-20T21:28:00Z</dcterms:modified>
</cp:coreProperties>
</file>