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11F" w:rsidRPr="00542241" w:rsidRDefault="00D9011F" w:rsidP="00D87D36">
      <w:pPr>
        <w:jc w:val="right"/>
        <w:rPr>
          <w:sz w:val="22"/>
          <w:szCs w:val="24"/>
        </w:rPr>
      </w:pPr>
    </w:p>
    <w:p w:rsidR="00D87D36" w:rsidRPr="00542241" w:rsidRDefault="00D87D36" w:rsidP="00D87D36">
      <w:pPr>
        <w:rPr>
          <w:sz w:val="22"/>
          <w:szCs w:val="24"/>
        </w:rPr>
      </w:pPr>
    </w:p>
    <w:p w:rsidR="008738D5" w:rsidRPr="008738D5" w:rsidRDefault="008738D5" w:rsidP="008738D5">
      <w:pPr>
        <w:rPr>
          <w:sz w:val="24"/>
          <w:szCs w:val="22"/>
        </w:rPr>
      </w:pPr>
    </w:p>
    <w:p w:rsidR="008738D5" w:rsidRPr="008738D5" w:rsidRDefault="008738D5" w:rsidP="008738D5">
      <w:pPr>
        <w:rPr>
          <w:sz w:val="24"/>
          <w:szCs w:val="22"/>
        </w:rPr>
      </w:pPr>
    </w:p>
    <w:p w:rsidR="00E548C1" w:rsidRPr="00E548C1" w:rsidRDefault="00E548C1" w:rsidP="00E548C1">
      <w:pPr>
        <w:rPr>
          <w:sz w:val="24"/>
          <w:szCs w:val="22"/>
        </w:rPr>
      </w:pPr>
      <w:r w:rsidRPr="00E548C1">
        <w:rPr>
          <w:sz w:val="24"/>
          <w:szCs w:val="22"/>
        </w:rPr>
        <w:t>April 29, 2016</w:t>
      </w:r>
    </w:p>
    <w:p w:rsidR="00E548C1" w:rsidRPr="00E548C1" w:rsidRDefault="00E548C1" w:rsidP="00E548C1">
      <w:pPr>
        <w:rPr>
          <w:sz w:val="24"/>
          <w:szCs w:val="22"/>
        </w:rPr>
      </w:pPr>
    </w:p>
    <w:p w:rsidR="00E548C1" w:rsidRPr="00E548C1" w:rsidRDefault="00E548C1" w:rsidP="00E548C1">
      <w:pPr>
        <w:rPr>
          <w:sz w:val="24"/>
          <w:szCs w:val="22"/>
        </w:rPr>
      </w:pPr>
    </w:p>
    <w:p w:rsidR="00E548C1" w:rsidRPr="00E548C1" w:rsidRDefault="00E548C1" w:rsidP="00E548C1">
      <w:pPr>
        <w:rPr>
          <w:sz w:val="24"/>
          <w:szCs w:val="22"/>
        </w:rPr>
      </w:pPr>
      <w:r w:rsidRPr="00E548C1">
        <w:rPr>
          <w:sz w:val="24"/>
          <w:szCs w:val="22"/>
        </w:rPr>
        <w:t>Andrea Prosperetti</w:t>
      </w:r>
    </w:p>
    <w:p w:rsidR="00E548C1" w:rsidRPr="00E548C1" w:rsidRDefault="00E548C1" w:rsidP="00E548C1">
      <w:pPr>
        <w:rPr>
          <w:sz w:val="24"/>
          <w:szCs w:val="22"/>
        </w:rPr>
      </w:pPr>
      <w:r w:rsidRPr="00E548C1">
        <w:rPr>
          <w:sz w:val="24"/>
          <w:szCs w:val="22"/>
        </w:rPr>
        <w:t>Editor in Chief, International Journal of Multiphase Flow</w:t>
      </w:r>
    </w:p>
    <w:p w:rsidR="00E548C1" w:rsidRPr="00E548C1" w:rsidRDefault="00E548C1" w:rsidP="00E548C1">
      <w:pPr>
        <w:rPr>
          <w:sz w:val="24"/>
          <w:szCs w:val="22"/>
        </w:rPr>
      </w:pPr>
      <w:r w:rsidRPr="00E548C1">
        <w:rPr>
          <w:sz w:val="24"/>
          <w:szCs w:val="22"/>
        </w:rPr>
        <w:t>Department of Mechanical Engineering</w:t>
      </w:r>
    </w:p>
    <w:p w:rsidR="00E548C1" w:rsidRPr="00E548C1" w:rsidRDefault="00E548C1" w:rsidP="00E548C1">
      <w:pPr>
        <w:rPr>
          <w:sz w:val="24"/>
          <w:szCs w:val="22"/>
        </w:rPr>
      </w:pPr>
      <w:r w:rsidRPr="00E548C1">
        <w:rPr>
          <w:sz w:val="24"/>
          <w:szCs w:val="22"/>
        </w:rPr>
        <w:t>Johns Hopkins University</w:t>
      </w:r>
    </w:p>
    <w:p w:rsidR="00E548C1" w:rsidRPr="00E548C1" w:rsidRDefault="00E548C1" w:rsidP="00E548C1">
      <w:pPr>
        <w:rPr>
          <w:sz w:val="24"/>
          <w:szCs w:val="22"/>
        </w:rPr>
      </w:pPr>
      <w:r w:rsidRPr="00E548C1">
        <w:rPr>
          <w:sz w:val="24"/>
          <w:szCs w:val="22"/>
        </w:rPr>
        <w:t>Baltimore, MD 21218</w:t>
      </w:r>
    </w:p>
    <w:p w:rsidR="00E548C1" w:rsidRPr="00E548C1" w:rsidRDefault="00E548C1" w:rsidP="00E548C1">
      <w:pPr>
        <w:rPr>
          <w:sz w:val="24"/>
          <w:szCs w:val="22"/>
        </w:rPr>
      </w:pPr>
    </w:p>
    <w:p w:rsidR="00E548C1" w:rsidRPr="00E548C1" w:rsidRDefault="00E548C1" w:rsidP="00E548C1">
      <w:pPr>
        <w:rPr>
          <w:sz w:val="24"/>
          <w:szCs w:val="22"/>
        </w:rPr>
      </w:pPr>
    </w:p>
    <w:p w:rsidR="00E548C1" w:rsidRPr="00E548C1" w:rsidRDefault="00E548C1" w:rsidP="00E548C1">
      <w:pPr>
        <w:rPr>
          <w:sz w:val="24"/>
          <w:szCs w:val="22"/>
        </w:rPr>
      </w:pPr>
    </w:p>
    <w:p w:rsidR="00E548C1" w:rsidRPr="00E548C1" w:rsidRDefault="00E548C1" w:rsidP="00E548C1">
      <w:pPr>
        <w:rPr>
          <w:sz w:val="24"/>
          <w:szCs w:val="22"/>
        </w:rPr>
      </w:pPr>
      <w:r w:rsidRPr="00E548C1">
        <w:rPr>
          <w:sz w:val="24"/>
          <w:szCs w:val="22"/>
        </w:rPr>
        <w:t>Dear Professor Prosperetti:</w:t>
      </w:r>
    </w:p>
    <w:p w:rsidR="00E548C1" w:rsidRPr="00E548C1" w:rsidRDefault="00E548C1" w:rsidP="00E548C1">
      <w:pPr>
        <w:rPr>
          <w:sz w:val="24"/>
          <w:szCs w:val="22"/>
        </w:rPr>
      </w:pPr>
    </w:p>
    <w:p w:rsidR="00E548C1" w:rsidRPr="00E548C1" w:rsidRDefault="00E548C1" w:rsidP="00E548C1">
      <w:pPr>
        <w:rPr>
          <w:sz w:val="24"/>
        </w:rPr>
      </w:pPr>
      <w:r w:rsidRPr="00E548C1">
        <w:rPr>
          <w:sz w:val="24"/>
        </w:rPr>
        <w:t>We have submitted a paper entitled, “Evaluation of Stochastic Particle Dispersion Modeling in Turbulent Round Jets,”</w:t>
      </w:r>
      <w:r w:rsidRPr="00E548C1">
        <w:rPr>
          <w:sz w:val="32"/>
        </w:rPr>
        <w:t xml:space="preserve"> </w:t>
      </w:r>
      <w:r w:rsidRPr="00E548C1">
        <w:rPr>
          <w:sz w:val="24"/>
        </w:rPr>
        <w:t xml:space="preserve">by Guangyuan Sun, John Hewson, and David Lignell. One-dimensional turbulence (ODT) has been applied to a wide range of reacting and nonreacting flows. A novel feature of ODT is its ability to model (in one dimension) a full range of turbulent length and time scales. Very few attempts have been made to apply ODT to multi-phase flows with inertial particles. The submitted paper presents an important model validation of particle dispersion in shear flow. Three variations of the model are evaluated for the first time. The successful particle implementation in ODT lends insight and confidence in future applications to other configurations and to reacting flows, which are currently under development. </w:t>
      </w:r>
    </w:p>
    <w:p w:rsidR="00E548C1" w:rsidRPr="00E548C1" w:rsidRDefault="00E548C1" w:rsidP="00E548C1">
      <w:pPr>
        <w:rPr>
          <w:sz w:val="24"/>
        </w:rPr>
      </w:pPr>
    </w:p>
    <w:p w:rsidR="00E548C1" w:rsidRPr="00E548C1" w:rsidRDefault="00E548C1" w:rsidP="00E548C1">
      <w:pPr>
        <w:rPr>
          <w:sz w:val="24"/>
        </w:rPr>
      </w:pPr>
      <w:r w:rsidRPr="00E548C1">
        <w:rPr>
          <w:sz w:val="24"/>
        </w:rPr>
        <w:t xml:space="preserve">We appreciate your consideration of this paper for publication in the </w:t>
      </w:r>
      <w:r w:rsidRPr="00E548C1">
        <w:rPr>
          <w:i/>
          <w:sz w:val="24"/>
        </w:rPr>
        <w:t>International Journal of Multiphase Flow</w:t>
      </w:r>
      <w:r w:rsidRPr="00E548C1">
        <w:rPr>
          <w:sz w:val="24"/>
        </w:rPr>
        <w:t>.</w:t>
      </w:r>
    </w:p>
    <w:p w:rsidR="00E548C1" w:rsidRPr="00E548C1" w:rsidRDefault="00E548C1" w:rsidP="00E548C1">
      <w:pPr>
        <w:rPr>
          <w:sz w:val="24"/>
          <w:szCs w:val="22"/>
        </w:rPr>
      </w:pPr>
    </w:p>
    <w:p w:rsidR="00E548C1" w:rsidRPr="00E548C1" w:rsidRDefault="00E548C1" w:rsidP="00E548C1">
      <w:pPr>
        <w:rPr>
          <w:sz w:val="24"/>
          <w:szCs w:val="22"/>
        </w:rPr>
      </w:pPr>
    </w:p>
    <w:p w:rsidR="00E548C1" w:rsidRPr="00E548C1" w:rsidRDefault="00E548C1" w:rsidP="00E548C1">
      <w:pPr>
        <w:rPr>
          <w:sz w:val="24"/>
          <w:szCs w:val="22"/>
        </w:rPr>
      </w:pPr>
      <w:r w:rsidRPr="00E548C1">
        <w:rPr>
          <w:sz w:val="24"/>
          <w:szCs w:val="22"/>
        </w:rPr>
        <w:t>Sincerely,</w:t>
      </w:r>
    </w:p>
    <w:p w:rsidR="008738D5" w:rsidRPr="008738D5" w:rsidRDefault="008738D5" w:rsidP="008738D5">
      <w:pPr>
        <w:rPr>
          <w:sz w:val="24"/>
          <w:szCs w:val="22"/>
        </w:rPr>
      </w:pPr>
    </w:p>
    <w:p w:rsidR="008738D5" w:rsidRDefault="008738D5" w:rsidP="008738D5">
      <w:pPr>
        <w:rPr>
          <w:sz w:val="24"/>
          <w:szCs w:val="22"/>
        </w:rPr>
      </w:pPr>
    </w:p>
    <w:p w:rsidR="00E548C1" w:rsidRDefault="00E548C1" w:rsidP="008738D5">
      <w:pPr>
        <w:rPr>
          <w:sz w:val="24"/>
          <w:szCs w:val="22"/>
        </w:rPr>
      </w:pPr>
    </w:p>
    <w:p w:rsidR="00E548C1" w:rsidRPr="008738D5" w:rsidRDefault="00E548C1" w:rsidP="008738D5">
      <w:pPr>
        <w:rPr>
          <w:sz w:val="24"/>
          <w:szCs w:val="22"/>
        </w:rPr>
      </w:pPr>
      <w:bookmarkStart w:id="0" w:name="_GoBack"/>
      <w:bookmarkEnd w:id="0"/>
    </w:p>
    <w:p w:rsidR="008738D5" w:rsidRPr="008738D5" w:rsidRDefault="008738D5" w:rsidP="008738D5">
      <w:pPr>
        <w:rPr>
          <w:sz w:val="24"/>
          <w:szCs w:val="22"/>
        </w:rPr>
      </w:pPr>
    </w:p>
    <w:p w:rsidR="008738D5" w:rsidRPr="008738D5" w:rsidRDefault="008738D5" w:rsidP="008738D5">
      <w:pPr>
        <w:rPr>
          <w:sz w:val="24"/>
          <w:szCs w:val="22"/>
        </w:rPr>
      </w:pPr>
      <w:r w:rsidRPr="008738D5">
        <w:rPr>
          <w:sz w:val="24"/>
          <w:szCs w:val="22"/>
        </w:rPr>
        <w:t>David O. Lignell</w:t>
      </w:r>
    </w:p>
    <w:p w:rsidR="008738D5" w:rsidRPr="008738D5" w:rsidRDefault="008738D5" w:rsidP="008738D5">
      <w:pPr>
        <w:rPr>
          <w:sz w:val="24"/>
          <w:szCs w:val="22"/>
        </w:rPr>
      </w:pPr>
      <w:r w:rsidRPr="008738D5">
        <w:rPr>
          <w:sz w:val="24"/>
          <w:szCs w:val="22"/>
        </w:rPr>
        <w:t>Associate Professor, Associate Chair</w:t>
      </w:r>
    </w:p>
    <w:p w:rsidR="008738D5" w:rsidRPr="008738D5" w:rsidRDefault="008738D5" w:rsidP="008738D5">
      <w:pPr>
        <w:rPr>
          <w:sz w:val="24"/>
        </w:rPr>
      </w:pPr>
      <w:r w:rsidRPr="008738D5">
        <w:rPr>
          <w:sz w:val="24"/>
          <w:szCs w:val="22"/>
        </w:rPr>
        <w:t>Chemical Engineering Department</w:t>
      </w:r>
    </w:p>
    <w:p w:rsidR="008738D5" w:rsidRPr="008738D5" w:rsidRDefault="008738D5" w:rsidP="008738D5">
      <w:pPr>
        <w:rPr>
          <w:sz w:val="24"/>
          <w:szCs w:val="22"/>
        </w:rPr>
      </w:pPr>
      <w:r w:rsidRPr="008738D5">
        <w:rPr>
          <w:sz w:val="24"/>
          <w:szCs w:val="22"/>
        </w:rPr>
        <w:t>Brigham Young University</w:t>
      </w:r>
    </w:p>
    <w:p w:rsidR="00102F10" w:rsidRPr="008738D5" w:rsidRDefault="00102F10" w:rsidP="00070372">
      <w:pPr>
        <w:tabs>
          <w:tab w:val="left" w:pos="6840"/>
        </w:tabs>
        <w:rPr>
          <w:sz w:val="36"/>
          <w:szCs w:val="24"/>
        </w:rPr>
      </w:pPr>
    </w:p>
    <w:p w:rsidR="00102F10" w:rsidRPr="00D87D36" w:rsidRDefault="00102F10" w:rsidP="0059799A">
      <w:pPr>
        <w:rPr>
          <w:sz w:val="24"/>
          <w:szCs w:val="24"/>
        </w:rPr>
      </w:pPr>
    </w:p>
    <w:sectPr w:rsidR="00102F10" w:rsidRPr="00D87D36" w:rsidSect="00102F10">
      <w:footerReference w:type="default" r:id="rId7"/>
      <w:headerReference w:type="first" r:id="rId8"/>
      <w:footerReference w:type="first" r:id="rId9"/>
      <w:pgSz w:w="12240" w:h="15840" w:code="1"/>
      <w:pgMar w:top="1440" w:right="1440" w:bottom="1728"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C89" w:rsidRDefault="00BC5C89">
      <w:r>
        <w:separator/>
      </w:r>
    </w:p>
  </w:endnote>
  <w:endnote w:type="continuationSeparator" w:id="0">
    <w:p w:rsidR="00BC5C89" w:rsidRDefault="00BC5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G Times">
    <w:altName w:val="Times New Roman"/>
    <w:panose1 w:val="020B0604020202020204"/>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F10" w:rsidRPr="00087264" w:rsidRDefault="00102F10" w:rsidP="00102F10">
    <w:pPr>
      <w:pStyle w:val="Footer"/>
      <w:spacing w:after="60"/>
      <w:jc w:val="center"/>
      <w:rPr>
        <w:caps/>
        <w:color w:val="999999"/>
        <w:sz w:val="16"/>
        <w:szCs w:val="16"/>
      </w:rPr>
    </w:pPr>
    <w:r w:rsidRPr="00087264">
      <w:rPr>
        <w:caps/>
        <w:color w:val="999999"/>
        <w:sz w:val="16"/>
        <w:szCs w:val="16"/>
      </w:rPr>
      <w:t xml:space="preserve">Brigham Young University • </w:t>
    </w:r>
    <w:r>
      <w:rPr>
        <w:caps/>
        <w:color w:val="999999"/>
        <w:sz w:val="16"/>
        <w:szCs w:val="16"/>
      </w:rPr>
      <w:t xml:space="preserve">240 engineering Building </w:t>
    </w:r>
    <w:r w:rsidRPr="00087264">
      <w:rPr>
        <w:caps/>
        <w:color w:val="999999"/>
        <w:sz w:val="16"/>
        <w:szCs w:val="16"/>
      </w:rPr>
      <w:t>•</w:t>
    </w:r>
    <w:r>
      <w:rPr>
        <w:caps/>
        <w:color w:val="999999"/>
        <w:sz w:val="16"/>
        <w:szCs w:val="16"/>
      </w:rPr>
      <w:t xml:space="preserve"> Provo, Utah 84602</w:t>
    </w:r>
  </w:p>
  <w:p w:rsidR="00102F10" w:rsidRPr="00087264" w:rsidRDefault="00102F10" w:rsidP="00102F10">
    <w:pPr>
      <w:pStyle w:val="Footer"/>
      <w:spacing w:after="60"/>
      <w:jc w:val="center"/>
      <w:rPr>
        <w:sz w:val="16"/>
        <w:szCs w:val="16"/>
      </w:rPr>
    </w:pPr>
    <w:r>
      <w:rPr>
        <w:color w:val="999999"/>
        <w:sz w:val="16"/>
        <w:szCs w:val="16"/>
      </w:rPr>
      <w:t>(801) 422-4326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0C2" w:rsidRPr="00070372" w:rsidRDefault="00B300C2" w:rsidP="006A362E">
    <w:pPr>
      <w:pStyle w:val="Footer"/>
      <w:spacing w:after="60"/>
      <w:jc w:val="center"/>
      <w:rPr>
        <w:caps/>
        <w:color w:val="808080" w:themeColor="background1" w:themeShade="80"/>
        <w:sz w:val="16"/>
        <w:szCs w:val="16"/>
      </w:rPr>
    </w:pPr>
    <w:r w:rsidRPr="00070372">
      <w:rPr>
        <w:caps/>
        <w:color w:val="808080" w:themeColor="background1" w:themeShade="80"/>
        <w:sz w:val="16"/>
        <w:szCs w:val="16"/>
      </w:rPr>
      <w:t xml:space="preserve">Brigham Young University • </w:t>
    </w:r>
    <w:r w:rsidR="00D21750" w:rsidRPr="00070372">
      <w:rPr>
        <w:caps/>
        <w:color w:val="808080" w:themeColor="background1" w:themeShade="80"/>
        <w:sz w:val="16"/>
        <w:szCs w:val="16"/>
      </w:rPr>
      <w:t>330</w:t>
    </w:r>
    <w:r w:rsidR="007C1764" w:rsidRPr="00070372">
      <w:rPr>
        <w:caps/>
        <w:color w:val="808080" w:themeColor="background1" w:themeShade="80"/>
        <w:sz w:val="16"/>
        <w:szCs w:val="16"/>
      </w:rPr>
      <w:t xml:space="preserve"> </w:t>
    </w:r>
    <w:r w:rsidR="00EA0FF9" w:rsidRPr="00070372">
      <w:rPr>
        <w:caps/>
        <w:color w:val="808080" w:themeColor="background1" w:themeShade="80"/>
        <w:sz w:val="16"/>
        <w:szCs w:val="16"/>
      </w:rPr>
      <w:t>e</w:t>
    </w:r>
    <w:r w:rsidR="007C1764" w:rsidRPr="00070372">
      <w:rPr>
        <w:caps/>
        <w:color w:val="808080" w:themeColor="background1" w:themeShade="80"/>
        <w:sz w:val="16"/>
        <w:szCs w:val="16"/>
      </w:rPr>
      <w:t>ngineering</w:t>
    </w:r>
    <w:r w:rsidR="00EA0FF9" w:rsidRPr="00070372">
      <w:rPr>
        <w:caps/>
        <w:color w:val="808080" w:themeColor="background1" w:themeShade="80"/>
        <w:sz w:val="16"/>
        <w:szCs w:val="16"/>
      </w:rPr>
      <w:t xml:space="preserve"> Building • Provo, Utah 84602</w:t>
    </w:r>
  </w:p>
  <w:p w:rsidR="00B300C2" w:rsidRPr="00070372" w:rsidRDefault="00C8381F" w:rsidP="006A362E">
    <w:pPr>
      <w:pStyle w:val="Footer"/>
      <w:spacing w:after="60"/>
      <w:jc w:val="center"/>
      <w:rPr>
        <w:color w:val="808080" w:themeColor="background1" w:themeShade="80"/>
        <w:sz w:val="16"/>
        <w:szCs w:val="16"/>
      </w:rPr>
    </w:pPr>
    <w:r w:rsidRPr="00070372">
      <w:rPr>
        <w:color w:val="808080" w:themeColor="background1" w:themeShade="80"/>
        <w:sz w:val="16"/>
        <w:szCs w:val="16"/>
      </w:rPr>
      <w:t>(801) 422-</w:t>
    </w:r>
    <w:r w:rsidR="00D21750" w:rsidRPr="00070372">
      <w:rPr>
        <w:color w:val="808080" w:themeColor="background1" w:themeShade="80"/>
        <w:sz w:val="16"/>
        <w:szCs w:val="16"/>
      </w:rPr>
      <w:t>2586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C89" w:rsidRDefault="00BC5C89">
      <w:r>
        <w:separator/>
      </w:r>
    </w:p>
  </w:footnote>
  <w:footnote w:type="continuationSeparator" w:id="0">
    <w:p w:rsidR="00BC5C89" w:rsidRDefault="00BC5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0C2" w:rsidRDefault="00B300C2" w:rsidP="006A362E">
    <w:pPr>
      <w:pStyle w:val="Header"/>
      <w:rPr>
        <w:smallCaps/>
        <w:sz w:val="22"/>
        <w:szCs w:val="22"/>
      </w:rPr>
    </w:pPr>
    <w:r>
      <w:rPr>
        <w:smallCaps/>
        <w:noProof/>
        <w:sz w:val="22"/>
        <w:szCs w:val="22"/>
      </w:rPr>
      <w:drawing>
        <wp:anchor distT="0" distB="0" distL="114300" distR="114300" simplePos="0" relativeHeight="251657728" behindDoc="1" locked="0" layoutInCell="1" allowOverlap="1">
          <wp:simplePos x="0" y="0"/>
          <wp:positionH relativeFrom="column">
            <wp:posOffset>2514600</wp:posOffset>
          </wp:positionH>
          <wp:positionV relativeFrom="paragraph">
            <wp:posOffset>0</wp:posOffset>
          </wp:positionV>
          <wp:extent cx="914400" cy="914400"/>
          <wp:effectExtent l="19050" t="0" r="0" b="0"/>
          <wp:wrapThrough wrapText="bothSides">
            <wp:wrapPolygon edited="0">
              <wp:start x="6750" y="0"/>
              <wp:lineTo x="4050" y="1350"/>
              <wp:lineTo x="-450" y="5850"/>
              <wp:lineTo x="-450" y="15750"/>
              <wp:lineTo x="5400" y="21150"/>
              <wp:lineTo x="6750" y="21150"/>
              <wp:lineTo x="14850" y="21150"/>
              <wp:lineTo x="16200" y="21150"/>
              <wp:lineTo x="21600" y="15750"/>
              <wp:lineTo x="21600" y="5400"/>
              <wp:lineTo x="18000" y="1800"/>
              <wp:lineTo x="14850" y="0"/>
              <wp:lineTo x="6750" y="0"/>
            </wp:wrapPolygon>
          </wp:wrapThrough>
          <wp:docPr id="1" name="Picture 1" descr="MedallionLG1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allionLG1pc[1]"/>
                  <pic:cNvPicPr>
                    <a:picLocks noChangeAspect="1" noChangeArrowheads="1"/>
                  </pic:cNvPicPr>
                </pic:nvPicPr>
                <pic:blipFill>
                  <a:blip r:embed="rId1"/>
                  <a:srcRect/>
                  <a:stretch>
                    <a:fillRect/>
                  </a:stretch>
                </pic:blipFill>
                <pic:spPr bwMode="auto">
                  <a:xfrm>
                    <a:off x="0" y="0"/>
                    <a:ext cx="914400" cy="914400"/>
                  </a:xfrm>
                  <a:prstGeom prst="rect">
                    <a:avLst/>
                  </a:prstGeom>
                  <a:noFill/>
                  <a:ln w="9525">
                    <a:noFill/>
                    <a:miter lim="800000"/>
                    <a:headEnd/>
                    <a:tailEnd/>
                  </a:ln>
                </pic:spPr>
              </pic:pic>
            </a:graphicData>
          </a:graphic>
        </wp:anchor>
      </w:drawing>
    </w:r>
  </w:p>
  <w:p w:rsidR="00B300C2" w:rsidRDefault="00B300C2" w:rsidP="006A362E">
    <w:pPr>
      <w:pStyle w:val="Header"/>
      <w:rPr>
        <w:smallCaps/>
        <w:sz w:val="22"/>
        <w:szCs w:val="22"/>
      </w:rPr>
    </w:pPr>
  </w:p>
  <w:p w:rsidR="00EA0FF9" w:rsidRPr="00070372" w:rsidRDefault="00D21750" w:rsidP="006A362E">
    <w:pPr>
      <w:pStyle w:val="Header"/>
      <w:rPr>
        <w:smallCaps/>
        <w:color w:val="5F5F5F"/>
        <w:sz w:val="22"/>
        <w:szCs w:val="22"/>
      </w:rPr>
    </w:pPr>
    <w:r w:rsidRPr="00070372">
      <w:rPr>
        <w:smallCaps/>
        <w:color w:val="5F5F5F"/>
        <w:sz w:val="22"/>
        <w:szCs w:val="22"/>
      </w:rPr>
      <w:t xml:space="preserve">chemical </w:t>
    </w:r>
    <w:r w:rsidR="00E0157A" w:rsidRPr="00070372">
      <w:rPr>
        <w:smallCaps/>
        <w:color w:val="5F5F5F"/>
        <w:sz w:val="22"/>
        <w:szCs w:val="22"/>
      </w:rPr>
      <w:t>Eng</w:t>
    </w:r>
    <w:r w:rsidR="00C8381F" w:rsidRPr="00070372">
      <w:rPr>
        <w:smallCaps/>
        <w:color w:val="5F5F5F"/>
        <w:sz w:val="22"/>
        <w:szCs w:val="22"/>
      </w:rPr>
      <w:t>ineering</w:t>
    </w:r>
    <w:r w:rsidRPr="00070372">
      <w:rPr>
        <w:smallCaps/>
        <w:color w:val="5F5F5F"/>
        <w:sz w:val="22"/>
        <w:szCs w:val="22"/>
      </w:rPr>
      <w:t xml:space="preserve"> department</w:t>
    </w:r>
  </w:p>
  <w:p w:rsidR="00542241" w:rsidRPr="00070372" w:rsidRDefault="00647EE4" w:rsidP="007C1764">
    <w:pPr>
      <w:pStyle w:val="Header"/>
      <w:rPr>
        <w:smallCaps/>
        <w:color w:val="5F5F5F"/>
      </w:rPr>
    </w:pPr>
    <w:r w:rsidRPr="00070372">
      <w:rPr>
        <w:smallCaps/>
        <w:color w:val="5F5F5F"/>
      </w:rPr>
      <w:t>Ira A. Fulton College of</w:t>
    </w:r>
    <w:r w:rsidR="007C1764" w:rsidRPr="00070372">
      <w:rPr>
        <w:smallCaps/>
        <w:color w:val="5F5F5F"/>
      </w:rPr>
      <w:t xml:space="preserve"> Engineering</w:t>
    </w:r>
  </w:p>
  <w:p w:rsidR="00B300C2" w:rsidRDefault="00B30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014A6"/>
    <w:multiLevelType w:val="hybridMultilevel"/>
    <w:tmpl w:val="A67A2A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796910"/>
    <w:multiLevelType w:val="hybridMultilevel"/>
    <w:tmpl w:val="9C5268C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2" w15:restartNumberingAfterBreak="0">
    <w:nsid w:val="2B0A6655"/>
    <w:multiLevelType w:val="hybridMultilevel"/>
    <w:tmpl w:val="8CAE8116"/>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 w15:restartNumberingAfterBreak="0">
    <w:nsid w:val="40F07CD5"/>
    <w:multiLevelType w:val="hybridMultilevel"/>
    <w:tmpl w:val="753632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31329A"/>
    <w:multiLevelType w:val="hybridMultilevel"/>
    <w:tmpl w:val="27703BE6"/>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5" w15:restartNumberingAfterBreak="0">
    <w:nsid w:val="597F286A"/>
    <w:multiLevelType w:val="hybridMultilevel"/>
    <w:tmpl w:val="320687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520927"/>
    <w:multiLevelType w:val="hybridMultilevel"/>
    <w:tmpl w:val="95EE567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7DCB15D9"/>
    <w:multiLevelType w:val="hybridMultilevel"/>
    <w:tmpl w:val="E6388588"/>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8" w15:restartNumberingAfterBreak="0">
    <w:nsid w:val="7F9C5BC8"/>
    <w:multiLevelType w:val="hybridMultilevel"/>
    <w:tmpl w:val="AEB86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3"/>
  </w:num>
  <w:num w:numId="4">
    <w:abstractNumId w:val="8"/>
  </w:num>
  <w:num w:numId="5">
    <w:abstractNumId w:val="7"/>
  </w:num>
  <w:num w:numId="6">
    <w:abstractNumId w:val="2"/>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5CB"/>
    <w:rsid w:val="00040C41"/>
    <w:rsid w:val="00042B8A"/>
    <w:rsid w:val="00055DAE"/>
    <w:rsid w:val="00064E3A"/>
    <w:rsid w:val="00070372"/>
    <w:rsid w:val="00080A79"/>
    <w:rsid w:val="0009505C"/>
    <w:rsid w:val="000C1C3C"/>
    <w:rsid w:val="000D2CD0"/>
    <w:rsid w:val="000E4B0C"/>
    <w:rsid w:val="00102F10"/>
    <w:rsid w:val="001405CB"/>
    <w:rsid w:val="0015136E"/>
    <w:rsid w:val="00165F1D"/>
    <w:rsid w:val="0018110A"/>
    <w:rsid w:val="0018339F"/>
    <w:rsid w:val="00190D19"/>
    <w:rsid w:val="001A6E2C"/>
    <w:rsid w:val="001B07C9"/>
    <w:rsid w:val="001B234E"/>
    <w:rsid w:val="001C07CA"/>
    <w:rsid w:val="001D15F1"/>
    <w:rsid w:val="001D20C2"/>
    <w:rsid w:val="001F73C6"/>
    <w:rsid w:val="00203292"/>
    <w:rsid w:val="00211FD6"/>
    <w:rsid w:val="0021705F"/>
    <w:rsid w:val="00222950"/>
    <w:rsid w:val="002260F8"/>
    <w:rsid w:val="00227599"/>
    <w:rsid w:val="00236C1E"/>
    <w:rsid w:val="002376D7"/>
    <w:rsid w:val="0025021D"/>
    <w:rsid w:val="00267D48"/>
    <w:rsid w:val="00272C6D"/>
    <w:rsid w:val="002757BD"/>
    <w:rsid w:val="002842F9"/>
    <w:rsid w:val="002A47B1"/>
    <w:rsid w:val="002A5690"/>
    <w:rsid w:val="002B72F7"/>
    <w:rsid w:val="002C2973"/>
    <w:rsid w:val="002C3C10"/>
    <w:rsid w:val="002F10C3"/>
    <w:rsid w:val="003020A0"/>
    <w:rsid w:val="003119C2"/>
    <w:rsid w:val="0036015B"/>
    <w:rsid w:val="0036040C"/>
    <w:rsid w:val="00373838"/>
    <w:rsid w:val="00382826"/>
    <w:rsid w:val="003942D5"/>
    <w:rsid w:val="00394CA3"/>
    <w:rsid w:val="003B4E22"/>
    <w:rsid w:val="003C7CD1"/>
    <w:rsid w:val="003E3CC6"/>
    <w:rsid w:val="0040464E"/>
    <w:rsid w:val="00421ADC"/>
    <w:rsid w:val="004417BE"/>
    <w:rsid w:val="00441FB9"/>
    <w:rsid w:val="004C05DC"/>
    <w:rsid w:val="004D2694"/>
    <w:rsid w:val="00522769"/>
    <w:rsid w:val="0054206F"/>
    <w:rsid w:val="00542241"/>
    <w:rsid w:val="00577BBD"/>
    <w:rsid w:val="00590AE4"/>
    <w:rsid w:val="0059799A"/>
    <w:rsid w:val="005A53E5"/>
    <w:rsid w:val="005C1301"/>
    <w:rsid w:val="005D2C4E"/>
    <w:rsid w:val="005F045C"/>
    <w:rsid w:val="005F1411"/>
    <w:rsid w:val="00603C87"/>
    <w:rsid w:val="0060675E"/>
    <w:rsid w:val="00626288"/>
    <w:rsid w:val="00646858"/>
    <w:rsid w:val="00647EE4"/>
    <w:rsid w:val="00665BD1"/>
    <w:rsid w:val="006A362E"/>
    <w:rsid w:val="006A45F7"/>
    <w:rsid w:val="006C4C42"/>
    <w:rsid w:val="006C7F07"/>
    <w:rsid w:val="006F4E14"/>
    <w:rsid w:val="007043AB"/>
    <w:rsid w:val="007233B2"/>
    <w:rsid w:val="0076446D"/>
    <w:rsid w:val="007702BB"/>
    <w:rsid w:val="007A6616"/>
    <w:rsid w:val="007B02A7"/>
    <w:rsid w:val="007B2F48"/>
    <w:rsid w:val="007C1764"/>
    <w:rsid w:val="007C6BA7"/>
    <w:rsid w:val="007E3B63"/>
    <w:rsid w:val="007F2E45"/>
    <w:rsid w:val="008028CB"/>
    <w:rsid w:val="00813059"/>
    <w:rsid w:val="008168C2"/>
    <w:rsid w:val="00824F38"/>
    <w:rsid w:val="0084714A"/>
    <w:rsid w:val="008738D5"/>
    <w:rsid w:val="00883E77"/>
    <w:rsid w:val="00890744"/>
    <w:rsid w:val="008A4635"/>
    <w:rsid w:val="008B10EE"/>
    <w:rsid w:val="008B22F0"/>
    <w:rsid w:val="008F0A73"/>
    <w:rsid w:val="00917196"/>
    <w:rsid w:val="009514AB"/>
    <w:rsid w:val="00967988"/>
    <w:rsid w:val="0098069A"/>
    <w:rsid w:val="00982DC3"/>
    <w:rsid w:val="009B1450"/>
    <w:rsid w:val="009F6505"/>
    <w:rsid w:val="00A43325"/>
    <w:rsid w:val="00A556D0"/>
    <w:rsid w:val="00A65C9D"/>
    <w:rsid w:val="00AC2E8E"/>
    <w:rsid w:val="00AD020E"/>
    <w:rsid w:val="00AE4503"/>
    <w:rsid w:val="00B1180A"/>
    <w:rsid w:val="00B11D02"/>
    <w:rsid w:val="00B2442E"/>
    <w:rsid w:val="00B260B3"/>
    <w:rsid w:val="00B300C2"/>
    <w:rsid w:val="00B4091A"/>
    <w:rsid w:val="00B41913"/>
    <w:rsid w:val="00B5545D"/>
    <w:rsid w:val="00B61021"/>
    <w:rsid w:val="00B946F2"/>
    <w:rsid w:val="00BC5C89"/>
    <w:rsid w:val="00C03084"/>
    <w:rsid w:val="00C179FE"/>
    <w:rsid w:val="00C22D59"/>
    <w:rsid w:val="00C24C3A"/>
    <w:rsid w:val="00C31541"/>
    <w:rsid w:val="00C8381F"/>
    <w:rsid w:val="00CA4AAF"/>
    <w:rsid w:val="00CD3E51"/>
    <w:rsid w:val="00CF0974"/>
    <w:rsid w:val="00CF57EB"/>
    <w:rsid w:val="00D00778"/>
    <w:rsid w:val="00D07BFC"/>
    <w:rsid w:val="00D21750"/>
    <w:rsid w:val="00D4203A"/>
    <w:rsid w:val="00D56593"/>
    <w:rsid w:val="00D61F54"/>
    <w:rsid w:val="00D73E89"/>
    <w:rsid w:val="00D87D36"/>
    <w:rsid w:val="00D9011F"/>
    <w:rsid w:val="00DA4E09"/>
    <w:rsid w:val="00DB3CB9"/>
    <w:rsid w:val="00DC37DA"/>
    <w:rsid w:val="00DC41BA"/>
    <w:rsid w:val="00DC7C3B"/>
    <w:rsid w:val="00DD6ECB"/>
    <w:rsid w:val="00DF617D"/>
    <w:rsid w:val="00E0157A"/>
    <w:rsid w:val="00E548C1"/>
    <w:rsid w:val="00E56561"/>
    <w:rsid w:val="00E65A5D"/>
    <w:rsid w:val="00E775DB"/>
    <w:rsid w:val="00E8510D"/>
    <w:rsid w:val="00E91804"/>
    <w:rsid w:val="00E937DB"/>
    <w:rsid w:val="00E93FA5"/>
    <w:rsid w:val="00EA0FF9"/>
    <w:rsid w:val="00EB17B5"/>
    <w:rsid w:val="00ED4279"/>
    <w:rsid w:val="00ED702B"/>
    <w:rsid w:val="00EE54EA"/>
    <w:rsid w:val="00EF486D"/>
    <w:rsid w:val="00F32DE6"/>
    <w:rsid w:val="00F84C24"/>
    <w:rsid w:val="00FA1241"/>
    <w:rsid w:val="00FD2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3B8818"/>
  <w15:docId w15:val="{CCA1CB26-D7A6-4E0F-9040-B6218A51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227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362E"/>
    <w:pPr>
      <w:tabs>
        <w:tab w:val="center" w:pos="4320"/>
        <w:tab w:val="right" w:pos="8640"/>
      </w:tabs>
    </w:pPr>
  </w:style>
  <w:style w:type="paragraph" w:styleId="Footer">
    <w:name w:val="footer"/>
    <w:basedOn w:val="Normal"/>
    <w:rsid w:val="006A362E"/>
    <w:pPr>
      <w:tabs>
        <w:tab w:val="center" w:pos="4320"/>
        <w:tab w:val="right" w:pos="8640"/>
      </w:tabs>
    </w:pPr>
  </w:style>
  <w:style w:type="character" w:styleId="Hyperlink">
    <w:name w:val="Hyperlink"/>
    <w:basedOn w:val="DefaultParagraphFont"/>
    <w:rsid w:val="002260F8"/>
    <w:rPr>
      <w:color w:val="0000FF"/>
      <w:u w:val="single"/>
    </w:rPr>
  </w:style>
  <w:style w:type="paragraph" w:styleId="IntenseQuote">
    <w:name w:val="Intense Quote"/>
    <w:basedOn w:val="Normal"/>
    <w:next w:val="Normal"/>
    <w:link w:val="IntenseQuoteChar"/>
    <w:qFormat/>
    <w:rsid w:val="002260F8"/>
    <w:pPr>
      <w:widowControl w:val="0"/>
      <w:pBdr>
        <w:bottom w:val="single" w:sz="4" w:space="4" w:color="4F81BD"/>
      </w:pBdr>
      <w:autoSpaceDE w:val="0"/>
      <w:autoSpaceDN w:val="0"/>
      <w:adjustRightInd w:val="0"/>
      <w:spacing w:before="200" w:after="280"/>
      <w:ind w:left="936" w:right="936"/>
    </w:pPr>
    <w:rPr>
      <w:rFonts w:ascii="CG Times" w:hAnsi="CG Times"/>
      <w:b/>
      <w:bCs/>
      <w:i/>
      <w:iCs/>
      <w:color w:val="4F81BD"/>
    </w:rPr>
  </w:style>
  <w:style w:type="character" w:customStyle="1" w:styleId="IntenseQuoteChar">
    <w:name w:val="Intense Quote Char"/>
    <w:basedOn w:val="DefaultParagraphFont"/>
    <w:link w:val="IntenseQuote"/>
    <w:rsid w:val="002260F8"/>
    <w:rPr>
      <w:rFonts w:ascii="CG Times" w:hAnsi="CG Times"/>
      <w:b/>
      <w:bCs/>
      <w:i/>
      <w:iCs/>
      <w:color w:val="4F81BD"/>
      <w:lang w:val="en-US" w:eastAsia="en-US" w:bidi="ar-SA"/>
    </w:rPr>
  </w:style>
  <w:style w:type="character" w:styleId="FollowedHyperlink">
    <w:name w:val="FollowedHyperlink"/>
    <w:basedOn w:val="DefaultParagraphFont"/>
    <w:rsid w:val="004C05DC"/>
    <w:rPr>
      <w:color w:val="800080"/>
      <w:u w:val="single"/>
    </w:rPr>
  </w:style>
  <w:style w:type="paragraph" w:styleId="BalloonText">
    <w:name w:val="Balloon Text"/>
    <w:basedOn w:val="Normal"/>
    <w:link w:val="BalloonTextChar"/>
    <w:rsid w:val="0084714A"/>
    <w:rPr>
      <w:rFonts w:ascii="Tahoma" w:hAnsi="Tahoma" w:cs="Tahoma"/>
      <w:sz w:val="16"/>
      <w:szCs w:val="16"/>
    </w:rPr>
  </w:style>
  <w:style w:type="character" w:customStyle="1" w:styleId="BalloonTextChar">
    <w:name w:val="Balloon Text Char"/>
    <w:basedOn w:val="DefaultParagraphFont"/>
    <w:link w:val="BalloonText"/>
    <w:rsid w:val="008471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Prof</vt:lpstr>
    </vt:vector>
  </TitlesOfParts>
  <Company>BYU  ECEN</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dc:title>
  <dc:creator>Michael Jensen</dc:creator>
  <cp:lastModifiedBy>DOL</cp:lastModifiedBy>
  <cp:revision>7</cp:revision>
  <cp:lastPrinted>2019-01-09T16:20:00Z</cp:lastPrinted>
  <dcterms:created xsi:type="dcterms:W3CDTF">2019-01-09T16:14:00Z</dcterms:created>
  <dcterms:modified xsi:type="dcterms:W3CDTF">2019-07-18T19:28:00Z</dcterms:modified>
</cp:coreProperties>
</file>