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작성 및 설계 논의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-API 기술 공유 / DB 설계 계획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점심 식사를 통한 친목 도모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스크럼 회의 진행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API기술 정보 공유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베이스 설계 관련 논의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2023.04.18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要求事項定義書作成及び設計論議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-API技術共有/DB設計計画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チーム昼食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スクラム会議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API技術情報共有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データベース設計関連論議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ind w:left="720" w:firstLine="0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YcaJ8i1TJKyVVI2e/wKoOHzQFw==">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