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2023.04.27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PPT / API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-데이터베이스 설계  화면 설계도 작성 마무리 중간 발표 PPT작업 결제 API 정보수집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ind w:left="144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중간 발표를 위한 PPT 작업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 설계도 작성 ( 핸드프린팅 / 화면 정의서 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문제점 파악 후 문제 해결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결제 관련 API 정보 수집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중간 발표를 위한 PPT 작업과 발표 준비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2023.04.27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2023.04.27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PPT /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データベース設計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画面設計図作成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中間発表PPT作業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決済API情報収集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left"/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　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t xml:space="preserve">中間発表のためのPPT作業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画面設計図作成 ( ハンドプリンティング / 画面定義書 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問題点把握後問題解決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決済関連API情報収集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中間発表のためのPPT作業と発表準備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OlzwCZRgGGH5Oz1LKNaKyMHzw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aJgoCMTMSIAoeCAdCGgoGVGFob21hEhBBcmlhbCBVbmljb2RlIE1TMghoLmdqZGd4czgAciExUm0zTTJfNEl6SDl5N1g5aWhJUGhPRzBHajRnNl83V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