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A9EDE35">
      <w:pPr>
        <w:shd w:val="clear" w:fill="ffffff"/>
        <w:spacing w:line="336"/>
        <w:jc w:val="center"/>
        <w:rPr>
          <w:color w:val="0d2a52"/>
        </w:rPr>
      </w:pPr>
      <w:r>
        <w:rPr>
          <w:rFonts w:hint="eastAsia" w:ascii="SimHei" w:hAnsi="SimHei" w:eastAsia="SimHei" w:cs="SimHei"/>
          <w:b w:val="1"/>
          <w:color w:val="0d2a52"/>
          <w:sz w:val="44"/>
        </w:rPr>
        <w:t>函数极限的柯西收敛准则</w:t>
      </w:r>
    </w:p>
    <w:p w14:paraId="3FDB21C9">
      <w:pPr>
        <w:shd w:val="clear" w:fill="ffffff"/>
        <w:spacing w:line="432"/>
        <w:jc w:val="center"/>
        <w:rPr>
          <w:color w:val="4a5a72"/>
        </w:rPr>
      </w:pPr>
      <w:r>
        <w:rPr>
          <w:rFonts w:hint="eastAsia" w:ascii="KaiTi" w:hAnsi="KaiTi" w:eastAsia="KaiTi" w:cs="KaiTi"/>
          <w:color w:val="4a5a72"/>
          <w:sz w:val="26"/>
        </w:rPr>
        <w:t>—— Lean 4（Mathlib）形式化证明</w:t>
      </w:r>
    </w:p>
    <w:p w14:paraId="7A1E4212">
      <w:pPr>
        <w:shd w:val="clear" w:fill="ffffff"/>
        <w:spacing w:line="432"/>
        <w:jc w:val="center"/>
        <w:rPr>
          <w:color w:val="6b7a90"/>
        </w:rPr>
      </w:pPr>
      <w:r>
        <w:rPr>
          <w:rFonts w:hint="eastAsia" w:ascii="SimSun" w:hAnsi="SimSun" w:eastAsia="SimSun" w:cs="SimSun"/>
          <w:color w:val="6b7a90"/>
          <w:sz w:val="21"/>
        </w:rPr>
        <w:t>定理环境：Lean 4 · leanprover/lean4 v4.15.0 · Mathlib v4.15.0</w:t>
      </w:r>
    </w:p>
    <w:p w14:paraId="4D9641EF">
      <w:pPr>
        <w:pStyle w:val="000002"/>
        <w:keepNext w:val="1"/>
        <w:keepLines w:val="1"/>
        <w:pBdr>
          <w:left w:val="single" w:color="0d2a52" w:sz="32" w:space="8"/>
        </w:pBdr>
        <w:shd w:val="clear" w:fill="ffffff"/>
        <w:spacing w:before="400" w:beforeAutospacing="1" w:after="400" w:afterAutospacing="1" w:line="360"/>
        <w:ind w:left="400" w:right="400"/>
        <w:outlineLvl w:val="1"/>
        <w:rPr>
          <w:color w:val="0d2a52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d2a52"/>
          <w:sz w:val="30"/>
        </w:rPr>
        <w:t>一、定理陈述</w:t>
      </w:r>
    </w:p>
    <w:p w14:paraId="1A495D3A">
      <w:pPr>
        <w:shd w:val="clear" w:fill="f2f6fb"/>
        <w:spacing w:before="80" w:after="80" w:line="432"/>
        <w:ind w:left="80" w:right="80" w:firstLine="480"/>
        <w:jc w:val="both"/>
        <w:rPr>
          <w:color w:val="0d2a52"/>
        </w:rPr>
      </w:pPr>
      <w:r>
        <w:rPr>
          <w:rFonts w:hint="eastAsia" w:ascii="SimHei" w:hAnsi="SimHei" w:eastAsia="SimHei" w:cs="SimHei"/>
          <w:b w:val="1"/>
          <w:color w:val="0d2a52"/>
          <w:sz w:val="24"/>
        </w:rPr>
        <w:t>定理（柯西收敛准则）</w:t>
      </w:r>
    </w:p>
    <w:p w14:paraId="00EDC91C">
      <w:pPr>
        <w:shd w:val="clear" w:fill="f2f6fb"/>
        <w:spacing w:before="80" w:after="80" w:line="432"/>
        <w:ind w:left="80" w:right="8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设 f : ℝ → ℝ，a ∈ ℝ，则极限 lim</w:t>
      </w:r>
      <w:r>
        <w:rPr>
          <w:vertAlign w:val="subscript"/>
        </w:rPr>
        <w:t>x→a</w:t>
      </w:r>
      <w:r>
        <w:rPr>
          <w:rFonts w:hint="eastAsia" w:ascii="SimSun" w:hAnsi="SimSun" w:eastAsia="SimSun" w:cs="SimSun"/>
          <w:color w:val="1a1a1a"/>
          <w:sz w:val="24"/>
        </w:rPr>
        <w:t xml:space="preserve"> f(x) 存在，当且仅当 f 在 a 的去心邻域内满足柯西条件：对任意 ε &gt; 0，存在 δ &gt; 0，使得去心 δ 邻域内任意两点 x、y 均满足 |f(x) − f(y)| &lt; ε。</w:t>
      </w:r>
    </w:p>
    <w:p w14:paraId="54964972">
      <w:pPr>
        <w:pStyle w:val="000002"/>
        <w:keepNext w:val="1"/>
        <w:keepLines w:val="1"/>
        <w:pBdr>
          <w:left w:val="single" w:color="0d2a52" w:sz="32" w:space="8"/>
        </w:pBdr>
        <w:shd w:val="clear" w:fill="ffffff"/>
        <w:spacing w:before="400" w:beforeAutospacing="1" w:after="400" w:afterAutospacing="1" w:line="360"/>
        <w:ind w:left="400" w:right="400"/>
        <w:outlineLvl w:val="1"/>
        <w:rPr>
          <w:color w:val="0d2a52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d2a52"/>
          <w:sz w:val="30"/>
        </w:rPr>
        <w:t>二、证明思路</w:t>
      </w:r>
    </w:p>
    <w:p w14:paraId="162BB4C9">
      <w:pPr>
        <w:numPr>
          <w:ilvl w:val="0"/>
          <w:numId w:val="1"/>
        </w:numPr>
        <w:pBdr>
          <w:left w:space="24"/>
        </w:pBdr>
        <w:shd w:val="clear" w:fill="ffffff"/>
        <w:spacing w:before="80" w:after="80" w:line="432"/>
        <w:ind w:left="80" w:right="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必要性（极限存在 ⟹ 柯西条件）</w:t>
      </w:r>
      <w:r>
        <w:rPr>
          <w:rFonts w:hint="eastAsia" w:ascii="SimSun" w:hAnsi="SimSun" w:eastAsia="SimSun" w:cs="SimSun"/>
          <w:color w:val="1a1a1a"/>
          <w:sz w:val="24"/>
        </w:rPr>
        <w:t>：设极限为 L。对 ε &gt; 0 取 ε/2 对应的 δ，对去心 δ 邻域内任意两点 x、y，由三角不等式 |f(x) − f(y)| = |(f(x) − L) + (L − f(y))| ≤ |f(x) − L| + |f(y) − L| &lt; ε。</w:t>
      </w:r>
    </w:p>
    <w:p w14:paraId="70962971">
      <w:pPr>
        <w:numPr>
          <w:ilvl w:val="0"/>
          <w:numId w:val="1"/>
        </w:numPr>
        <w:pBdr>
          <w:left w:space="24"/>
        </w:pBdr>
        <w:shd w:val="clear" w:fill="ffffff"/>
        <w:spacing w:before="80" w:after="80" w:line="432"/>
        <w:ind w:left="80" w:right="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充分性（柯西条件 ⟹ 极限存在）</w:t>
      </w:r>
      <w:r>
        <w:rPr>
          <w:rFonts w:hint="eastAsia" w:ascii="SimSun" w:hAnsi="SimSun" w:eastAsia="SimSun" w:cs="SimSun"/>
          <w:color w:val="1a1a1a"/>
          <w:sz w:val="24"/>
        </w:rPr>
        <w:t>：构造数列 x</w:t>
      </w:r>
      <w:r>
        <w:rPr>
          <w:vertAlign w:val="subscript"/>
        </w:rPr>
        <w:t>n</w:t>
      </w:r>
      <w:r>
        <w:rPr>
          <w:rFonts w:hint="eastAsia" w:ascii="SimSun" w:hAnsi="SimSun" w:eastAsia="SimSun" w:cs="SimSun"/>
          <w:color w:val="1a1a1a"/>
          <w:sz w:val="24"/>
        </w:rPr>
        <w:t xml:space="preserve"> = a + 1/(n+1)，则 x</w:t>
      </w:r>
      <w:r>
        <w:rPr>
          <w:vertAlign w:val="subscript"/>
        </w:rPr>
        <w:t>n</w:t>
      </w:r>
      <w:r>
        <w:rPr>
          <w:rFonts w:hint="eastAsia" w:ascii="SimSun" w:hAnsi="SimSun" w:eastAsia="SimSun" w:cs="SimSun"/>
          <w:color w:val="1a1a1a"/>
          <w:sz w:val="24"/>
        </w:rPr>
        <w:t xml:space="preserve"> → a 且 x</w:t>
      </w:r>
      <w:r>
        <w:rPr>
          <w:vertAlign w:val="subscript"/>
        </w:rPr>
        <w:t>n</w:t>
      </w:r>
      <w:r>
        <w:rPr>
          <w:rFonts w:hint="eastAsia" w:ascii="SimSun" w:hAnsi="SimSun" w:eastAsia="SimSun" w:cs="SimSun"/>
          <w:color w:val="1a1a1a"/>
          <w:sz w:val="24"/>
        </w:rPr>
        <w:t xml:space="preserve"> ≠ a。由柯西条件知 f ∘ x</w:t>
      </w:r>
      <w:r>
        <w:rPr>
          <w:vertAlign w:val="subscript"/>
        </w:rPr>
        <w:t>n</w:t>
      </w:r>
      <w:r>
        <w:rPr>
          <w:rFonts w:hint="eastAsia" w:ascii="SimSun" w:hAnsi="SimSun" w:eastAsia="SimSun" w:cs="SimSun"/>
          <w:color w:val="1a1a1a"/>
          <w:sz w:val="24"/>
        </w:rPr>
        <w:t xml:space="preserve"> 是实数中的柯西列；由实数完备性（柯西列必收敛），存在 L 使 f(x</w:t>
      </w:r>
      <w:r>
        <w:rPr>
          <w:vertAlign w:val="subscript"/>
        </w:rPr>
        <w:t>n</w:t>
      </w:r>
      <w:r>
        <w:rPr>
          <w:rFonts w:hint="eastAsia" w:ascii="SimSun" w:hAnsi="SimSun" w:eastAsia="SimSun" w:cs="SimSun"/>
          <w:color w:val="1a1a1a"/>
          <w:sz w:val="24"/>
        </w:rPr>
        <w:t>) → L。再取充分大的 n₀ 使 |x</w:t>
      </w:r>
      <w:r>
        <w:rPr>
          <w:vertAlign w:val="subscript"/>
        </w:rPr>
        <w:t>n₀</w:t>
      </w:r>
      <w:r>
        <w:rPr>
          <w:rFonts w:hint="eastAsia" w:ascii="SimSun" w:hAnsi="SimSun" w:eastAsia="SimSun" w:cs="SimSun"/>
          <w:color w:val="1a1a1a"/>
          <w:sz w:val="24"/>
        </w:rPr>
        <w:t xml:space="preserve"> − a| &lt; δ 且 |f(x</w:t>
      </w:r>
      <w:r>
        <w:rPr>
          <w:vertAlign w:val="subscript"/>
        </w:rPr>
        <w:t>n₀</w:t>
      </w:r>
      <w:r>
        <w:rPr>
          <w:rFonts w:hint="eastAsia" w:ascii="SimSun" w:hAnsi="SimSun" w:eastAsia="SimSun" w:cs="SimSun"/>
          <w:color w:val="1a1a1a"/>
          <w:sz w:val="24"/>
        </w:rPr>
        <w:t>) − L| &lt; ε/2，于是对任意满足 0 &lt; |x − a| &lt; δ 的 x，|f(x) − L| ≤ |f(x) − f(x</w:t>
      </w:r>
      <w:r>
        <w:rPr>
          <w:vertAlign w:val="subscript"/>
        </w:rPr>
        <w:t>n₀</w:t>
      </w:r>
      <w:r>
        <w:rPr>
          <w:rFonts w:ascii="SimSun" w:hAnsi="SimSun" w:eastAsia="SimSun" w:cs="SimSun"/>
          <w:color w:val="1a1a1a"/>
          <w:sz w:val="24"/>
        </w:rPr>
        <w:t>)| + |f(x</w:t>
      </w:r>
      <w:r>
        <w:rPr>
          <w:vertAlign w:val="subscript"/>
        </w:rPr>
        <w:t>n₀</w:t>
      </w:r>
      <w:r>
        <w:rPr>
          <w:rFonts w:hint="eastAsia" w:ascii="SimSun" w:hAnsi="SimSun" w:eastAsia="SimSun" w:cs="SimSun"/>
          <w:color w:val="1a1a1a"/>
          <w:sz w:val="24"/>
        </w:rPr>
        <w:t>) − L| &lt; ε。</w:t>
      </w:r>
    </w:p>
    <w:p w14:paraId="3180515C">
      <w:pPr>
        <w:pStyle w:val="000002"/>
        <w:keepNext w:val="1"/>
        <w:keepLines w:val="1"/>
        <w:pBdr>
          <w:left w:val="single" w:color="0d2a52" w:sz="32" w:space="8"/>
        </w:pBdr>
        <w:shd w:val="clear" w:fill="ffffff"/>
        <w:spacing w:before="400" w:beforeAutospacing="1" w:after="400" w:afterAutospacing="1" w:line="360"/>
        <w:ind w:left="400" w:right="400"/>
        <w:outlineLvl w:val="1"/>
        <w:rPr>
          <w:color w:val="0d2a52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d2a52"/>
          <w:sz w:val="30"/>
        </w:rPr>
        <w:t>三、柯西条件的定义（Lean 源码）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fill="f6f8fa"/>
            <w:vAlign w:val="center"/>
          </w:tcPr>
          <w:p w14:paraId="004F6B20">
            <w:pPr>
              <w:rPr>
                <w:color w:val="24292f"/>
              </w:rPr>
            </w:pPr>
            <w:r>
              <w:rPr>
                <w:rFonts w:hint="eastAsia" w:ascii="Courier New" w:hAnsi="Courier New" w:eastAsia="Courier New" w:cs="Courier New"/>
                <w:color w:val="24292f"/>
                <w:sz w:val="19"/>
              </w:rPr>
              <w:t>/-- 柯西条件：当 x → a（x ≠ a）时，任意两点落在 a 的去心 δ 邻域内，其函数值之差的绝对值可小于任意给定的 ε。 -/def CauchyAt (f : ℝ → ℝ) (a : ℝ) : Prop :=  ∀ ε &gt; 0, ∃ δ &gt; 0, ∀ x y : ℝ,    0 &lt; |x - a| → |x - a| &lt; δ →    0 &lt; |y - a| → |y - a| &lt; δ →    |f x - f y| &lt; ε</w:t>
            </w:r>
          </w:p>
        </w:tc>
      </w:tr>
    </w:tbl>
    <w:p w14:paraId="205DDA3D">
      <w:pPr>
        <w:pStyle w:val="000002"/>
        <w:keepNext w:val="1"/>
        <w:keepLines w:val="1"/>
        <w:pBdr>
          <w:left w:val="single" w:color="0d2a52" w:sz="32" w:space="8"/>
        </w:pBdr>
        <w:shd w:val="clear" w:fill="ffffff"/>
        <w:spacing w:before="400" w:beforeAutospacing="1" w:after="400" w:afterAutospacing="1" w:line="360"/>
        <w:ind w:left="400" w:right="400"/>
        <w:outlineLvl w:val="1"/>
        <w:rPr>
          <w:color w:val="0d2a52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d2a52"/>
          <w:sz w:val="30"/>
        </w:rPr>
        <w:t>四、主定理（Lean 源码）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fill="f6f8fa"/>
            <w:vAlign w:val="center"/>
          </w:tcPr>
          <w:p w14:paraId="4F12150A">
            <w:pPr>
              <w:rPr>
                <w:color w:val="24292f"/>
              </w:rPr>
            </w:pPr>
            <w:r>
              <w:rPr>
                <w:rFonts w:hint="eastAsia" w:ascii="Courier New" w:hAnsi="Courier New" w:eastAsia="Courier New" w:cs="Courier New"/>
                <w:color w:val="24292f"/>
                <w:sz w:val="19"/>
              </w:rPr>
              <w:t>/-- 函数极限的柯西收敛准则：函数极限存在，当且仅当 f 在 a 的去心邻域内满足柯西条件。 -/theorem cauchy_criterion (f : ℝ → ℝ) (a : ℝ) :    (∃ L : ℝ, ∀ ε &gt; 0, ∃ δ &gt; 0, ∀ x : ℝ,        0 &lt; |x - a| → |x - a| &lt; δ → |f x - L| &lt; ε) ↔ CauchyAt f a := by</w:t>
            </w:r>
          </w:p>
        </w:tc>
      </w:tr>
    </w:tbl>
    <w:p w14:paraId="09006AE9">
      <w:pPr>
        <w:pStyle w:val="000002"/>
        <w:keepNext w:val="1"/>
        <w:keepLines w:val="1"/>
        <w:pBdr>
          <w:left w:val="single" w:color="0d2a52" w:sz="32" w:space="8"/>
        </w:pBdr>
        <w:shd w:val="clear" w:fill="ffffff"/>
        <w:spacing w:before="400" w:beforeAutospacing="1" w:after="400" w:afterAutospacing="1" w:line="360"/>
        <w:ind w:left="400" w:right="400"/>
        <w:outlineLvl w:val="1"/>
        <w:rPr>
          <w:color w:val="0d2a52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d2a52"/>
          <w:sz w:val="30"/>
        </w:rPr>
        <w:t>五、证明正文（Lean 源码）</w:t>
      </w:r>
    </w:p>
    <w:p w14:paraId="6AB68BB7">
      <w:pPr>
        <w:pStyle w:val="000006"/>
        <w:keepNext w:val="1"/>
        <w:keepLines w:val="1"/>
        <w:shd w:val="clear" w:fill="ffffff"/>
        <w:spacing w:before="280" w:beforeAutospacing="1" w:after="280" w:afterAutospacing="1" w:line="360"/>
        <w:ind w:left="280" w:right="280"/>
        <w:outlineLvl w:val="2"/>
        <w:rPr>
          <w:color w:val="24466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66e"/>
          <w:sz w:val="25"/>
        </w:rPr>
        <w:t>5.1 必要性：极限存在 ⟹ 柯西条件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fill="f6f8fa"/>
            <w:vAlign w:val="center"/>
          </w:tcPr>
          <w:p w14:paraId="3D2C1D5E">
            <w:pPr>
              <w:rPr>
                <w:color w:val="24292f"/>
              </w:rPr>
            </w:pPr>
            <w:r>
              <w:rPr>
                <w:rFonts w:hint="eastAsia" w:ascii="Courier New" w:hAnsi="Courier New" w:eastAsia="Courier New" w:cs="Courier New"/>
                <w:color w:val="24292f"/>
                <w:sz w:val="19"/>
              </w:rPr>
              <w:t xml:space="preserve">  constructor  · intro h    obtain ⟨L, hL⟩ := h    intro ε hε    -- 对 ε/2 取 δ    obtain ⟨δ, δpos, hδ⟩ := hL (ε / 2) (by linarith)    refine ⟨δ, δpos, ?_⟩    intro x y hx1 hx2 hy1 hy2    have hx := hδ x hx1 hx2    have hy := hδ y hy1 hy2    -- 三角不等式：|f x - f y| ≤ |f x - L| + |f y - L|    have e : |f x - f y| = |(f x - L) + (L - f y)| := by      congr 1      ring    rw [e, abs_add, abs_sub_comm (f y) L]    linarith</w:t>
            </w:r>
          </w:p>
        </w:tc>
      </w:tr>
    </w:tbl>
    <w:p w14:paraId="3F5D7606">
      <w:pPr>
        <w:pStyle w:val="000006"/>
        <w:keepNext w:val="1"/>
        <w:keepLines w:val="1"/>
        <w:shd w:val="clear" w:fill="ffffff"/>
        <w:spacing w:before="280" w:beforeAutospacing="1" w:after="280" w:afterAutospacing="1" w:line="360"/>
        <w:ind w:left="280" w:right="280"/>
        <w:outlineLvl w:val="2"/>
        <w:rPr>
          <w:color w:val="24466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66e"/>
          <w:sz w:val="25"/>
        </w:rPr>
        <w:t>5.2 充分性第一步：构造数列 xₙ = a + 1/(n+1)，证明 xₙ → a 且 xₙ ≠ a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fill="f6f8fa"/>
            <w:vAlign w:val="center"/>
          </w:tcPr>
          <w:p w14:paraId="4A8F78BD">
            <w:pPr>
              <w:rPr>
                <w:color w:val="24292f"/>
              </w:rPr>
            </w:pPr>
            <w:r>
              <w:rPr>
                <w:rFonts w:hint="eastAsia" w:ascii="Courier New" w:hAnsi="Courier New" w:eastAsia="Courier New" w:cs="Courier New"/>
                <w:color w:val="24292f"/>
                <w:sz w:val="19"/>
              </w:rPr>
              <w:t xml:space="preserve">  · intro h    have hxa : Tendsto (fun n : ℕ =&gt; a + 1 / ((n:ℝ) + 1)) atTop (nhds a) := by      rw [Metric.tendsto_atTop]      intro ε hε      refine ⟨⌈ε⁻¹⌉₊, fun n hn =&gt; ?_⟩      have hnp : (0:ℝ) &lt; (n:ℝ) + 1 := by positivity      -- n ≥ ⌈ε⁻¹⌉₊ ⟹ ε⁻¹ &lt; n + 1      have hlt : ε⁻¹ &lt; (n:ℝ) + 1 := by        have k2 : ε⁻¹ ≤ ((⌈ε⁻¹⌉₊:ℕ):ℝ) := Nat.le_ceil ε⁻¹        have k3 : ((⌈ε⁻¹⌉₊:ℕ):ℝ) ≤ (n:ℝ) := Nat.cast_le.mpr hn        linarith      rw [Real.dist_eq]      show |a + 1 / ((n:ℝ) + 1) - a| &lt; ε      have e1 : a + 1 / ((n:ℝ) + 1) - a = 1 / ((n:ℝ) + 1) := by ring      rw [e1, abs_lt]      constructor      · -- 1/(n+1) &lt; ε，等价于 1 &lt; ε·(n+1)        rw [div_lt_iff₀ hnp]        have h4 : ε * ε⁻¹ = 1 := inv_mul_cancel₀ hε        have h5 : ε * ε⁻¹ &lt; ε * ((n:ℝ) + 1) := mul_lt_mul_of_pos_left hlt hε        have h6 : ε * ((n:ℝ) + 1) = ((n:ℝ) + 1) * ε := mul_comm _ _        linarith      · -- -ε &lt; 1/(n+1)（因为 1/(n+1) &gt; 0）        have hp : 0 &lt; 1 / ((n:ℝ) + 1) := by positivity        linarith    have hne' : ∀ n : ℕ, 0 &lt; |a + 1 / ((n:ℝ) + 1) - a| := by      intro n      have e2 : a + 1 / ((n:ℝ) + 1) - a = 1 / ((n:ℝ) + 1) := by ring      rw [e2]      exact abs_pos.mpr (by positivity)    obtain ⟨x, hx_def, hxa', hne⟩ :        ∃ x : ℕ → ℝ, (∀ n, x n = a + 1 / ((n:ℝ) + 1)) ∧          Tendsto x atTop (nhds a) ∧ (∀ n, 0 &lt; |x n - a|) :=      ⟨fun n =&gt; a + 1 / ((n:ℝ) + 1), fun _ =&gt; rfl, hxa, hne'⟩</w:t>
            </w:r>
          </w:p>
        </w:tc>
      </w:tr>
    </w:tbl>
    <w:p w14:paraId="5F71A08B">
      <w:pPr>
        <w:pStyle w:val="000006"/>
        <w:keepNext w:val="1"/>
        <w:keepLines w:val="1"/>
        <w:shd w:val="clear" w:fill="ffffff"/>
        <w:spacing w:before="280" w:beforeAutospacing="1" w:after="280" w:afterAutospacing="1" w:line="360"/>
        <w:ind w:left="280" w:right="280"/>
        <w:outlineLvl w:val="2"/>
        <w:rPr>
          <w:color w:val="24466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66e"/>
          <w:sz w:val="25"/>
        </w:rPr>
        <w:t>5.3 充分性第二步：f ∘ xₙ 是实数中的柯西列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fill="f6f8fa"/>
            <w:vAlign w:val="center"/>
          </w:tcPr>
          <w:p w14:paraId="09F641CC">
            <w:pPr>
              <w:rPr>
                <w:color w:val="24292f"/>
              </w:rPr>
            </w:pPr>
            <w:r>
              <w:rPr>
                <w:rFonts w:ascii="Courier New" w:hAnsi="Courier New" w:eastAsia="Courier New" w:cs="Courier New"/>
                <w:color w:val="24292f"/>
                <w:sz w:val="19"/>
              </w:rPr>
              <w:t xml:space="preserve">    have hCau : CauchySeq (fun n : ℕ =&gt; f (x n)) := by      rw [Metric.cauchySeq_iff]      intro ε hε      obtain ⟨δ, δpos, hδ⟩ := h (ε / 2) (by linarith)      obtain ⟨N, hN⟩ := Metric.tendsto_atTop.mp hxa' δ δpos      refine ⟨N, fun m n hm hn =&gt; ?_⟩      have hm1 : 0 &lt; |x m - a| := hne m      have hm2 : |x m - a| &lt; δ := by        have h5 := hN m hm        rwa [Real.dist_eq] at h5      have hn1 : 0 &lt; |x n - a| := hne n      have hn2 : |x n - a| &lt; δ := by        have h6 := hN n hn        rwa [Real.dist_eq] at h6      have h7 := hδ (x m) (x n) hm1 hm2 hn1 hn2      show dist (f (x m)) (f (x n)) &lt; ε      rw [Real.dist_eq]      linarith</w:t>
            </w:r>
          </w:p>
        </w:tc>
      </w:tr>
    </w:tbl>
    <w:p w14:paraId="3125FC1F">
      <w:pPr>
        <w:pStyle w:val="000006"/>
        <w:keepNext w:val="1"/>
        <w:keepLines w:val="1"/>
        <w:shd w:val="clear" w:fill="ffffff"/>
        <w:spacing w:before="280" w:beforeAutospacing="1" w:after="280" w:afterAutospacing="1" w:line="360"/>
        <w:ind w:left="280" w:right="280"/>
        <w:outlineLvl w:val="2"/>
        <w:rPr>
          <w:color w:val="24466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66e"/>
          <w:sz w:val="25"/>
        </w:rPr>
        <w:t>5.4 充分性第三、四步：由实数完备性取极限 L，并证明 f x → L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0d7de" w:sz="6"/>
              <w:left w:val="single" w:color="d0d7de" w:sz="6"/>
              <w:bottom w:val="single" w:color="d0d7de" w:sz="6"/>
              <w:right w:val="single" w:color="d0d7de" w:sz="6"/>
            </w:tcBorders>
            <w:shd w:val="clear" w:fill="f6f8fa"/>
            <w:vAlign w:val="center"/>
          </w:tcPr>
          <w:p w14:paraId="559C42C7">
            <w:pPr>
              <w:rPr>
                <w:color w:val="24292f"/>
              </w:rPr>
            </w:pPr>
            <w:r>
              <w:rPr>
                <w:rFonts w:hint="eastAsia" w:ascii="Courier New" w:hAnsi="Courier New" w:eastAsia="Courier New" w:cs="Courier New"/>
                <w:color w:val="24292f"/>
                <w:sz w:val="19"/>
              </w:rPr>
              <w:t xml:space="preserve">    -- 第三步：由实数完备性，柯西列 f ∘ xₙ 收敛到某个 L    obtain ⟨L, hL⟩ := hCau.tendsto    -- 第四步：证明 f x → L（x → a, x ≠ a）    refine ⟨L, fun ε hε =&gt; ?_⟩    obtain ⟨δ, δpos, hδ⟩ := h (ε / 2) (by linarith)    obtain ⟨N1, hN1⟩ := Metric.tendsto_atTop.mp hL (ε / 2) (by linarith)    obtain ⟨N2, hN2⟩ := Metric.tendsto_atTop.mp hxa' δ δpos    -- 取 n₀ = max N1 N2：既保证 |x_{n₀} - a| &lt; δ，又保证 |f x_{n₀} - L| &lt; ε/2    have hn0δ : |x (max N1 N2) - a| &lt; δ := by      have h9 := hN2 (max N1 N2) (le_max_right _ _)      rwa [Real.dist_eq] at h9    have hn0N : N1 ≤ max N1 N2 := le_max_left _ _    have h0 : 0 &lt; |x (max N1 N2) - a| := hne (max N1 N2)    refine ⟨δ, δpos, fun x' hx1 hx2 =&gt; ?_⟩    have h3' : |f x' - f (x (max N1 N2))| &lt; ε / 2 :=      hδ x' (x (max N1 N2)) hx1 hx2 h0 hn0δ    have h4' : |f (x (max N1 N2)) - L| &lt; ε / 2 := by      have h10 := hN1 (max N1 N2) hn0N      rw [Real.dist_eq] at h10      exact h10    -- 三角不等式收尾    calc |f x' - L|        = |(f x' - f (x (max N1 N2))) + (f (x (max N1 N2)) - L)| := by          congr 1          ring      _ ≤ |f x' - f (x (max N1 N2))| + |f (x (max N1 N2)) - L| := abs_add _ _      _ &lt; ε := by linarith</w:t>
            </w:r>
          </w:p>
        </w:tc>
      </w:tr>
    </w:tbl>
    <w:p w14:paraId="6CA32C6D">
      <w:pPr>
        <w:pStyle w:val="000002"/>
        <w:keepNext w:val="1"/>
        <w:keepLines w:val="1"/>
        <w:pBdr>
          <w:left w:val="single" w:color="0d2a52" w:sz="32" w:space="8"/>
        </w:pBdr>
        <w:shd w:val="clear" w:fill="ffffff"/>
        <w:spacing w:before="400" w:beforeAutospacing="1" w:after="400" w:afterAutospacing="1" w:line="360"/>
        <w:ind w:left="400" w:right="400"/>
        <w:outlineLvl w:val="1"/>
        <w:rPr>
          <w:color w:val="0d2a52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d2a52"/>
          <w:sz w:val="30"/>
        </w:rPr>
        <w:t>六、构建与验证方法</w:t>
      </w:r>
    </w:p>
    <w:p w14:paraId="746C3E96">
      <w:pPr>
        <w:numPr>
          <w:ilvl w:val="0"/>
          <w:numId w:val="2"/>
        </w:numPr>
        <w:pBdr>
          <w:left w:space="24"/>
        </w:pBdr>
        <w:shd w:val="clear" w:fill="ffffff"/>
        <w:spacing w:before="80" w:after="80" w:line="432"/>
        <w:ind w:left="80" w:right="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安装 elan（Lean 工具链管理器）；</w:t>
      </w:r>
    </w:p>
    <w:p w14:paraId="4448E95D">
      <w:pPr>
        <w:numPr>
          <w:ilvl w:val="0"/>
          <w:numId w:val="2"/>
        </w:numPr>
        <w:pBdr>
          <w:left w:space="24"/>
        </w:pBdr>
        <w:shd w:val="clear" w:fill="ffffff"/>
        <w:spacing w:before="80" w:after="80" w:line="432"/>
        <w:ind w:left="80" w:right="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在项目目录执行 </w:t>
      </w:r>
      <w:r>
        <w:rPr>
          <w:rFonts w:ascii="Courier New" w:hAnsi="Courier New" w:eastAsia="Courier New" w:cs="Courier New"/>
          <w:color w:val="24292f"/>
          <w:sz w:val="20"/>
          <w:shd w:val="clear" w:fill="f0f2f4"/>
        </w:rPr>
        <w:t>lake exe cache get</w:t>
      </w:r>
      <w:r>
        <w:rPr>
          <w:rFonts w:hint="eastAsia" w:ascii="SimSun" w:hAnsi="SimSun" w:eastAsia="SimSun" w:cs="SimSun"/>
          <w:color w:val="1a1a1a"/>
          <w:sz w:val="24"/>
        </w:rPr>
        <w:t>，下载 Mathlib 预编译缓存；</w:t>
      </w:r>
    </w:p>
    <w:p w14:paraId="6ADD62A2">
      <w:pPr>
        <w:numPr>
          <w:ilvl w:val="0"/>
          <w:numId w:val="2"/>
        </w:numPr>
        <w:pBdr>
          <w:left w:space="24"/>
        </w:pBdr>
        <w:shd w:val="clear" w:fill="ffffff"/>
        <w:spacing w:before="80" w:after="80" w:line="432"/>
        <w:ind w:left="80" w:right="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执行 </w:t>
      </w:r>
      <w:r>
        <w:rPr>
          <w:rFonts w:ascii="Courier New" w:hAnsi="Courier New" w:eastAsia="Courier New" w:cs="Courier New"/>
          <w:color w:val="24292f"/>
          <w:sz w:val="20"/>
          <w:shd w:val="clear" w:fill="f0f2f4"/>
        </w:rPr>
        <w:t>lake build</w:t>
      </w:r>
      <w:r>
        <w:rPr>
          <w:rFonts w:hint="eastAsia" w:ascii="SimSun" w:hAnsi="SimSun" w:eastAsia="SimSun" w:cs="SimSun"/>
          <w:color w:val="1a1a1a"/>
          <w:sz w:val="24"/>
        </w:rPr>
        <w:t>，对证明文件做类型检查。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8c6d9" w:sz="24"/>
              <w:bottom w:val="none" w:sz="8"/>
              <w:right w:val="none" w:sz="8"/>
            </w:tcBorders>
            <w:shd w:val="clear" w:fill="f7f9fb"/>
            <w:vAlign w:val="center"/>
          </w:tcPr>
          <w:p w14:paraId="60C8B80A">
            <w:pPr>
              <w:jc w:val="left"/>
              <w:rPr>
                <w:color w:val="6b7a90"/>
              </w:rPr>
            </w:pPr>
            <w:r>
              <w:rPr>
                <w:rFonts w:hint="eastAsia" w:ascii="SimSun" w:hAnsi="SimSun" w:eastAsia="SimSun" w:cs="SimSun"/>
                <w:color w:val="6b7a90"/>
                <w:sz w:val="20"/>
              </w:rPr>
              <w:t>环境说明：证明基于 Lean 4（工具链 v4.15.0）与 Mathlib v4.15.0。所使用的核心引理包括 Metric.tendsto_atTop、Metric.cauchySeq_iff、CauchySeq.tendsto（实数完备性）、abs_add、abs_sub_comm 等，均为 Mathlib 标准接口。源文件：CauchyCriterion.lean。</w:t>
            </w:r>
          </w:p>
        </w:tc>
      </w:tr>
    </w:tbl>
    <w:p w14:paraId="69145EF4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4" w:semiHidden="1" w:unhideWhenUsed="1"/>
    <w:lsdException w:name="List 4" w:semiHidden="1" w:unhideWhenUsed="1"/>
    <w:lsdException w:name="Body Text 3" w:semiHidden="1" w:unhideWhenUsed="1"/>
    <w:lsdException w:name="List Continue 3" w:semiHidden="1" w:unhideWhenUsed="1"/>
    <w:lsdException w:name="List 3" w:semiHidden="1" w:unhideWhenUsed="1"/>
    <w:lsdException w:name="List Bullet 5" w:semiHidden="1" w:unhideWhenUsed="1"/>
    <w:lsdException w:name="envelope return" w:semiHidden="1" w:unhideWhenUsed="1"/>
    <w:lsdException w:name="index heading" w:semiHidden="1" w:unhideWhenUsed="1"/>
    <w:lsdException w:name="index 5" w:semiHidden="1" w:unhideWhenUsed="1"/>
    <w:lsdException w:name="Salutation" w:semiHidden="1" w:unhideWhenUsed="1"/>
    <w:lsdException w:name="List Continue 5" w:semiHidden="1" w:unhideWhenUsed="1"/>
    <w:lsdException w:name="Body Text First Indent" w:semiHidden="1" w:unhideWhenUsed="1"/>
    <w:lsdException w:name="Signature" w:semiHidden="1" w:unhideWhenUsed="1"/>
    <w:lsdException w:name="List" w:semiHidden="1" w:unhideWhenUsed="1"/>
    <w:lsdException w:name="FollowedHyperlink" w:semiHidden="1" w:unhideWhenUsed="1"/>
    <w:lsdException w:name="Strong" w:uiPriority="22" w:qFormat="1"/>
    <w:lsdException w:name="Title" w:uiPriority="10" w:qFormat="1"/>
    <w:lsdException w:name="Normal Indent" w:semiHidden="1" w:unhideWhenUsed="1"/>
    <w:lsdException w:name="annotation text" w:semiHidden="1" w:unhideWhenUsed="1"/>
    <w:lsdException w:name="toc 5" w:uiPriority="39" w:semiHidden="1" w:unhideWhenUsed="1"/>
    <w:lsdException w:name="List 2" w:semiHidden="1" w:unhideWhenUsed="1"/>
    <w:lsdException w:name="List 5" w:semiHidden="1" w:unhideWhenUsed="1"/>
    <w:lsdException w:name="toc 7" w:uiPriority="39" w:semiHidden="1" w:unhideWhenUsed="1"/>
    <w:lsdException w:name="List Bullet 2" w:semiHidden="1" w:unhideWhenUsed="1"/>
    <w:lsdException w:name="endnote text" w:semiHidden="1" w:unhideWhenUsed="1"/>
    <w:lsdException w:name="List Bullet 4" w:semiHidden="1" w:unhideWhenUsed="1"/>
    <w:lsdException w:name="heading 5" w:uiPriority="9" w:semiHidden="1" w:unhideWhenUsed="1" w:qFormat="1"/>
    <w:lsdException w:name="header" w:semiHidden="1" w:unhideWhenUsed="1"/>
    <w:lsdException w:name="table of authorities" w:semiHidden="1" w:unhideWhenUsed="1"/>
    <w:lsdException w:name="heading 7" w:uiPriority="9" w:semiHidden="1" w:unhideWhenUsed="1" w:qFormat="1"/>
    <w:lsdException w:name="index 9" w:semiHidden="1" w:unhideWhenUsed="1"/>
    <w:lsdException w:name="index 4" w:semiHidden="1" w:unhideWhenUsed="1"/>
    <w:lsdException w:name="index 2" w:semiHidden="1" w:unhideWhenUsed="1"/>
    <w:lsdException w:name="List Bullet" w:semiHidden="1" w:unhideWhenUsed="1"/>
    <w:lsdException w:name="toc 3" w:uiPriority="39" w:semiHidden="1" w:unhideWhenUsed="1"/>
    <w:lsdException w:name="toc 8" w:uiPriority="39" w:semiHidden="1" w:unhideWhenUsed="1"/>
    <w:lsdException w:name="Note Heading" w:semiHidden="1" w:unhideWhenUsed="1"/>
    <w:lsdException w:name="table of figures" w:semiHidden="1" w:unhideWhenUsed="1"/>
    <w:lsdException w:name="heading 3" w:uiPriority="9" w:semiHidden="1" w:unhideWhenUsed="1" w:qFormat="1"/>
    <w:lsdException w:name="List Number 2" w:semiHidden="1" w:unhideWhenUsed="1"/>
    <w:lsdException w:name="heading 8" w:uiPriority="9" w:semiHidden="1" w:unhideWhenUsed="1" w:qFormat="1"/>
    <w:lsdException w:name="Closing" w:semiHidden="1" w:unhideWhenUsed="1"/>
    <w:lsdException w:name="envelope address" w:semiHidden="1" w:unhideWhenUsed="1"/>
    <w:lsdException w:name="List Continue" w:semiHidden="1" w:unhideWhenUsed="1"/>
    <w:lsdException w:name="Message Header" w:semiHidden="1" w:unhideWhenUsed="1"/>
    <w:lsdException w:name="Body Text 2" w:semiHidden="1" w:unhideWhenUsed="1"/>
    <w:lsdException w:name="Body Text" w:semiHidden="1" w:unhideWhenUsed="1"/>
    <w:lsdException w:name="caption" w:uiPriority="35" w:semiHidden="1" w:unhideWhenUsed="1" w:qFormat="1"/>
    <w:lsdException w:name="index 3" w:semiHidden="1" w:unhideWhenUsed="1"/>
    <w:lsdException w:name="index 1" w:semiHidden="1" w:unhideWhenUsed="1"/>
    <w:lsdException w:name="index 6" w:semiHidden="1" w:unhideWhenUsed="1"/>
    <w:lsdException w:name="List Continue 4" w:semiHidden="1" w:unhideWhenUsed="1"/>
    <w:lsdException w:name="toc 6" w:uiPriority="39" w:semiHidden="1" w:unhideWhenUsed="1"/>
    <w:lsdException w:name="toa heading" w:semiHidden="1" w:unhideWhenUsed="1"/>
    <w:lsdException w:name="toc 1" w:uiPriority="39" w:semiHidden="1" w:unhideWhenUsed="1"/>
    <w:lsdException w:name="footnote reference" w:semiHidden="1" w:unhideWhenUsed="1"/>
    <w:lsdException w:name="Body Text Indent 3" w:semiHidden="1" w:unhideWhenUsed="1"/>
    <w:lsdException w:name="annotation reference" w:semiHidden="1" w:unhideWhenUsed="1"/>
    <w:lsdException w:name="Subtitle" w:uiPriority="11" w:qFormat="1"/>
    <w:lsdException w:name="line number" w:semiHidden="1" w:unhideWhenUsed="1"/>
    <w:lsdException w:name="Body Text First Indent 2" w:semiHidden="1" w:unhideWhenUsed="1"/>
    <w:lsdException w:name="heading 6" w:uiPriority="9" w:semiHidden="1" w:unhideWhenUsed="1" w:qFormat="1"/>
    <w:lsdException w:name="page number" w:semiHidden="1" w:unhideWhenUsed="1"/>
    <w:lsdException w:name="index 8" w:semiHidden="1" w:unhideWhenUsed="1"/>
    <w:lsdException w:name="heading 1" w:uiPriority="9" w:qFormat="1"/>
    <w:lsdException w:name="macro" w:semiHidden="1" w:unhideWhenUsed="1"/>
    <w:lsdException w:name="Body Text Indent 2" w:semiHidden="1" w:unhideWhenUsed="1"/>
    <w:lsdException w:name="footer" w:semiHidden="1" w:unhideWhenUsed="1"/>
    <w:lsdException w:name="footnote text" w:semiHidden="1" w:unhideWhenUsed="1"/>
    <w:lsdException w:name="List Number 3" w:semiHidden="1" w:unhideWhenUsed="1"/>
    <w:lsdException w:name="Block Text" w:semiHidden="1" w:unhideWhenUsed="1"/>
    <w:lsdException w:name="List Continue 2" w:semiHidden="1" w:unhideWhenUsed="1"/>
    <w:lsdException w:name="toc 9" w:uiPriority="39" w:semiHidden="1" w:unhideWhenUsed="1"/>
    <w:lsdException w:name="Date" w:semiHidden="1" w:unhideWhenUsed="1"/>
    <w:lsdException w:name="toc 4" w:uiPriority="39" w:semiHidden="1" w:unhideWhenUsed="1"/>
    <w:lsdException w:name="toc 2" w:uiPriority="39" w:semiHidden="1" w:unhideWhenUsed="1"/>
    <w:lsdException w:name="List Number" w:semiHidden="1" w:unhideWhenUsed="1"/>
    <w:lsdException w:name="Default Paragraph Font" w:uiPriority="1" w:semiHidden="1" w:unhideWhenUsed="1"/>
    <w:lsdException w:name="endnote reference" w:semiHidden="1" w:unhideWhenUsed="1"/>
    <w:lsdException w:name="Body Text Indent" w:semiHidden="1" w:unhideWhenUsed="1"/>
    <w:lsdException w:name="heading 9" w:uiPriority="9" w:semiHidden="1" w:unhideWhenUsed="1" w:qFormat="1"/>
    <w:lsdException w:name="heading 2" w:uiPriority="9" w:semiHidden="1" w:unhideWhenUsed="1" w:qFormat="1"/>
    <w:lsdException w:name="heading 4" w:uiPriority="9" w:semiHidden="1" w:unhideWhenUsed="1" w:qFormat="1"/>
    <w:lsdException w:name="List Number 5" w:semiHidden="1" w:unhideWhenUsed="1"/>
    <w:lsdException w:name="List Bullet 3" w:semiHidden="1" w:unhideWhenUsed="1"/>
    <w:lsdException w:name="Normal" w:uiPriority="0" w:qFormat="1"/>
    <w:lsdException w:name="index 7" w:semiHidden="1" w:unhideWhenUsed="1"/>
    <w:lsdException w:name="Hyperlink" w:semiHidden="1" w:unhideWhenUsed="1"/>
  </w:latentStyles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2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2026-10-25T21:18:48Z</dcterms:created>
  <dcterms:modified xsi:type="dcterms:W3CDTF">2026-10-25T21:18:48Z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"01a17333504b7fe58978ef5f7eabb790", "ReservedCode1": "", "ContentPropagator": "00119111010856365494821B355", "PropagateID": "01a17333504b7fe58978ef5f7eabb790", "ReservedCode2": ""}}</vt:lpwstr>
  </property>
</Properties>
</file>