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anumGothic" w:hAnsi="NanumGothic" w:eastAsia="NanumGothic" w:cs="NanumGothic"/>
        </w:rPr>
        <w:t>주식 매매일지 웹 서비스 기획서</w:t>
      </w:r>
    </w:p>
    <w:p>
      <w:r>
        <w:rPr>
          <w:rFonts w:ascii="NanumGothic" w:hAnsi="NanumGothic" w:eastAsia="NanumGothic" w:cs="NanumGothic"/>
          <w:b/>
        </w:rPr>
        <w:t>버전:</w:t>
      </w:r>
      <w:r>
        <w:rPr>
          <w:rFonts w:ascii="NanumGothic" w:hAnsi="NanumGothic" w:eastAsia="NanumGothic" w:cs="NanumGothic"/>
        </w:rPr>
        <w:t xml:space="preserve"> v0.3</w:t>
      </w:r>
    </w:p>
    <w:p>
      <w:r>
        <w:rPr>
          <w:rFonts w:ascii="NanumGothic" w:hAnsi="NanumGothic" w:eastAsia="NanumGothic" w:cs="NanumGothic"/>
          <w:b/>
        </w:rPr>
        <w:t>부제:</w:t>
      </w:r>
      <w:r>
        <w:rPr>
          <w:rFonts w:ascii="NanumGothic" w:hAnsi="NanumGothic" w:eastAsia="NanumGothic" w:cs="NanumGothic"/>
        </w:rPr>
        <w:t xml:space="preserve"> 개인용 단순 자산관리와 매수 건별 성과 추적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서비스 유형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개인 투자자를 위한 모바일 중심 주식 매매 기록·자산·가치투자 관리 서비스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핵심 목표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실제 예수금과 현재 자산을 명확히 보여주고, 사용자가 선택한 매수 건을 기준으로 매도 성과를 추적한다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주요 사용자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여러 매수 건과 가치투자 후보를 직접 관리하는 개인 투자자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기획 기준일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2026년 9월 16일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연계 문서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매매일지 설계 v0.3, 매매일지 스키마 v0.2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문서 상태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DB 스키마 v0.2 초안 반영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 w:cs="NanumGothic"/>
        </w:rPr>
        <w:t>1. 서비스 개요</w:t>
      </w:r>
    </w:p>
    <w:p>
      <w:r>
        <w:rPr>
          <w:rFonts w:ascii="NanumGothic" w:hAnsi="NanumGothic" w:eastAsia="NanumGothic" w:cs="NanumGothic"/>
        </w:rPr>
        <w:t>RoxStock은 매수 건별 보유수량과 매도 손익, 현재 실제 예수금, 주식 평가액, 배당, 가치투자 지표와 장기 복리목표를 한곳에서 관리하는 개인용 주식 매매일지다.</w:t>
      </w:r>
    </w:p>
    <w:p>
      <w:r>
        <w:rPr>
          <w:rFonts w:ascii="NanumGothic" w:hAnsi="NanumGothic" w:eastAsia="NanumGothic" w:cs="NanumGothic"/>
        </w:rPr>
        <w:t>초기 버전은 증권사의 모든 정산 규칙을 재현하지 않는다. 사용자가 현재 얼마를 보유하고 있고, 얼마를 더 투자할 수 있으며, 각 투자 판단이 어떤 결과를 만들었는지를 단순하고 명확하게 보여주는 데 집중한다.</w:t>
      </w:r>
    </w:p>
    <w:p>
      <w:pPr>
        <w:pStyle w:val="Heading1"/>
      </w:pPr>
      <w:r>
        <w:rPr>
          <w:rFonts w:ascii="NanumGothic" w:hAnsi="NanumGothic" w:eastAsia="NanumGothic" w:cs="NanumGothic"/>
        </w:rPr>
        <w:t>2. 제품 원칙</w:t>
      </w:r>
    </w:p>
    <w:p>
      <w:pPr>
        <w:pStyle w:val="ListBullet"/>
      </w:pPr>
      <w:r>
        <w:rPr>
          <w:rFonts w:ascii="NanumGothic" w:hAnsi="NanumGothic" w:eastAsia="NanumGothic" w:cs="NanumGothic"/>
        </w:rPr>
        <w:t>한 번의 매수를 하나의 독립된 매수 Lot으로 관리한다.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매도는 사용자가 선택한 단일 매수 Lot에만 연결한다.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여러 매수 Lot을 한 번의 매도로 묶는 기능은 제공하지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한 매수 Lot은 여러 번 나누어 매도할 수 있다.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예수금은 현재 증권계좌에서 확인되는 실제 현금 잔액을 기준으로 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신규 거래는 등록 순간에만 예수금에 반영하고, 이후 거래 수정·삭제는 예수금을 자동으로 되돌리지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현재가는 자동 수집하되 수집이 불가능하면 사용자가 직접 수정할 수 있다.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개인용 초기 버전에 필요한 기능부터 구현하고, 복잡한 기능은 실제 필요가 확인될 때 추가한다.</w:t>
      </w:r>
    </w:p>
    <w:p>
      <w:pPr>
        <w:pStyle w:val="Heading1"/>
      </w:pPr>
      <w:r>
        <w:rPr>
          <w:rFonts w:ascii="NanumGothic" w:hAnsi="NanumGothic" w:eastAsia="NanumGothic" w:cs="NanumGothic"/>
        </w:rPr>
        <w:t>3. 1차 개발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포함</w:t>
            </w:r>
          </w:p>
        </w:tc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제외 또는 후속 검토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계좌, 현재 예수금, 매수, 매도, 입금, 출금, 배당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D+1·D+2 결제 예정금액 분리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매수 Lot별 잔여수량과 실현·미실현손익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FIFO·LIFO·종목 전체 평균단가 매도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관심·보유·추천종목 통합 목록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여러 매수 Lot 일괄매도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최신 현재가 자동·수기 갱신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전체 틱 데이터 영구 저장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일별 계좌 스냅샷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시간대별 스냅샷 이력 보존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종목별 일별 스냅샷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실제 사용 여부는 구현 전 재검토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재무제표와 가치평가 지표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컨센서스·업종 평균·고급 지표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세전·세후 배당금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기업행사·해외주식·다중 통화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여러 복리목표와 매년 추가 투자금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증권사 주문 자동 실행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 w:cs="NanumGothic"/>
        </w:rPr>
        <w:t>4. 핵심 사용자 흐름</w:t>
      </w:r>
    </w:p>
    <w:p>
      <w:pPr>
        <w:pStyle w:val="Heading2"/>
      </w:pPr>
      <w:r>
        <w:rPr>
          <w:rFonts w:ascii="NanumGothic" w:hAnsi="NanumGothic" w:eastAsia="NanumGothic" w:cs="NanumGothic"/>
        </w:rPr>
        <w:t>4.1 최초 설정</w:t>
      </w:r>
    </w:p>
    <w:p>
      <w:pPr>
        <w:pStyle w:val="ListNumber"/>
      </w:pPr>
      <w:r>
        <w:rPr>
          <w:rFonts w:ascii="NanumGothic" w:hAnsi="NanumGothic" w:eastAsia="NanumGothic" w:cs="NanumGothic"/>
        </w:rPr>
        <w:t>계좌와 증권사명을 등록한다.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현재 증권계좌에서 확인한 실제 예수금을 입력한다.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기존 매수 건을 종목·매수일시·수량·매수단가로 등록한다.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종목을 관심·보유·추천 중 하나의 목록에 등록한다.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최신 시세와 가치투자 정보를 확인한다.</w:t>
      </w:r>
    </w:p>
    <w:p>
      <w:pPr>
        <w:pStyle w:val="Heading2"/>
      </w:pPr>
      <w:r>
        <w:rPr>
          <w:rFonts w:ascii="NanumGothic" w:hAnsi="NanumGothic" w:eastAsia="NanumGothic" w:cs="NanumGothic"/>
        </w:rPr>
        <w:t>4.2 매수와 매도</w:t>
      </w:r>
    </w:p>
    <w:p>
      <w:pPr>
        <w:pStyle w:val="ListNumber"/>
      </w:pPr>
      <w:r>
        <w:rPr>
          <w:rFonts w:ascii="NanumGothic" w:hAnsi="NanumGothic" w:eastAsia="NanumGothic" w:cs="NanumGothic"/>
        </w:rPr>
        <w:t>매수 등록 시 매수금액과 수수료·세금을 예수금에서 차감한다.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매도할 매수 건을 선택한다.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선택한 매수 건의 잔여수량 범위에서 매도수량과 단가를 입력한다.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매도 등록 시 매도금액에서 수수료·세금을 제외한 금액을 예수금에 더한다.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실현손익은 선택한 매수 건의 매수단가를 기준으로 계산한다.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거래 수정·삭제 후 실제 예수금과 차이가 생기면 사용자가 현재 예수금을 직접 수정한다.</w:t>
      </w:r>
    </w:p>
    <w:p>
      <w:pPr>
        <w:pStyle w:val="Heading2"/>
      </w:pPr>
      <w:r>
        <w:rPr>
          <w:rFonts w:ascii="NanumGothic" w:hAnsi="NanumGothic" w:eastAsia="NanumGothic" w:cs="NanumGothic"/>
        </w:rPr>
        <w:t>4.3 배당과 입출금</w:t>
      </w:r>
    </w:p>
    <w:p>
      <w:pPr>
        <w:pStyle w:val="ListBullet"/>
      </w:pPr>
      <w:r>
        <w:rPr>
          <w:rFonts w:ascii="NanumGothic" w:hAnsi="NanumGothic" w:eastAsia="NanumGothic" w:cs="NanumGothic"/>
        </w:rPr>
        <w:t>배당은 세전 배당금과 세후 실수령액을 함께 기록한다.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배당 최초 등록 시 세후 실수령액만 예수금에 더한다.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연도별 실수령 배당금은 세후 배당금 합계로 계산한다.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입금과 출금은 투자손익과 구분되는 외부 현금흐름으로 관리한다.</w:t>
      </w:r>
    </w:p>
    <w:p>
      <w:pPr>
        <w:pStyle w:val="Heading1"/>
      </w:pPr>
      <w:r>
        <w:rPr>
          <w:rFonts w:ascii="NanumGothic" w:hAnsi="NanumGothic" w:eastAsia="NanumGothic" w:cs="NanumGothic"/>
        </w:rPr>
        <w:t>5. 자산과 손익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9936"/>
      </w:tblGrid>
      <w:tr>
        <w:tc>
          <w:tcPr>
            <w:tcW w:type="dxa" w:w="9936"/>
            <w:shd w:fill="F3F6F9"/>
          </w:tcPr>
          <w:p>
            <w:pPr>
              <w:spacing w:after="0"/>
            </w:pPr>
            <w:r>
              <w:rPr>
                <w:rFonts w:ascii="NanumGothic" w:hAnsi="NanumGothic" w:eastAsia="NanumGothic" w:cs="NanumGothic"/>
                <w:sz w:val="18"/>
              </w:rPr>
              <w:t>매수 Lot 잔여수량 = 매수수량 - 연결된 매도수량 합계</w:t>
              <w:br/>
              <w:t>실현손익 = 매도수량 × (매도단가 - 연결된 매수단가)</w:t>
              <w:br/>
              <w:t>Lot 평가금액 = 잔여수량 × 현재가</w:t>
              <w:br/>
              <w:t>Lot 평가손익 = 잔여수량 × (현재가 - 매수단가)</w:t>
              <w:br/>
              <w:t>주식 평가금액 = 모든 보유 Lot 평가금액의 합</w:t>
              <w:br/>
              <w:t>총 평가자산 = 주식 평가금액 + 현재 예수금</w:t>
              <w:br/>
              <w:t>현금 비중 = 현재 예수금 ÷ 총 평가자산 × 100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>거래비용은 기본 실현손익에 자동 반영하지 않고 별도 참고값으로 보여줄 수 있다. 월별·연도별 수수료와 세금은 예수금 변동 내역의 비용 합계로 계산한다.</w:t>
      </w:r>
    </w:p>
    <w:p>
      <w:pPr>
        <w:pStyle w:val="Heading1"/>
      </w:pPr>
      <w:r>
        <w:rPr>
          <w:rFonts w:ascii="NanumGothic" w:hAnsi="NanumGothic" w:eastAsia="NanumGothic" w:cs="NanumGothic"/>
        </w:rPr>
        <w:t>6. 종목 목록과 모바일 UX</w:t>
      </w:r>
    </w:p>
    <w:p>
      <w:r>
        <w:rPr>
          <w:rFonts w:ascii="NanumGothic" w:hAnsi="NanumGothic" w:eastAsia="NanumGothic" w:cs="NanumGothic"/>
          <w:color w:val="374B5F"/>
          <w:sz w:val="19"/>
        </w:rPr>
        <w:t>watchlist_items</w:t>
      </w:r>
      <w:r>
        <w:rPr>
          <w:rFonts w:ascii="NanumGothic" w:hAnsi="NanumGothic" w:eastAsia="NanumGothic" w:cs="NanumGothic"/>
        </w:rPr>
        <w:t xml:space="preserve"> 하나에서 종목을 다음 세 가지 유형으로 구분한다.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목록 유형</w:t>
            </w:r>
          </w:p>
        </w:tc>
        <w:tc>
          <w:tcPr>
            <w:tcW w:type="dxa" w:w="331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화면 탭</w:t>
            </w:r>
          </w:p>
        </w:tc>
        <w:tc>
          <w:tcPr>
            <w:tcW w:type="dxa" w:w="331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의미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7"/>
              </w:rPr>
              <w:t>WATCHLIST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관심종목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관찰하거나 매수를 검토하는 종목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7"/>
              </w:rPr>
              <w:t>HOLDING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보유종목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잔여수량을 보유한 종목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7"/>
              </w:rPr>
              <w:t>RECOMMENDED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추천종목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추천 대상으로 분류한 종목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NanumGothic" w:hAnsi="NanumGothic" w:eastAsia="NanumGothic" w:cs="NanumGothic"/>
        </w:rPr>
        <w:t>한 종목은 한 유형에만 속하며 여러 탭에 중복 표시하지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관심·추천종목을 매수하면 보유종목으로 이동한다.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전량 매도하면 관심종목으로 이동한다.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목록 전체를 한 번 조회하고 React에서 유형별로 필터링한다.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탭은 </w:t>
      </w:r>
      <w:r>
        <w:rPr>
          <w:rFonts w:ascii="NanumGothic" w:hAnsi="NanumGothic" w:eastAsia="NanumGothic" w:cs="NanumGothic"/>
          <w:color w:val="374B5F"/>
          <w:sz w:val="19"/>
        </w:rPr>
        <w:t>관심 → 보유 → 추천 → 관심</w:t>
      </w:r>
      <w:r>
        <w:rPr>
          <w:rFonts w:ascii="NanumGothic" w:hAnsi="NanumGothic" w:eastAsia="NanumGothic" w:cs="NanumGothic"/>
        </w:rPr>
        <w:t xml:space="preserve"> 순으로 무한 순환한다.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반대 방향도 동일하게 순환하며 탭 클릭과 좌우 스와이프를 모두 지원한다.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모바일의 동일 레벨 탭·카드·기간 화면에서는 스와이프와 무한 순환을 기본 UX로 사용한다.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입력폼, 차트 조작, 버튼 영역과 OS 뒤로가기 제스처의 충돌을 방지한다.</w:t>
      </w:r>
    </w:p>
    <w:p>
      <w:pPr>
        <w:pStyle w:val="Heading1"/>
      </w:pPr>
      <w:r>
        <w:rPr>
          <w:rFonts w:ascii="NanumGothic" w:hAnsi="NanumGothic" w:eastAsia="NanumGothic" w:cs="NanumGothic"/>
        </w:rPr>
        <w:t>7. 시세와 스냅샷</w:t>
      </w:r>
    </w:p>
    <w:p>
      <w:pPr>
        <w:pStyle w:val="ListBullet"/>
      </w:pPr>
      <w:r>
        <w:rPr>
          <w:rFonts w:ascii="NanumGothic" w:hAnsi="NanumGothic" w:eastAsia="NanumGothic" w:cs="NanumGothic"/>
        </w:rPr>
        <w:t>종목별 최신 가격 한 건만 저장한다.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가격 제공처의 기준시각인 </w:t>
      </w:r>
      <w:r>
        <w:rPr>
          <w:rFonts w:ascii="NanumGothic" w:hAnsi="NanumGothic" w:eastAsia="NanumGothic" w:cs="NanumGothic"/>
          <w:color w:val="374B5F"/>
          <w:sz w:val="19"/>
        </w:rPr>
        <w:t>price_as_of</w:t>
      </w:r>
      <w:r>
        <w:rPr>
          <w:rFonts w:ascii="NanumGothic" w:hAnsi="NanumGothic" w:eastAsia="NanumGothic" w:cs="NanumGothic"/>
        </w:rPr>
        <w:t>는 사용하지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자동 또는 수기 가격 갱신 시각은 </w:t>
      </w:r>
      <w:r>
        <w:rPr>
          <w:rFonts w:ascii="NanumGothic" w:hAnsi="NanumGothic" w:eastAsia="NanumGothic" w:cs="NanumGothic"/>
          <w:color w:val="374B5F"/>
          <w:sz w:val="19"/>
        </w:rPr>
        <w:t>price_updated_at</w:t>
      </w:r>
      <w:r>
        <w:rPr>
          <w:rFonts w:ascii="NanumGothic" w:hAnsi="NanumGothic" w:eastAsia="NanumGothic" w:cs="NanumGothic"/>
        </w:rPr>
        <w:t>으로 관리한다.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자동 수집 실패 시 마지막 정상 가격을 유지한다.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사용자가 현재가와 전일 종가를 직접 수정할 수 있다.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다음 자동 수집이 성공하면 수기 가격을 최신 수집 가격으로 갱신한다.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당일 계좌 스냅샷은 약 1시간마다 같은 행을 UPSERT하고 23시에 마지막 갱신한다.</w:t>
      </w:r>
    </w:p>
    <w:p>
      <w:pPr>
        <w:pStyle w:val="ListBullet"/>
      </w:pPr>
      <w:r>
        <w:rPr>
          <w:rFonts w:ascii="NanumGothic" w:hAnsi="NanumGothic" w:eastAsia="NanumGothic" w:cs="NanumGothic"/>
          <w:color w:val="374B5F"/>
          <w:sz w:val="19"/>
        </w:rPr>
        <w:t>is_final</w:t>
      </w:r>
      <w:r>
        <w:rPr>
          <w:rFonts w:ascii="NanumGothic" w:hAnsi="NanumGothic" w:eastAsia="NanumGothic" w:cs="NanumGothic"/>
        </w:rPr>
        <w:t>은 사용하지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종목별 일별 스냅샷은 설계에 포함하되 선택 구현으로 둔다.</w:t>
      </w:r>
    </w:p>
    <w:p>
      <w:pPr>
        <w:pStyle w:val="Heading1"/>
      </w:pPr>
      <w:r>
        <w:rPr>
          <w:rFonts w:ascii="NanumGothic" w:hAnsi="NanumGothic" w:eastAsia="NanumGothic" w:cs="NanumGothic"/>
        </w:rPr>
        <w:t>8. 가치투자와 복리목표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핵심 정보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재무제표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매출, 영업이익, 순이익, 자산, 부채, 자본, 영업현금흐름, 설비투자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가치평가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EPS, BPS, PER, PBR, ROE, 주당배당금, 배당수익률, 시가총액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배당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세전 배당금, 세후 실수령액, 종목·월·연도별 합계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복리목표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기간명, 시작자산, 목표수익률, 매년 추가 투자금, 목표 성장곡선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>한 계좌에 여러 복리목표를 등록할 수 있다. 같은 기간에 연 10%·20%·30% 목표를 비교하거나 1기·2기·3기처럼 5년 단위로 목표율을 다르게 설정할 수 있다. 비교 화면에는 보통 3개를 표시하지만 저장 개수에는 제한을 두지 않는다.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9936"/>
      </w:tblGrid>
      <w:tr>
        <w:tc>
          <w:tcPr>
            <w:tcW w:type="dxa" w:w="9936"/>
            <w:shd w:fill="F3F6F9"/>
          </w:tcPr>
          <w:p>
            <w:pPr>
              <w:spacing w:after="0"/>
            </w:pPr>
            <w:r>
              <w:rPr>
                <w:rFonts w:ascii="NanumGothic" w:hAnsi="NanumGothic" w:eastAsia="NanumGothic" w:cs="NanumGothic"/>
                <w:sz w:val="18"/>
              </w:rPr>
              <w:t>1년 차 목표자산</w:t>
              <w:br/>
              <w:t>= (시작 자산 + 연간 추가 투자금) × (1 + 목표수익률)</w:t>
              <w:br/>
              <w:br/>
              <w:t>2년 차 이후 목표자산</w:t>
              <w:br/>
              <w:t>= (직전 연도 목표자산 + 연간 추가 투자금) × (1 + 목표수익률)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 w:cs="NanumGothic"/>
        </w:rPr>
        <w:t>9. 주요 화면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4968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주요 정보와 동작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대시보드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총자산, 주식 평가액, 예수금, 현금 비중, 손익, 배당, 자산 추이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종목 목록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관심·보유·추천 탭, 무한 순환 스와이프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매수 건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매수 건별 수량, 단가, 잔여수량, 평가손익, 매도 시작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매도 입력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선택한 단일 매수 건, 매도수량, 단가, 예상 실현손익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예수금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현재 실제 예수금, 입출금과 거래별 변동, 수수료·세금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배당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세전·세후 금액, 월별·연도별 실수령 배당금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가치투자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재무제표, 가치평가 지표와 투자 메모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복리목표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여러 목표 성장곡선과 실제 자산 비교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설정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7"/>
              </w:rPr>
              <w:t>현재 예수금과 시세 수기 수정, 수집 상태 확인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 w:cs="NanumGothic"/>
        </w:rPr>
        <w:t>10. 데이터 원칙</w:t>
      </w:r>
    </w:p>
    <w:p>
      <w:pPr>
        <w:pStyle w:val="ListBullet"/>
      </w:pPr>
      <w:r>
        <w:rPr>
          <w:rFonts w:ascii="NanumGothic" w:hAnsi="NanumGothic" w:eastAsia="NanumGothic" w:cs="NanumGothic"/>
        </w:rPr>
        <w:t>금액과 수량은 고정 소수점 타입을 사용한다.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현재 보유수량과 평가금액은 매수·매도 내역으로 계산하며 </w:t>
      </w:r>
      <w:r>
        <w:rPr>
          <w:rFonts w:ascii="NanumGothic" w:hAnsi="NanumGothic" w:eastAsia="NanumGothic" w:cs="NanumGothic"/>
          <w:color w:val="374B5F"/>
          <w:sz w:val="19"/>
        </w:rPr>
        <w:t>positions</w:t>
      </w:r>
      <w:r>
        <w:rPr>
          <w:rFonts w:ascii="NanumGothic" w:hAnsi="NanumGothic" w:eastAsia="NanumGothic" w:cs="NanumGothic"/>
        </w:rPr>
        <w:t xml:space="preserve"> 테이블은 두지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매수·매도·배당과 예수금 변동 내역은 FK로 직접 연결하지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신규 등록과 예수금 반영은 하나의 DB 트랜잭션으로 처리한다.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과거 거래 수정·삭제로 예수금과 과거 스냅샷을 자동 변경하지 않는다.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매도가 연결된 매수 삭제는 확인 후 연결된 매도와 매수를 한 트랜잭션에서 삭제한다.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과거 데이터보다 사용자가 확인한 현재 실제 예수금을 우선한다.</w:t>
      </w:r>
    </w:p>
    <w:p>
      <w:pPr>
        <w:pStyle w:val="Heading1"/>
      </w:pPr>
      <w:r>
        <w:rPr>
          <w:rFonts w:ascii="NanumGothic" w:hAnsi="NanumGothic" w:eastAsia="NanumGothic" w:cs="NanumGothic"/>
        </w:rPr>
        <w:t>11. 다음 단계</w:t>
      </w:r>
    </w:p>
    <w:p>
      <w:pPr>
        <w:pStyle w:val="ListNumber"/>
      </w:pPr>
      <w:r>
        <w:rPr>
          <w:rFonts w:ascii="NanumGothic" w:hAnsi="NanumGothic" w:eastAsia="NanumGothic" w:cs="NanumGothic"/>
        </w:rPr>
        <w:t>DB 스키마 v0.2의 컬럼 타입·PK·FK·UNIQUE·INDEX를 최종 검토한다.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Prisma 모델을 작성한다.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예수금 비용 수정과 거래 삭제 시나리오를 서비스 규칙으로 고정한다.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Fastify API 명세를 작성한다.</w:t>
      </w:r>
    </w:p>
    <w:p>
      <w:pPr>
        <w:pStyle w:val="ListNumber"/>
      </w:pPr>
      <w:r>
        <w:rPr>
          <w:rFonts w:ascii="NanumGothic" w:hAnsi="NanumGothic" w:eastAsia="NanumGothic" w:cs="NanumGothic"/>
        </w:rPr>
        <w:t>React 모바일 화면 구조와 순환형 스와이프 컴포넌트를 설계한다.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altName w:val="나눔고딕"/>
    <w:charset w:val="81"/>
    <w:family w:val="swiss"/>
    <w:pitch w:val="variable"/>
    <w:embedRegular r:id="rIdNanumGothicRegular" w:fontKey="{F7CAB3BC-87B2-4584-9F57-DA9CCB63C5EC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 w:cs="NanumGothic"/>
        <w:color w:val="78828C"/>
        <w:sz w:val="16"/>
      </w:rPr>
      <w:t>기획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anumGothic" w:hAnsi="NanumGothic" w:eastAsia="NanumGothic" w:cs="NanumGothi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anumGothic" w:hAnsi="NanumGothic" w:eastAsia="NanumGothic" w:cs="NanumGothi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anumGothic" w:hAnsi="NanumGothic" w:eastAsia="NanumGothic" w:cs="NanumGothi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anumGothic" w:hAnsi="NanumGothic" w:eastAsia="NanumGothic" w:cs="NanumGothi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anumGothic" w:hAnsi="NanumGothic" w:eastAsia="NanumGothic" w:cs="Nanum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Gothic" w:hAnsi="NanumGothic" w:eastAsia="NanumGothic" w:cs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NanumGothic" w:hAnsi="NanumGothic" w:eastAsia="NanumGothic" w:cs="NanumGothic"/>
      <w:b/>
      <w:bCs/>
      <w:color w:val="2335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NanumGothic" w:hAnsi="NanumGothic" w:eastAsia="NanumGothic" w:cs="NanumGothic"/>
      <w:b/>
      <w:bCs/>
      <w:color w:val="3973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anumGothic" w:hAnsi="NanumGothic" w:eastAsia="NanumGothic" w:cs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Gothic" w:hAnsi="NanumGothic" w:eastAsia="NanumGothic" w:cs="Nanum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Gothic" w:hAnsi="NanumGothic" w:eastAsia="NanumGothic" w:cs="Nanum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Gothic" w:hAnsi="NanumGothic" w:eastAsia="NanumGothic" w:cs="Nanum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Gothic" w:hAnsi="NanumGothic" w:eastAsia="NanumGothic" w:cs="Nanum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Gothic" w:hAnsi="NanumGothic" w:eastAsia="NanumGothic" w:cs="Nanum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anumGothic" w:hAnsi="NanumGothic" w:eastAsia="NanumGothic" w:cs="Nanum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anumGothic" w:hAnsi="NanumGothic" w:eastAsia="NanumGothic" w:cs="Nanum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="NanumGothic" w:hAnsi="NanumGothic" w:eastAsia="NanumGothic" w:cs="NanumGothic"/>
      <w:b/>
      <w:color w:val="2335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anumGothic" w:hAnsi="NanumGothic" w:eastAsia="NanumGothic" w:cs="Nanum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 w:cs="Nanum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Gothic" w:hAnsi="NanumGothic" w:eastAsia="NanumGothic" w:cs="Nanum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anumGothic" w:hAnsi="NanumGothic" w:eastAsia="NanumGothic" w:cs="Nanum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anumGothic" w:hAnsi="NanumGothic" w:eastAsia="NanumGothic" w:cs="Nanum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anumGothic" w:hAnsi="NanumGothic" w:eastAsia="NanumGothic" w:cs="Nanum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anumGothic" w:hAnsi="NanumGothic" w:eastAsia="NanumGothic" w:cs="Nanum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anumGothic" w:hAnsi="NanumGothic" w:eastAsia="NanumGothic" w:cs="Nanum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anumGothic" w:hAnsi="NanumGothic" w:eastAsia="NanumGothic" w:cs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anumGothic" w:hAnsi="NanumGothic" w:eastAsia="NanumGothic" w:cs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Gothic" w:hAnsi="NanumGothic" w:eastAsia="NanumGothic" w:cs="Nanum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Gothic" w:hAnsi="NanumGothic" w:eastAsia="NanumGothic" w:cs="Nanum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Gothic" w:hAnsi="NanumGothic" w:eastAsia="NanumGothic" w:cs="Nanum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Gothic" w:hAnsi="NanumGothic" w:eastAsia="NanumGothic" w:cs="Nanum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Gothic" w:hAnsi="NanumGothic" w:eastAsia="NanumGothic" w:cs="Nanum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anumGothic" w:hAnsi="NanumGothic" w:eastAsia="NanumGothic" w:cs="Nanum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anumGothic" w:hAnsi="NanumGothic" w:eastAsia="NanumGothic" w:cs="Nanum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anumGothic" w:hAnsi="NanumGothic" w:eastAsia="NanumGothic" w:cs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anumGothic" w:hAnsi="NanumGothic" w:eastAsia="NanumGothic" w:cs="Nanum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 w:cs="Nanum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Gothic" w:hAnsi="NanumGothic" w:eastAsia="NanumGothic" w:cs="Nanum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anumGothic" w:hAnsi="NanumGothic" w:eastAsia="NanumGothic" w:cs="Nanum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anumGothic" w:hAnsi="NanumGothic" w:eastAsia="NanumGothic" w:cs="Nanum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anumGothic" w:hAnsi="NanumGothic" w:eastAsia="NanumGothic" w:cs="Nanum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anumGothic" w:hAnsi="NanumGothic" w:eastAsia="NanumGothic" w:cs="Nanum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NanumGothicRegular" Type="http://schemas.openxmlformats.org/officeDocument/2006/relationships/font" Target="fonts/NanumGothic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