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anumGothic" w:hAnsi="NanumGothic" w:eastAsia="NanumGothic" w:cs="NanumGothic"/>
          <w:b/>
          <w:color w:val="000000"/>
          <w:sz w:val="40"/>
        </w:rPr>
        <w:t>주식 매매일지 웹 서비스 기획서</w:t>
      </w:r>
    </w:p>
    <w:p>
      <w:pPr>
        <w:pStyle w:val="Subtitle"/>
      </w:pPr>
      <w:r>
        <w:rPr>
          <w:rFonts w:ascii="NanumGothic" w:hAnsi="NanumGothic" w:eastAsia="NanumGothic" w:cs="NanumGothic"/>
          <w:b w:val="0"/>
          <w:color w:val="666666"/>
          <w:sz w:val="22"/>
        </w:rPr>
        <w:t>버전 0.1</w:t>
      </w:r>
    </w:p>
    <w:p>
      <w:pPr>
        <w:spacing w:after="190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 w:val="true"/>
        </w:trPr>
        <w:tc>
          <w:tcPr>
            <w:tcW w:type="dxa" w:w="208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63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/>
                <w:color w:val="FFFFFF"/>
                <w:sz w:val="18"/>
              </w:rPr>
              <w:t>내용</w:t>
            </w:r>
          </w:p>
        </w:tc>
      </w:tr>
      <w:tr>
        <w:trPr>
          <w:cantSplit w:val="true"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서비스 유형</w:t>
            </w:r>
          </w:p>
        </w:tc>
        <w:tc>
          <w:tcPr>
            <w:tcW w:type="dxa" w:w="76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개인 투자자를 위한 주식 매매 기록 및 자산 분석 웹 서비스</w:t>
            </w:r>
          </w:p>
        </w:tc>
      </w:tr>
      <w:tr>
        <w:trPr>
          <w:cantSplit w:val="true"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핵심 목표</w:t>
            </w:r>
          </w:p>
        </w:tc>
        <w:tc>
          <w:tcPr>
            <w:tcW w:type="dxa" w:w="76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매매와 입출금 기록을 바탕으로 현재 자산과 실제 투자성과를 정확히 보여준다</w:t>
            </w:r>
          </w:p>
        </w:tc>
      </w:tr>
      <w:tr>
        <w:trPr>
          <w:cantSplit w:val="true"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주요 사용자</w:t>
            </w:r>
          </w:p>
        </w:tc>
        <w:tc>
          <w:tcPr>
            <w:tcW w:type="dxa" w:w="76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여러 종목을 직접 매매하고 투자 성과를 스스로 관리하려는 개인 투자자</w:t>
            </w:r>
          </w:p>
        </w:tc>
      </w:tr>
      <w:tr>
        <w:trPr>
          <w:cantSplit w:val="true"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기획 기준일</w:t>
            </w:r>
          </w:p>
        </w:tc>
        <w:tc>
          <w:tcPr>
            <w:tcW w:type="dxa" w:w="76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2026년 9월 15일</w:t>
            </w:r>
          </w:p>
        </w:tc>
      </w:tr>
      <w:tr>
        <w:trPr>
          <w:cantSplit w:val="true"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연계 문서</w:t>
            </w:r>
          </w:p>
        </w:tc>
        <w:tc>
          <w:tcPr>
            <w:tcW w:type="dxa" w:w="76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실시간 수집 및 자산관리 기본설계서 v0.1</w:t>
            </w:r>
          </w:p>
        </w:tc>
      </w:tr>
    </w:tbl>
    <w:p>
      <w:pPr>
        <w:spacing w:after="0"/>
      </w:pPr>
    </w:p>
    <w:p>
      <w:pPr>
        <w:spacing w:after="900"/>
      </w:pPr>
    </w:p>
    <w:p>
      <w:r>
        <w:rPr>
          <w:rFonts w:ascii="NanumGothic" w:hAnsi="NanumGothic" w:eastAsia="NanumGothic" w:cs="NanumGothic"/>
          <w:b w:val="0"/>
          <w:color w:val="666666"/>
          <w:sz w:val="19"/>
        </w:rPr>
        <w:t>문서 상태  1차 개발 범위와 사용자 경험 정의</w:t>
      </w:r>
    </w:p>
    <w:p>
      <w:r>
        <w:br w:type="page"/>
      </w:r>
    </w:p>
    <w:p>
      <w:pPr>
        <w:pStyle w:val="Heading1"/>
        <w:keepNext/>
      </w:pPr>
      <w:r>
        <w:t>1 서비스 개요</w:t>
      </w:r>
    </w:p>
    <w:p>
      <w:pPr>
        <w:pStyle w:val="BodyText"/>
        <w:spacing w:after="120"/>
      </w:pPr>
      <w:r>
        <w:rPr>
          <w:rFonts w:ascii="NanumGothic" w:hAnsi="NanumGothic" w:eastAsia="NanumGothic" w:cs="NanumGothic"/>
          <w:b w:val="0"/>
          <w:color w:val="000000"/>
          <w:sz w:val="21"/>
        </w:rPr>
        <w:t>이 서비스는 주식 거래, 입출금, 예수금, 보유종목과 실시간 시세를 한곳에서 관리하는 개인용 매매일지다. 사용자는 단순히 매수와 매도 내역을 보관하는 데 그치지 않고 현재 총자산, 주식 평가액, 실현손익, 미실현손익과 기간별 수익률을 같은 계산 기준으로 확인할 수 있다.</w:t>
      </w:r>
    </w:p>
    <w:p>
      <w:pPr>
        <w:pStyle w:val="BodyText"/>
        <w:spacing w:after="120"/>
      </w:pPr>
      <w:r>
        <w:rPr>
          <w:rFonts w:ascii="NanumGothic" w:hAnsi="NanumGothic" w:eastAsia="NanumGothic" w:cs="NanumGothic"/>
          <w:b w:val="0"/>
          <w:color w:val="000000"/>
          <w:sz w:val="21"/>
        </w:rPr>
        <w:t>1차 개발의 중심은 정확한 계산과 빠른 현황 확인이다. 거래 원장과 현금흐름을 기준 데이터로 유지하고, 장중에는 최신 시세로 평가액을 갱신하며, 하루가 끝난 뒤 일별 스냅샷을 생성해 자산 변화를 기록한다.</w:t>
      </w:r>
    </w:p>
    <w:p>
      <w:pPr>
        <w:pStyle w:val="Heading1"/>
        <w:keepNext/>
      </w:pPr>
      <w:r>
        <w:t>2 기획 배경과 해결할 문제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 w:val="true"/>
        </w:trPr>
        <w:tc>
          <w:tcPr>
            <w:tcW w:type="dxa" w:w="352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/>
                <w:color w:val="FFFFFF"/>
                <w:sz w:val="18"/>
              </w:rPr>
              <w:t>현재 문제</w:t>
            </w:r>
          </w:p>
        </w:tc>
        <w:tc>
          <w:tcPr>
            <w:tcW w:type="dxa" w:w="619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/>
                <w:color w:val="FFFFFF"/>
                <w:sz w:val="18"/>
              </w:rPr>
              <w:t>서비스가 제공할 해결 방식</w:t>
            </w:r>
          </w:p>
        </w:tc>
      </w:tr>
      <w:tr>
        <w:trPr>
          <w:cantSplit w:val="true"/>
        </w:trPr>
        <w:tc>
          <w:tcPr>
            <w:tcW w:type="dxa" w:w="35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매매 기록과 현재 자산이 분리되어 있다</w:t>
            </w:r>
          </w:p>
        </w:tc>
        <w:tc>
          <w:tcPr>
            <w:tcW w:type="dxa" w:w="61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거래 보유현황 예수금 실시간 평가액을 하나의 계좌 흐름으로 연결한다</w:t>
            </w:r>
          </w:p>
        </w:tc>
      </w:tr>
      <w:tr>
        <w:trPr>
          <w:cantSplit w:val="true"/>
        </w:trPr>
        <w:tc>
          <w:tcPr>
            <w:tcW w:type="dxa" w:w="35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입출금이 수익처럼 보이거나 손실처럼 보일 수 있다</w:t>
            </w:r>
          </w:p>
        </w:tc>
        <w:tc>
          <w:tcPr>
            <w:tcW w:type="dxa" w:w="61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외부 현금흐름과 투자손익을 구분하고 TWR과 MWR 적용을 검토한다</w:t>
            </w:r>
          </w:p>
        </w:tc>
      </w:tr>
      <w:tr>
        <w:trPr>
          <w:cantSplit w:val="true"/>
        </w:trPr>
        <w:tc>
          <w:tcPr>
            <w:tcW w:type="dxa" w:w="35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분할매수와 분할매도 후 손익 확인이 어렵다</w:t>
            </w:r>
          </w:p>
        </w:tc>
        <w:tc>
          <w:tcPr>
            <w:tcW w:type="dxa" w:w="61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잔여 취득원가 실현손익 미실현손익을 거래 순서에 따라 다시 계산한다</w:t>
            </w:r>
          </w:p>
        </w:tc>
      </w:tr>
      <w:tr>
        <w:trPr>
          <w:cantSplit w:val="true"/>
        </w:trPr>
        <w:tc>
          <w:tcPr>
            <w:tcW w:type="dxa" w:w="35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장중 자산과 과거 자산을 같은 화면에서 비교하기 어렵다</w:t>
            </w:r>
          </w:p>
        </w:tc>
        <w:tc>
          <w:tcPr>
            <w:tcW w:type="dxa" w:w="61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장중 실시간 평가와 일별 스냅샷을 구분하여 제공한다</w:t>
            </w:r>
          </w:p>
        </w:tc>
      </w:tr>
      <w:tr>
        <w:trPr>
          <w:cantSplit w:val="true"/>
        </w:trPr>
        <w:tc>
          <w:tcPr>
            <w:tcW w:type="dxa" w:w="35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기록이 틀렸을 때 어디서 오류가 났는지 찾기 어렵다</w:t>
            </w:r>
          </w:p>
        </w:tc>
        <w:tc>
          <w:tcPr>
            <w:tcW w:type="dxa" w:w="61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원장 데이터를 유지하고 파생 결과를 다시 계산할 수 있게 한다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3 서비스 목표</w:t>
      </w:r>
    </w:p>
    <w:p>
      <w:pPr>
        <w:pStyle w:val="ListBullet"/>
        <w:spacing w:after="60"/>
        <w:ind w:left="331" w:hanging="230"/>
      </w:pPr>
      <w:r>
        <w:rPr>
          <w:rFonts w:ascii="NanumGothic" w:hAnsi="NanumGothic" w:eastAsia="NanumGothic" w:cs="NanumGothic"/>
          <w:b w:val="0"/>
          <w:color w:val="000000"/>
          <w:sz w:val="21"/>
        </w:rPr>
        <w:t>계좌의 총 평가자산과 주식 평가액을 한눈에 확인한다.</w:t>
      </w:r>
    </w:p>
    <w:p>
      <w:pPr>
        <w:pStyle w:val="ListBullet"/>
        <w:spacing w:after="60"/>
        <w:ind w:left="331" w:hanging="230"/>
      </w:pPr>
      <w:r>
        <w:rPr>
          <w:rFonts w:ascii="NanumGothic" w:hAnsi="NanumGothic" w:eastAsia="NanumGothic" w:cs="NanumGothic"/>
          <w:b w:val="0"/>
          <w:color w:val="000000"/>
          <w:sz w:val="21"/>
        </w:rPr>
        <w:t>매수 매도 입금 출금이 예수금과 보유현황에 미치는 영향을 일관되게 계산한다.</w:t>
      </w:r>
    </w:p>
    <w:p>
      <w:pPr>
        <w:pStyle w:val="ListBullet"/>
        <w:spacing w:after="60"/>
        <w:ind w:left="331" w:hanging="230"/>
      </w:pPr>
      <w:r>
        <w:rPr>
          <w:rFonts w:ascii="NanumGothic" w:hAnsi="NanumGothic" w:eastAsia="NanumGothic" w:cs="NanumGothic"/>
          <w:b w:val="0"/>
          <w:color w:val="000000"/>
          <w:sz w:val="21"/>
        </w:rPr>
        <w:t>분할매매 이후 실현손익과 잔여 보유분의 미실현손익을 정확히 구분한다.</w:t>
      </w:r>
    </w:p>
    <w:p>
      <w:pPr>
        <w:pStyle w:val="ListBullet"/>
        <w:spacing w:after="60"/>
        <w:ind w:left="331" w:hanging="230"/>
      </w:pPr>
      <w:r>
        <w:rPr>
          <w:rFonts w:ascii="NanumGothic" w:hAnsi="NanumGothic" w:eastAsia="NanumGothic" w:cs="NanumGothic"/>
          <w:b w:val="0"/>
          <w:color w:val="000000"/>
          <w:sz w:val="21"/>
        </w:rPr>
        <w:t>입출금 영향을 분리한 기간별 투자성과를 확인한다.</w:t>
      </w:r>
    </w:p>
    <w:p>
      <w:pPr>
        <w:pStyle w:val="ListBullet"/>
        <w:spacing w:after="60"/>
        <w:ind w:left="331" w:hanging="230"/>
      </w:pPr>
      <w:r>
        <w:rPr>
          <w:rFonts w:ascii="NanumGothic" w:hAnsi="NanumGothic" w:eastAsia="NanumGothic" w:cs="NanumGothic"/>
          <w:b w:val="0"/>
          <w:color w:val="000000"/>
          <w:sz w:val="21"/>
        </w:rPr>
        <w:t>일별 스냅샷을 이용해 자산과 수익률의 변화를 차트로 조회한다.</w:t>
      </w:r>
    </w:p>
    <w:p>
      <w:pPr>
        <w:pStyle w:val="Heading2"/>
        <w:keepNext/>
      </w:pPr>
      <w:r>
        <w:t>3 1 성공 기준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 w:val="true"/>
        </w:trPr>
        <w:tc>
          <w:tcPr>
            <w:tcW w:type="dxa" w:w="208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63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/>
                <w:color w:val="FFFFFF"/>
                <w:sz w:val="18"/>
              </w:rPr>
              <w:t>판정 기준</w:t>
            </w:r>
          </w:p>
        </w:tc>
      </w:tr>
      <w:tr>
        <w:trPr>
          <w:cantSplit w:val="true"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계산 정확성</w:t>
            </w:r>
          </w:p>
        </w:tc>
        <w:tc>
          <w:tcPr>
            <w:tcW w:type="dxa" w:w="76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동일한 거래 사례에서 예수금 보유수량 취득원가 손익 총자산이 항상 같은 결과를 낸다</w:t>
            </w:r>
          </w:p>
        </w:tc>
      </w:tr>
      <w:tr>
        <w:trPr>
          <w:cantSplit w:val="true"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데이터 정합성</w:t>
            </w:r>
          </w:p>
        </w:tc>
        <w:tc>
          <w:tcPr>
            <w:tcW w:type="dxa" w:w="76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거래 원장으로 보유현황과 스냅샷을 다시 계산할 수 있다</w:t>
            </w:r>
          </w:p>
        </w:tc>
      </w:tr>
      <w:tr>
        <w:trPr>
          <w:cantSplit w:val="true"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현재성</w:t>
            </w:r>
          </w:p>
        </w:tc>
        <w:tc>
          <w:tcPr>
            <w:tcW w:type="dxa" w:w="76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장중 시세의 수집 시각과 오래된 가격 여부를 사용자가 확인할 수 있다</w:t>
            </w:r>
          </w:p>
        </w:tc>
      </w:tr>
      <w:tr>
        <w:trPr>
          <w:cantSplit w:val="true"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사용 편의</w:t>
            </w:r>
          </w:p>
        </w:tc>
        <w:tc>
          <w:tcPr>
            <w:tcW w:type="dxa" w:w="76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대시보드에서 총자산 주식 평가액 예수금 손익을 추가 이동 없이 확인한다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4 핵심 사용자 흐름</w:t>
      </w:r>
    </w:p>
    <w:p>
      <w:pPr>
        <w:pStyle w:val="Heading2"/>
        <w:keepNext/>
      </w:pPr>
      <w:r>
        <w:t>4 1 최초 설정</w:t>
      </w:r>
    </w:p>
    <w:p>
      <w:pPr>
        <w:pStyle w:val="BodyText"/>
        <w:spacing w:after="20"/>
        <w:ind w:left="403" w:hanging="317"/>
      </w:pPr>
      <w:r>
        <w:rPr>
          <w:rFonts w:ascii="NanumGothic" w:hAnsi="NanumGothic" w:eastAsia="NanumGothic" w:cs="NanumGothic"/>
          <w:b w:val="0"/>
          <w:color w:val="000000"/>
          <w:sz w:val="19"/>
        </w:rPr>
        <w:t>1. 계좌를 등록하고 계좌명과 초기 예수금을 입력한다.</w:t>
      </w:r>
    </w:p>
    <w:p>
      <w:pPr>
        <w:pStyle w:val="BodyText"/>
        <w:spacing w:after="20"/>
        <w:ind w:left="403" w:hanging="317"/>
      </w:pPr>
      <w:r>
        <w:rPr>
          <w:rFonts w:ascii="NanumGothic" w:hAnsi="NanumGothic" w:eastAsia="NanumGothic" w:cs="NanumGothic"/>
          <w:b w:val="0"/>
          <w:color w:val="000000"/>
          <w:sz w:val="19"/>
        </w:rPr>
        <w:t>2. 보유 중인 종목과 초기 보유수량 및 취득정보를 입력한다.</w:t>
      </w:r>
    </w:p>
    <w:p>
      <w:pPr>
        <w:pStyle w:val="BodyText"/>
        <w:spacing w:after="20"/>
        <w:ind w:left="403" w:hanging="317"/>
      </w:pPr>
      <w:r>
        <w:rPr>
          <w:rFonts w:ascii="NanumGothic" w:hAnsi="NanumGothic" w:eastAsia="NanumGothic" w:cs="NanumGothic"/>
          <w:b w:val="0"/>
          <w:color w:val="000000"/>
          <w:sz w:val="19"/>
        </w:rPr>
        <w:t>3. 등록된 종목의 최신 시세를 수집하고 초기 평가 상태를 확인한다.</w:t>
      </w:r>
    </w:p>
    <w:p>
      <w:pPr>
        <w:pStyle w:val="Heading2"/>
        <w:keepNext/>
      </w:pPr>
      <w:r>
        <w:t>4 2 일상적인 사용</w:t>
      </w:r>
    </w:p>
    <w:p>
      <w:pPr>
        <w:pStyle w:val="BodyText"/>
        <w:spacing w:after="20"/>
        <w:ind w:left="403" w:hanging="317"/>
      </w:pPr>
      <w:r>
        <w:rPr>
          <w:rFonts w:ascii="NanumGothic" w:hAnsi="NanumGothic" w:eastAsia="NanumGothic" w:cs="NanumGothic"/>
          <w:b w:val="0"/>
          <w:color w:val="000000"/>
          <w:sz w:val="19"/>
        </w:rPr>
        <w:t>1. 대시보드에서 총 평가자산과 당일 변화를 확인한다.</w:t>
      </w:r>
    </w:p>
    <w:p>
      <w:pPr>
        <w:pStyle w:val="BodyText"/>
        <w:spacing w:after="20"/>
        <w:ind w:left="403" w:hanging="317"/>
      </w:pPr>
      <w:r>
        <w:rPr>
          <w:rFonts w:ascii="NanumGothic" w:hAnsi="NanumGothic" w:eastAsia="NanumGothic" w:cs="NanumGothic"/>
          <w:b w:val="0"/>
          <w:color w:val="000000"/>
          <w:sz w:val="19"/>
        </w:rPr>
        <w:t>2. 매수 매도 입금 출금이 발생하면 해당 거래를 입력한다.</w:t>
      </w:r>
    </w:p>
    <w:p>
      <w:pPr>
        <w:pStyle w:val="BodyText"/>
        <w:spacing w:after="20"/>
        <w:ind w:left="403" w:hanging="317"/>
      </w:pPr>
      <w:r>
        <w:rPr>
          <w:rFonts w:ascii="NanumGothic" w:hAnsi="NanumGothic" w:eastAsia="NanumGothic" w:cs="NanumGothic"/>
          <w:b w:val="0"/>
          <w:color w:val="000000"/>
          <w:sz w:val="19"/>
        </w:rPr>
        <w:t>3. 보유종목 화면에서 현재가 평가액 평균단가 손익을 확인한다.</w:t>
      </w:r>
    </w:p>
    <w:p>
      <w:pPr>
        <w:pStyle w:val="BodyText"/>
        <w:spacing w:after="20"/>
        <w:ind w:left="403" w:hanging="317"/>
      </w:pPr>
      <w:r>
        <w:rPr>
          <w:rFonts w:ascii="NanumGothic" w:hAnsi="NanumGothic" w:eastAsia="NanumGothic" w:cs="NanumGothic"/>
          <w:b w:val="0"/>
          <w:color w:val="000000"/>
          <w:sz w:val="19"/>
        </w:rPr>
        <w:t>4. 성과 화면에서 기간별 자산 추이와 수익률을 확인한다.</w:t>
      </w:r>
    </w:p>
    <w:p>
      <w:pPr>
        <w:pStyle w:val="BodyText"/>
        <w:spacing w:after="20"/>
        <w:ind w:left="403" w:hanging="317"/>
      </w:pPr>
      <w:r>
        <w:rPr>
          <w:rFonts w:ascii="NanumGothic" w:hAnsi="NanumGothic" w:eastAsia="NanumGothic" w:cs="NanumGothic"/>
          <w:b w:val="0"/>
          <w:color w:val="000000"/>
          <w:sz w:val="19"/>
        </w:rPr>
        <w:t>5. 필요하면 거래일지에서 과거 기록을 검색하고 수정한다.</w:t>
      </w:r>
    </w:p>
    <w:p>
      <w:pPr>
        <w:pStyle w:val="Heading1"/>
        <w:keepNext/>
      </w:pPr>
      <w:r>
        <w:t>5 핵심 기능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 w:val="true"/>
        </w:trPr>
        <w:tc>
          <w:tcPr>
            <w:tcW w:type="dxa" w:w="180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/>
                <w:color w:val="FFFFFF"/>
                <w:sz w:val="18"/>
              </w:rPr>
              <w:t>기능 영역</w:t>
            </w:r>
          </w:p>
        </w:tc>
        <w:tc>
          <w:tcPr>
            <w:tcW w:type="dxa" w:w="5976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/>
                <w:color w:val="FFFFFF"/>
                <w:sz w:val="18"/>
              </w:rPr>
              <w:t>주요 기능</w:t>
            </w:r>
          </w:p>
        </w:tc>
        <w:tc>
          <w:tcPr>
            <w:tcW w:type="dxa" w:w="194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/>
                <w:color w:val="FFFFFF"/>
                <w:sz w:val="18"/>
              </w:rPr>
              <w:t>우선순위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대시보드</w:t>
            </w:r>
          </w:p>
        </w:tc>
        <w:tc>
          <w:tcPr>
            <w:tcW w:type="dxa" w:w="59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총자산 주식 평가액 예수금 실현손익 미실현손익 표시</w:t>
            </w:r>
          </w:p>
        </w:tc>
        <w:tc>
          <w:tcPr>
            <w:tcW w:type="dxa" w:w="19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1차 필수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거래 관리</w:t>
            </w:r>
          </w:p>
        </w:tc>
        <w:tc>
          <w:tcPr>
            <w:tcW w:type="dxa" w:w="59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매수 매도 분할매매 수수료 세금 거래 수정과 취소</w:t>
            </w:r>
          </w:p>
        </w:tc>
        <w:tc>
          <w:tcPr>
            <w:tcW w:type="dxa" w:w="19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1차 필수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현금 관리</w:t>
            </w:r>
          </w:p>
        </w:tc>
        <w:tc>
          <w:tcPr>
            <w:tcW w:type="dxa" w:w="59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입금 출금과 예수금 흐름 관리</w:t>
            </w:r>
          </w:p>
        </w:tc>
        <w:tc>
          <w:tcPr>
            <w:tcW w:type="dxa" w:w="19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1차 필수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보유종목</w:t>
            </w:r>
          </w:p>
        </w:tc>
        <w:tc>
          <w:tcPr>
            <w:tcW w:type="dxa" w:w="59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수량 평균단가 현재가 평가액 수익률 조회</w:t>
            </w:r>
          </w:p>
        </w:tc>
        <w:tc>
          <w:tcPr>
            <w:tcW w:type="dxa" w:w="19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1차 필수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시세 수집</w:t>
            </w:r>
          </w:p>
        </w:tc>
        <w:tc>
          <w:tcPr>
            <w:tcW w:type="dxa" w:w="59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보유종목 현재가 자동 수집 수집시각 실패 상태 표시</w:t>
            </w:r>
          </w:p>
        </w:tc>
        <w:tc>
          <w:tcPr>
            <w:tcW w:type="dxa" w:w="19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1차 필수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자산 이력</w:t>
            </w:r>
          </w:p>
        </w:tc>
        <w:tc>
          <w:tcPr>
            <w:tcW w:type="dxa" w:w="59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일별 스냅샷과 기간별 자산 차트</w:t>
            </w:r>
          </w:p>
        </w:tc>
        <w:tc>
          <w:tcPr>
            <w:tcW w:type="dxa" w:w="19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1차 필수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성과 분석</w:t>
            </w:r>
          </w:p>
        </w:tc>
        <w:tc>
          <w:tcPr>
            <w:tcW w:type="dxa" w:w="59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누적손익 단순수익률 TWR MWR 비교</w:t>
            </w:r>
          </w:p>
        </w:tc>
        <w:tc>
          <w:tcPr>
            <w:tcW w:type="dxa" w:w="19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1차 검증 후 확정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매매일지</w:t>
            </w:r>
          </w:p>
        </w:tc>
        <w:tc>
          <w:tcPr>
            <w:tcW w:type="dxa" w:w="59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거래별 메모 투자 판단 복기용 태그</w:t>
            </w:r>
          </w:p>
        </w:tc>
        <w:tc>
          <w:tcPr>
            <w:tcW w:type="dxa" w:w="19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2차 권장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확장 기능</w:t>
            </w:r>
          </w:p>
        </w:tc>
        <w:tc>
          <w:tcPr>
            <w:tcW w:type="dxa" w:w="59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배당 기업행사 해외주식 다중 통화</w:t>
            </w:r>
          </w:p>
        </w:tc>
        <w:tc>
          <w:tcPr>
            <w:tcW w:type="dxa" w:w="19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후속 검토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6 화면 구성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 w:val="true"/>
        </w:trPr>
        <w:tc>
          <w:tcPr>
            <w:tcW w:type="dxa" w:w="208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/>
                <w:color w:val="FFFFFF"/>
                <w:sz w:val="18"/>
              </w:rPr>
              <w:t>화면</w:t>
            </w:r>
          </w:p>
        </w:tc>
        <w:tc>
          <w:tcPr>
            <w:tcW w:type="dxa" w:w="763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/>
                <w:color w:val="FFFFFF"/>
                <w:sz w:val="18"/>
              </w:rPr>
              <w:t>핵심 정보와 동작</w:t>
            </w:r>
          </w:p>
        </w:tc>
      </w:tr>
      <w:tr>
        <w:trPr>
          <w:cantSplit w:val="true"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대시보드</w:t>
            </w:r>
          </w:p>
        </w:tc>
        <w:tc>
          <w:tcPr>
            <w:tcW w:type="dxa" w:w="76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총 평가자산 주식 평가액 예수금 손익 주요 보유종목 자산 추이</w:t>
            </w:r>
          </w:p>
        </w:tc>
      </w:tr>
      <w:tr>
        <w:trPr>
          <w:cantSplit w:val="true"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거래 입력</w:t>
            </w:r>
          </w:p>
        </w:tc>
        <w:tc>
          <w:tcPr>
            <w:tcW w:type="dxa" w:w="76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매수 매도 종목 거래일 수량 가격 수수료 세금 메모</w:t>
            </w:r>
          </w:p>
        </w:tc>
      </w:tr>
      <w:tr>
        <w:trPr>
          <w:cantSplit w:val="true"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입출금 입력</w:t>
            </w:r>
          </w:p>
        </w:tc>
        <w:tc>
          <w:tcPr>
            <w:tcW w:type="dxa" w:w="76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입금 출금 날짜 금액 메모 입력</w:t>
            </w:r>
          </w:p>
        </w:tc>
      </w:tr>
      <w:tr>
        <w:trPr>
          <w:cantSplit w:val="true"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보유종목</w:t>
            </w:r>
          </w:p>
        </w:tc>
        <w:tc>
          <w:tcPr>
            <w:tcW w:type="dxa" w:w="76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종목별 수량 평균단가 현재가 평가액 미실현손익 수익률</w:t>
            </w:r>
          </w:p>
        </w:tc>
      </w:tr>
      <w:tr>
        <w:trPr>
          <w:cantSplit w:val="true"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거래내역</w:t>
            </w:r>
          </w:p>
        </w:tc>
        <w:tc>
          <w:tcPr>
            <w:tcW w:type="dxa" w:w="76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기간 종목 거래유형별 검색 수정 취소 상세 확인</w:t>
            </w:r>
          </w:p>
        </w:tc>
      </w:tr>
      <w:tr>
        <w:trPr>
          <w:cantSplit w:val="true"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성과 분석</w:t>
            </w:r>
          </w:p>
        </w:tc>
        <w:tc>
          <w:tcPr>
            <w:tcW w:type="dxa" w:w="76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기간별 총자산 순입금 손익 수익률과 일별 차트</w:t>
            </w:r>
          </w:p>
        </w:tc>
      </w:tr>
      <w:tr>
        <w:trPr>
          <w:cantSplit w:val="true"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설정</w:t>
            </w:r>
          </w:p>
        </w:tc>
        <w:tc>
          <w:tcPr>
            <w:tcW w:type="dxa" w:w="76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계좌 기본정보 수집 설정 스냅샷 상태 데이터 재계산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6 1 대시보드 표시 원칙</w:t>
      </w:r>
    </w:p>
    <w:p>
      <w:pPr>
        <w:pStyle w:val="BodyText"/>
        <w:spacing w:after="120"/>
      </w:pPr>
      <w:r>
        <w:rPr>
          <w:rFonts w:ascii="NanumGothic" w:hAnsi="NanumGothic" w:eastAsia="NanumGothic" w:cs="NanumGothic"/>
          <w:b w:val="0"/>
          <w:color w:val="000000"/>
          <w:sz w:val="21"/>
        </w:rPr>
        <w:t>대시보드의 기본 자산 값은 보유주식 실시간 평가액과 예수금을 더한 총 평가자산이다. 사용자가 이 값을 선택하면 예수금을 제외한 주식 평가액을 확인할 수 있게 한다. 현재가가 오래됐거나 수집에 실패한 경우에는 금액만 표시하지 않고 기준 시각과 상태도 함께 보여준다.</w:t>
      </w:r>
    </w:p>
    <w:p>
      <w:pPr>
        <w:pStyle w:val="Heading1"/>
        <w:keepNext/>
      </w:pPr>
      <w:r>
        <w:t>7 데이터와 계산 원칙</w:t>
      </w:r>
    </w:p>
    <w:p>
      <w:pPr>
        <w:pStyle w:val="ListBullet"/>
        <w:spacing w:after="60"/>
        <w:ind w:left="331" w:hanging="230"/>
      </w:pPr>
      <w:r>
        <w:rPr>
          <w:rFonts w:ascii="NanumGothic" w:hAnsi="NanumGothic" w:eastAsia="NanumGothic" w:cs="NanumGothic"/>
          <w:b w:val="0"/>
          <w:color w:val="000000"/>
          <w:sz w:val="21"/>
        </w:rPr>
        <w:t>거래와 입출금 기록을 기준 원장으로 보존한다.</w:t>
      </w:r>
    </w:p>
    <w:p>
      <w:pPr>
        <w:pStyle w:val="ListBullet"/>
        <w:spacing w:after="60"/>
        <w:ind w:left="331" w:hanging="230"/>
      </w:pPr>
      <w:r>
        <w:rPr>
          <w:rFonts w:ascii="NanumGothic" w:hAnsi="NanumGothic" w:eastAsia="NanumGothic" w:cs="NanumGothic"/>
          <w:b w:val="0"/>
          <w:color w:val="000000"/>
          <w:sz w:val="21"/>
        </w:rPr>
        <w:t>총 평가자산은 보유주식 평가액과 예수금의 합으로 계산한다.</w:t>
      </w:r>
    </w:p>
    <w:p>
      <w:pPr>
        <w:pStyle w:val="ListBullet"/>
        <w:spacing w:after="60"/>
        <w:ind w:left="331" w:hanging="230"/>
      </w:pPr>
      <w:r>
        <w:rPr>
          <w:rFonts w:ascii="NanumGothic" w:hAnsi="NanumGothic" w:eastAsia="NanumGothic" w:cs="NanumGothic"/>
          <w:b w:val="0"/>
          <w:color w:val="000000"/>
          <w:sz w:val="21"/>
        </w:rPr>
        <w:t>실현손익과 미실현손익을 분리한다.</w:t>
      </w:r>
    </w:p>
    <w:p>
      <w:pPr>
        <w:pStyle w:val="ListBullet"/>
        <w:spacing w:after="60"/>
        <w:ind w:left="331" w:hanging="230"/>
      </w:pPr>
      <w:r>
        <w:rPr>
          <w:rFonts w:ascii="NanumGothic" w:hAnsi="NanumGothic" w:eastAsia="NanumGothic" w:cs="NanumGothic"/>
          <w:b w:val="0"/>
          <w:color w:val="000000"/>
          <w:sz w:val="21"/>
        </w:rPr>
        <w:t>입출금은 투자손익과 구분되는 외부 현금흐름으로 처리한다.</w:t>
      </w:r>
    </w:p>
    <w:p>
      <w:pPr>
        <w:pStyle w:val="ListBullet"/>
        <w:spacing w:after="60"/>
        <w:ind w:left="331" w:hanging="230"/>
      </w:pPr>
      <w:r>
        <w:rPr>
          <w:rFonts w:ascii="NanumGothic" w:hAnsi="NanumGothic" w:eastAsia="NanumGothic" w:cs="NanumGothic"/>
          <w:b w:val="0"/>
          <w:color w:val="000000"/>
          <w:sz w:val="21"/>
        </w:rPr>
        <w:t>장중 최신값과 거래일 종료 후 일별 스냅샷을 구분한다.</w:t>
      </w:r>
    </w:p>
    <w:p>
      <w:pPr>
        <w:pStyle w:val="ListBullet"/>
        <w:spacing w:after="60"/>
        <w:ind w:left="331" w:hanging="230"/>
      </w:pPr>
      <w:r>
        <w:rPr>
          <w:rFonts w:ascii="NanumGothic" w:hAnsi="NanumGothic" w:eastAsia="NanumGothic" w:cs="NanumGothic"/>
          <w:b w:val="0"/>
          <w:color w:val="000000"/>
          <w:sz w:val="21"/>
        </w:rPr>
        <w:t>파생 데이터는 원장으로부터 재계산할 수 있어야 한다.</w:t>
      </w:r>
    </w:p>
    <w:p>
      <w:pPr>
        <w:pStyle w:val="Heading1"/>
        <w:keepNext/>
      </w:pPr>
      <w:r>
        <w:t>8 실시간 수집과 일별 마감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 w:val="true"/>
        </w:trPr>
        <w:tc>
          <w:tcPr>
            <w:tcW w:type="dxa" w:w="187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/>
                <w:color w:val="FFFFFF"/>
                <w:sz w:val="18"/>
              </w:rPr>
              <w:t>구간</w:t>
            </w:r>
          </w:p>
        </w:tc>
        <w:tc>
          <w:tcPr>
            <w:tcW w:type="dxa" w:w="4536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/>
                <w:color w:val="FFFFFF"/>
                <w:sz w:val="18"/>
              </w:rPr>
              <w:t>처리 내용</w:t>
            </w:r>
          </w:p>
        </w:tc>
        <w:tc>
          <w:tcPr>
            <w:tcW w:type="dxa" w:w="331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/>
                <w:color w:val="FFFFFF"/>
                <w:sz w:val="18"/>
              </w:rPr>
              <w:t>사용자에게 보이는 결과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장 시작 전</w:t>
            </w:r>
          </w:p>
        </w:tc>
        <w:tc>
          <w:tcPr>
            <w:tcW w:type="dxa" w:w="453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보유종목과 수집 대상 확인</w:t>
            </w:r>
          </w:p>
        </w:tc>
        <w:tc>
          <w:tcPr>
            <w:tcW w:type="dxa" w:w="33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이전 종가와 마지막 수집 시각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장중</w:t>
            </w:r>
          </w:p>
        </w:tc>
        <w:tc>
          <w:tcPr>
            <w:tcW w:type="dxa" w:w="453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현재가를 주기적으로 수집하고 평가액 갱신</w:t>
            </w:r>
          </w:p>
        </w:tc>
        <w:tc>
          <w:tcPr>
            <w:tcW w:type="dxa" w:w="33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실시간 주식 평가액과 미실현손익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장 마감 후</w:t>
            </w:r>
          </w:p>
        </w:tc>
        <w:tc>
          <w:tcPr>
            <w:tcW w:type="dxa" w:w="453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종가와 당일 거래 반영 상태 확인</w:t>
            </w:r>
          </w:p>
        </w:tc>
        <w:tc>
          <w:tcPr>
            <w:tcW w:type="dxa" w:w="33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당일 최종 평가 상태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오후 10시부터 자정</w:t>
            </w:r>
          </w:p>
        </w:tc>
        <w:tc>
          <w:tcPr>
            <w:tcW w:type="dxa" w:w="453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계좌별 일별 스냅샷 생성</w:t>
            </w:r>
          </w:p>
        </w:tc>
        <w:tc>
          <w:tcPr>
            <w:tcW w:type="dxa" w:w="33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일별 자산 및 수익률 차트의 새 기준점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수집 실패</w:t>
            </w:r>
          </w:p>
        </w:tc>
        <w:tc>
          <w:tcPr>
            <w:tcW w:type="dxa" w:w="453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재시도하고 오래된 가격 상태 기록</w:t>
            </w:r>
          </w:p>
        </w:tc>
        <w:tc>
          <w:tcPr>
            <w:tcW w:type="dxa" w:w="33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마지막 가격 사용 여부와 경고 표시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9 1차 개발 범위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 w:val="true"/>
        </w:trPr>
        <w:tc>
          <w:tcPr>
            <w:tcW w:type="dxa" w:w="4867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/>
                <w:color w:val="FFFFFF"/>
                <w:sz w:val="18"/>
              </w:rPr>
              <w:t>포함</w:t>
            </w:r>
          </w:p>
        </w:tc>
        <w:tc>
          <w:tcPr>
            <w:tcW w:type="dxa" w:w="4853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/>
                <w:color w:val="FFFFFF"/>
                <w:sz w:val="18"/>
              </w:rPr>
              <w:t>제외 또는 후속</w:t>
            </w:r>
          </w:p>
        </w:tc>
      </w:tr>
      <w:tr>
        <w:trPr>
          <w:cantSplit w:val="true"/>
        </w:trPr>
        <w:tc>
          <w:tcPr>
            <w:tcW w:type="dxa" w:w="486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계좌 종목 매수 매도 입금 출금 관리</w:t>
            </w:r>
          </w:p>
        </w:tc>
        <w:tc>
          <w:tcPr>
            <w:tcW w:type="dxa" w:w="485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증권사 주문 자동 실행</w:t>
            </w:r>
          </w:p>
        </w:tc>
      </w:tr>
      <w:tr>
        <w:trPr>
          <w:cantSplit w:val="true"/>
        </w:trPr>
        <w:tc>
          <w:tcPr>
            <w:tcW w:type="dxa" w:w="486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예수금 보유현황 실현손익 미실현손익 계산</w:t>
            </w:r>
          </w:p>
        </w:tc>
        <w:tc>
          <w:tcPr>
            <w:tcW w:type="dxa" w:w="485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세무 신고와 공식 증빙 생성</w:t>
            </w:r>
          </w:p>
        </w:tc>
      </w:tr>
      <w:tr>
        <w:trPr>
          <w:cantSplit w:val="true"/>
        </w:trPr>
        <w:tc>
          <w:tcPr>
            <w:tcW w:type="dxa" w:w="486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보유종목 중심 실시간 현재가 수집</w:t>
            </w:r>
          </w:p>
        </w:tc>
        <w:tc>
          <w:tcPr>
            <w:tcW w:type="dxa" w:w="485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모든 시장 종목의 틱 데이터 영구 저장</w:t>
            </w:r>
          </w:p>
        </w:tc>
      </w:tr>
      <w:tr>
        <w:trPr>
          <w:cantSplit w:val="true"/>
        </w:trPr>
        <w:tc>
          <w:tcPr>
            <w:tcW w:type="dxa" w:w="486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총자산 주식 평가액 예수금 대시보드</w:t>
            </w:r>
          </w:p>
        </w:tc>
        <w:tc>
          <w:tcPr>
            <w:tcW w:type="dxa" w:w="485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소셜 공유와 공개 포트폴리오</w:t>
            </w:r>
          </w:p>
        </w:tc>
      </w:tr>
      <w:tr>
        <w:trPr>
          <w:cantSplit w:val="true"/>
        </w:trPr>
        <w:tc>
          <w:tcPr>
            <w:tcW w:type="dxa" w:w="486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일별 스냅샷과 자산 추이</w:t>
            </w:r>
          </w:p>
        </w:tc>
        <w:tc>
          <w:tcPr>
            <w:tcW w:type="dxa" w:w="485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배당 기업행사 해외주식 다중 통화</w:t>
            </w:r>
          </w:p>
        </w:tc>
      </w:tr>
      <w:tr>
        <w:trPr>
          <w:cantSplit w:val="true"/>
        </w:trPr>
        <w:tc>
          <w:tcPr>
            <w:tcW w:type="dxa" w:w="486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기본 로그인 또는 개인 사용자 보호</w:t>
            </w:r>
          </w:p>
        </w:tc>
        <w:tc>
          <w:tcPr>
            <w:tcW w:type="dxa" w:w="485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다중 조직과 복잡한 권한 관리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10 개발 단계와 산출물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 w:val="true"/>
        </w:trPr>
        <w:tc>
          <w:tcPr>
            <w:tcW w:type="dxa" w:w="936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554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/>
                <w:color w:val="FFFFFF"/>
                <w:sz w:val="18"/>
              </w:rPr>
              <w:t>주요 작업</w:t>
            </w:r>
          </w:p>
        </w:tc>
        <w:tc>
          <w:tcPr>
            <w:tcW w:type="dxa" w:w="324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/>
                <w:color w:val="FFFFFF"/>
                <w:sz w:val="18"/>
              </w:rPr>
              <w:t>산출물</w:t>
            </w:r>
          </w:p>
        </w:tc>
      </w:tr>
      <w:tr>
        <w:trPr>
          <w:cantSplit w:val="true"/>
        </w:trPr>
        <w:tc>
          <w:tcPr>
            <w:tcW w:type="dxa" w:w="93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55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업무 기준과 범위 정리</w:t>
            </w:r>
          </w:p>
        </w:tc>
        <w:tc>
          <w:tcPr>
            <w:tcW w:type="dxa" w:w="32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기획서와 기본설계서 v0.1</w:t>
            </w:r>
          </w:p>
        </w:tc>
      </w:tr>
      <w:tr>
        <w:trPr>
          <w:cantSplit w:val="true"/>
        </w:trPr>
        <w:tc>
          <w:tcPr>
            <w:tcW w:type="dxa" w:w="93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55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실제 컬럼 타입 관계 제약조건 인덱스 설계</w:t>
            </w:r>
          </w:p>
        </w:tc>
        <w:tc>
          <w:tcPr>
            <w:tcW w:type="dxa" w:w="32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DB 스키마 v0.2</w:t>
            </w:r>
          </w:p>
        </w:tc>
      </w:tr>
      <w:tr>
        <w:trPr>
          <w:cantSplit w:val="true"/>
        </w:trPr>
        <w:tc>
          <w:tcPr>
            <w:tcW w:type="dxa" w:w="93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55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입금 매수 추가매수 분할매도 전량매도 출금 검증</w:t>
            </w:r>
          </w:p>
        </w:tc>
        <w:tc>
          <w:tcPr>
            <w:tcW w:type="dxa" w:w="32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계산 시뮬레이션 문서</w:t>
            </w:r>
          </w:p>
        </w:tc>
      </w:tr>
      <w:tr>
        <w:trPr>
          <w:cantSplit w:val="true"/>
        </w:trPr>
        <w:tc>
          <w:tcPr>
            <w:tcW w:type="dxa" w:w="93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55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거래 보유현황 자산 시세 스냅샷 API 정의</w:t>
            </w:r>
          </w:p>
        </w:tc>
        <w:tc>
          <w:tcPr>
            <w:tcW w:type="dxa" w:w="32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백엔드 API 명세</w:t>
            </w:r>
          </w:p>
        </w:tc>
      </w:tr>
      <w:tr>
        <w:trPr>
          <w:cantSplit w:val="true"/>
        </w:trPr>
        <w:tc>
          <w:tcPr>
            <w:tcW w:type="dxa" w:w="93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55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대시보드 거래입력 보유종목 성과 화면 구현</w:t>
            </w:r>
          </w:p>
        </w:tc>
        <w:tc>
          <w:tcPr>
            <w:tcW w:type="dxa" w:w="32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React 화면과 사용자 흐름</w:t>
            </w:r>
          </w:p>
        </w:tc>
      </w:tr>
      <w:tr>
        <w:trPr>
          <w:cantSplit w:val="true"/>
        </w:trPr>
        <w:tc>
          <w:tcPr>
            <w:tcW w:type="dxa" w:w="93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55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실시간 수집과 일별 작업 운영 검증</w:t>
            </w:r>
          </w:p>
        </w:tc>
        <w:tc>
          <w:tcPr>
            <w:tcW w:type="dxa" w:w="32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수집 및 스케줄 운영 문서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11 미확정 기획 사항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 w:val="true"/>
        </w:trPr>
        <w:tc>
          <w:tcPr>
            <w:tcW w:type="dxa" w:w="180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5256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/>
                <w:color w:val="FFFFFF"/>
                <w:sz w:val="18"/>
              </w:rPr>
              <w:t>결정할 내용</w:t>
            </w:r>
          </w:p>
        </w:tc>
        <w:tc>
          <w:tcPr>
            <w:tcW w:type="dxa" w:w="266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/>
                <w:color w:val="FFFFFF"/>
                <w:sz w:val="18"/>
              </w:rPr>
              <w:t>결정 시점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기본 수익률</w:t>
            </w:r>
          </w:p>
        </w:tc>
        <w:tc>
          <w:tcPr>
            <w:tcW w:type="dxa" w:w="525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단순 수익률 TWR MWR 중 기본 표시 지표</w:t>
            </w:r>
          </w:p>
        </w:tc>
        <w:tc>
          <w:tcPr>
            <w:tcW w:type="dxa" w:w="26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계산 시뮬레이션 후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원가 배분</w:t>
            </w:r>
          </w:p>
        </w:tc>
        <w:tc>
          <w:tcPr>
            <w:tcW w:type="dxa" w:w="525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이동평균 선입선출 등 매도분 취득원가 처리</w:t>
            </w:r>
          </w:p>
        </w:tc>
        <w:tc>
          <w:tcPr>
            <w:tcW w:type="dxa" w:w="26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DB 스키마 검증 시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스냅샷 실행</w:t>
            </w:r>
          </w:p>
        </w:tc>
        <w:tc>
          <w:tcPr>
            <w:tcW w:type="dxa" w:w="525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오후 10시부터 자정 사이의 정확한 시각과 휴장일 처리</w:t>
            </w:r>
          </w:p>
        </w:tc>
        <w:tc>
          <w:tcPr>
            <w:tcW w:type="dxa" w:w="26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스케줄 상세 설계 시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시세 제공처</w:t>
            </w:r>
          </w:p>
        </w:tc>
        <w:tc>
          <w:tcPr>
            <w:tcW w:type="dxa" w:w="525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수집 방식 호출 제한 장애 대응</w:t>
            </w:r>
          </w:p>
        </w:tc>
        <w:tc>
          <w:tcPr>
            <w:tcW w:type="dxa" w:w="26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  <w:shd w:fill="F3F7FB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실시간 수집 상세 설계 시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초기 데이터</w:t>
            </w:r>
          </w:p>
        </w:tc>
        <w:tc>
          <w:tcPr>
            <w:tcW w:type="dxa" w:w="525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기존 보유종목과 과거 거래의 입력 또는 가져오기 방식</w:t>
            </w:r>
          </w:p>
        </w:tc>
        <w:tc>
          <w:tcPr>
            <w:tcW w:type="dxa" w:w="26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5" w:type="dxa"/>
              <w:start w:w="125" w:type="dxa"/>
              <w:bottom w:w="105" w:type="dxa"/>
              <w:end w:w="12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anumGothic" w:hAnsi="NanumGothic" w:eastAsia="NanumGothic" w:cs="NanumGothic"/>
                <w:b w:val="0"/>
                <w:color w:val="000000"/>
                <w:sz w:val="18"/>
              </w:rPr>
              <w:t>화면 설계 시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12 다음 작업</w:t>
      </w:r>
    </w:p>
    <w:p>
      <w:pPr>
        <w:pStyle w:val="BodyText"/>
        <w:spacing w:after="120"/>
      </w:pPr>
      <w:r>
        <w:rPr>
          <w:rFonts w:ascii="NanumGothic" w:hAnsi="NanumGothic" w:eastAsia="NanumGothic" w:cs="NanumGothic"/>
          <w:b w:val="0"/>
          <w:color w:val="000000"/>
          <w:sz w:val="21"/>
        </w:rPr>
        <w:t>기획서와 기본설계서 v0.1을 기준으로 DB 스키마 v0.2를 작성한다. 이 단계에서 계좌 종목 거래 현금흐름 보유현황 현재가 일별 스냅샷을 실제 테이블로 정의하고, 실제 매매 사례를 통해 모든 계산값을 검증한다.</w:t>
      </w:r>
    </w:p>
    <w:p>
      <w:pPr>
        <w:pStyle w:val="BodyText"/>
        <w:spacing w:after="20"/>
        <w:ind w:left="403" w:hanging="317"/>
      </w:pPr>
      <w:r>
        <w:rPr>
          <w:rFonts w:ascii="NanumGothic" w:hAnsi="NanumGothic" w:eastAsia="NanumGothic" w:cs="NanumGothic"/>
          <w:b w:val="0"/>
          <w:color w:val="000000"/>
          <w:sz w:val="19"/>
        </w:rPr>
        <w:t>1. 테이블별 책임과 관계를 확정한다.</w:t>
      </w:r>
    </w:p>
    <w:p>
      <w:pPr>
        <w:pStyle w:val="BodyText"/>
        <w:spacing w:after="20"/>
        <w:ind w:left="403" w:hanging="317"/>
      </w:pPr>
      <w:r>
        <w:rPr>
          <w:rFonts w:ascii="NanumGothic" w:hAnsi="NanumGothic" w:eastAsia="NanumGothic" w:cs="NanumGothic"/>
          <w:b w:val="0"/>
          <w:color w:val="000000"/>
          <w:sz w:val="19"/>
        </w:rPr>
        <w:t>2. 컬럼 타입 NULL 허용 여부 기본값과 소수점 자릿수를 정한다.</w:t>
      </w:r>
    </w:p>
    <w:p>
      <w:pPr>
        <w:pStyle w:val="BodyText"/>
        <w:spacing w:after="20"/>
        <w:ind w:left="403" w:hanging="317"/>
      </w:pPr>
      <w:r>
        <w:rPr>
          <w:rFonts w:ascii="NanumGothic" w:hAnsi="NanumGothic" w:eastAsia="NanumGothic" w:cs="NanumGothic"/>
          <w:b w:val="0"/>
          <w:color w:val="000000"/>
          <w:sz w:val="19"/>
        </w:rPr>
        <w:t>3. PK FK UNIQUE INDEX를 정의한다.</w:t>
      </w:r>
    </w:p>
    <w:p>
      <w:pPr>
        <w:pStyle w:val="BodyText"/>
        <w:spacing w:after="20"/>
        <w:ind w:left="403" w:hanging="317"/>
      </w:pPr>
      <w:r>
        <w:rPr>
          <w:rFonts w:ascii="NanumGothic" w:hAnsi="NanumGothic" w:eastAsia="NanumGothic" w:cs="NanumGothic"/>
          <w:b w:val="0"/>
          <w:color w:val="000000"/>
          <w:sz w:val="19"/>
        </w:rPr>
        <w:t>4. 매수부터 분할매도와 출금까지 계산 시나리오를 실행한다.</w:t>
      </w:r>
    </w:p>
    <w:p>
      <w:pPr>
        <w:pStyle w:val="BodyText"/>
        <w:spacing w:after="20"/>
        <w:ind w:left="403" w:hanging="317"/>
      </w:pPr>
      <w:r>
        <w:rPr>
          <w:rFonts w:ascii="NanumGothic" w:hAnsi="NanumGothic" w:eastAsia="NanumGothic" w:cs="NanumGothic"/>
          <w:b w:val="0"/>
          <w:color w:val="000000"/>
          <w:sz w:val="19"/>
        </w:rPr>
        <w:t>5. 검증 결과를 반영해 스키마와 화면 지표를 확정한다.</w:t>
      </w:r>
    </w:p>
    <w:sectPr w:rsidR="00FC693F" w:rsidRPr="0006063C" w:rsidSect="00034616">
      <w:footerReference w:type="default" r:id="rId9"/>
      <w:pgSz w:w="12240" w:h="15840"/>
      <w:pgMar w:top="1037" w:right="1123" w:bottom="950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anumGothic">
    <w:altName w:val="나눔고딕"/>
    <w:charset w:val="81"/>
    <w:family w:val="swiss"/>
    <w:pitch w:val="variable"/>
    <w:sig w:usb0="A00002FF" w:usb1="28CFFFAA" w:usb2="00000008" w:usb3="00000000" w:csb0="00040001" w:csb1="00000000"/>
    <w:embedRegular r:id="rIdNanumGothicRegular" w:fontKey="{CAFC80CC-D9D8-47E8-AC8C-021E63D7C808}" w:subsetted="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anumGothic" w:hAnsi="NanumGothic" w:eastAsia="NanumGothic" w:cs="NanumGothic"/>
        <w:b w:val="0"/>
        <w:color w:val="666666"/>
        <w:sz w:val="16"/>
      </w:rPr>
      <w:t xml:space="preserve">서비스 기획서 v0.1  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NanumGothic" w:hAnsi="NanumGothic" w:eastAsia="NanumGothic" w:cs="NanumGothic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NanumGothic" w:hAnsi="NanumGothic" w:eastAsia="NanumGothic" w:cs="NanumGothic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NanumGothic" w:hAnsi="NanumGothic" w:eastAsia="NanumGothic" w:cs="NanumGothic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NanumGothic" w:hAnsi="NanumGothic" w:eastAsia="NanumGothic" w:cs="NanumGothic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NanumGothic" w:hAnsi="NanumGothic" w:eastAsia="NanumGothic" w:cs="NanumGothic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278" w:lineRule="auto"/>
    </w:pPr>
    <w:rPr>
      <w:rFonts w:ascii="NanumGothic" w:hAnsi="NanumGothic" w:eastAsia="NanumGothic" w:cs="NanumGothic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60"/>
      <w:outlineLvl w:val="0"/>
    </w:pPr>
    <w:rPr>
      <w:rFonts w:ascii="NanumGothic" w:hAnsi="NanumGothic" w:eastAsia="NanumGothic" w:cs="Nanum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="NanumGothic" w:hAnsi="NanumGothic" w:eastAsia="NanumGothic" w:cs="NanumGothic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NanumGothic" w:hAnsi="NanumGothic" w:eastAsia="NanumGothic" w:cs="Nanum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anumGothic" w:hAnsi="NanumGothic" w:eastAsia="NanumGothic" w:cs="Nanum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anumGothic" w:hAnsi="NanumGothic" w:eastAsia="NanumGothic" w:cs="NanumGothi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anumGothic" w:hAnsi="NanumGothic" w:eastAsia="NanumGothic" w:cs="NanumGothi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anumGothic" w:hAnsi="NanumGothic" w:eastAsia="NanumGothic" w:cs="NanumGothi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anumGothic" w:hAnsi="NanumGothic" w:eastAsia="NanumGothic" w:cs="Nanum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anumGothic" w:hAnsi="NanumGothic" w:eastAsia="NanumGothic" w:cs="Nanum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anumGothic" w:hAnsi="NanumGothic" w:eastAsia="NanumGothic" w:cs="NanumGothic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anumGothic" w:hAnsi="NanumGothic" w:eastAsia="NanumGothic" w:cs="NanumGothic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anumGothic" w:hAnsi="NanumGothic" w:eastAsia="NanumGothic" w:cs="NanumGothic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60" w:line="240" w:lineRule="auto" w:before="0"/>
      <w:contextualSpacing/>
    </w:pPr>
    <w:rPr>
      <w:rFonts w:ascii="NanumGothic" w:hAnsi="NanumGothic" w:eastAsia="NanumGothic" w:cs="NanumGothic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anumGothic" w:hAnsi="NanumGothic" w:eastAsia="NanumGothic" w:cs="NanumGothic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00"/>
    </w:pPr>
    <w:rPr>
      <w:rFonts w:ascii="NanumGothic" w:hAnsi="NanumGothic" w:eastAsia="NanumGothic" w:cs="NanumGothic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anumGothic" w:hAnsi="NanumGothic" w:eastAsia="NanumGothic" w:cs="NanumGothic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before="0" w:line="278" w:lineRule="auto"/>
    </w:pPr>
    <w:rPr>
      <w:rFonts w:ascii="NanumGothic" w:hAnsi="NanumGothic" w:eastAsia="NanumGothic" w:cs="NanumGothic"/>
      <w:b w:val="0"/>
      <w:color w:val="000000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anumGothic" w:hAnsi="NanumGothic" w:eastAsia="NanumGothic" w:cs="Nanum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anumGothic" w:hAnsi="NanumGothic" w:eastAsia="NanumGothic" w:cs="NanumGothi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anumGothic" w:hAnsi="NanumGothic" w:eastAsia="NanumGothic" w:cs="NanumGothic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anumGothic" w:hAnsi="NanumGothic" w:eastAsia="NanumGothic" w:cs="NanumGothic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anumGothic" w:hAnsi="NanumGothic" w:eastAsia="NanumGothic" w:cs="NanumGothic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anumGothic" w:hAnsi="NanumGothic" w:eastAsia="NanumGothic" w:cs="NanumGothic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anumGothic" w:hAnsi="NanumGothic" w:eastAsia="NanumGothic" w:cs="NanumGothi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anumGothic" w:hAnsi="NanumGothic" w:eastAsia="NanumGothic" w:cs="NanumGothi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anumGothic" w:hAnsi="NanumGothic" w:eastAsia="NanumGothic" w:cs="NanumGothi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anumGothic" w:hAnsi="NanumGothic" w:eastAsia="NanumGothic" w:cs="NanumGothic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anumGothic" w:hAnsi="NanumGothic" w:eastAsia="NanumGothic" w:cs="NanumGothic"/>
        <w:b/>
        <w:bCs/>
      </w:rPr>
    </w:tblStylePr>
    <w:tblStylePr w:type="lastCol">
      <w:rPr>
        <w:rFonts w:ascii="NanumGothic" w:hAnsi="NanumGothic" w:eastAsia="NanumGothic" w:cs="NanumGothi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anumGothic" w:hAnsi="NanumGothic" w:eastAsia="NanumGothic" w:cs="NanumGothi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anumGothic" w:hAnsi="NanumGothic" w:eastAsia="NanumGothic" w:cs="NanumGothic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anumGothic" w:hAnsi="NanumGothic" w:eastAsia="NanumGothic" w:cs="NanumGothic"/>
        <w:b/>
        <w:bCs/>
      </w:rPr>
    </w:tblStylePr>
    <w:tblStylePr w:type="lastCol">
      <w:rPr>
        <w:rFonts w:ascii="NanumGothic" w:hAnsi="NanumGothic" w:eastAsia="NanumGothic" w:cs="NanumGothi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anumGothic" w:hAnsi="NanumGothic" w:eastAsia="NanumGothic" w:cs="NanumGothi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anumGothic" w:hAnsi="NanumGothic" w:eastAsia="NanumGothic" w:cs="NanumGothic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anumGothic" w:hAnsi="NanumGothic" w:eastAsia="NanumGothic" w:cs="NanumGothic"/>
        <w:b/>
        <w:bCs/>
      </w:rPr>
    </w:tblStylePr>
    <w:tblStylePr w:type="lastCol">
      <w:rPr>
        <w:rFonts w:ascii="NanumGothic" w:hAnsi="NanumGothic" w:eastAsia="NanumGothic" w:cs="NanumGothi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anumGothic" w:hAnsi="NanumGothic" w:eastAsia="NanumGothic" w:cs="NanumGothi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anumGothic" w:hAnsi="NanumGothic" w:eastAsia="NanumGothic" w:cs="NanumGothic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anumGothic" w:hAnsi="NanumGothic" w:eastAsia="NanumGothic" w:cs="NanumGothic"/>
        <w:b/>
        <w:bCs/>
      </w:rPr>
    </w:tblStylePr>
    <w:tblStylePr w:type="lastCol">
      <w:rPr>
        <w:rFonts w:ascii="NanumGothic" w:hAnsi="NanumGothic" w:eastAsia="NanumGothic" w:cs="NanumGothi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anumGothic" w:hAnsi="NanumGothic" w:eastAsia="NanumGothic" w:cs="NanumGothi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anumGothic" w:hAnsi="NanumGothic" w:eastAsia="NanumGothic" w:cs="NanumGothic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anumGothic" w:hAnsi="NanumGothic" w:eastAsia="NanumGothic" w:cs="NanumGothic"/>
        <w:b/>
        <w:bCs/>
      </w:rPr>
    </w:tblStylePr>
    <w:tblStylePr w:type="lastCol">
      <w:rPr>
        <w:rFonts w:ascii="NanumGothic" w:hAnsi="NanumGothic" w:eastAsia="NanumGothic" w:cs="NanumGothi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anumGothic" w:hAnsi="NanumGothic" w:eastAsia="NanumGothic" w:cs="NanumGothi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anumGothic" w:hAnsi="NanumGothic" w:eastAsia="NanumGothic" w:cs="NanumGothic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anumGothic" w:hAnsi="NanumGothic" w:eastAsia="NanumGothic" w:cs="NanumGothic"/>
        <w:b/>
        <w:bCs/>
      </w:rPr>
    </w:tblStylePr>
    <w:tblStylePr w:type="lastCol">
      <w:rPr>
        <w:rFonts w:ascii="NanumGothic" w:hAnsi="NanumGothic" w:eastAsia="NanumGothic" w:cs="NanumGothi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anumGothic" w:hAnsi="NanumGothic" w:eastAsia="NanumGothic" w:cs="NanumGothi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anumGothic" w:hAnsi="NanumGothic" w:eastAsia="NanumGothic" w:cs="NanumGothic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anumGothic" w:hAnsi="NanumGothic" w:eastAsia="NanumGothic" w:cs="NanumGothic"/>
        <w:b/>
        <w:bCs/>
      </w:rPr>
    </w:tblStylePr>
    <w:tblStylePr w:type="lastCol">
      <w:rPr>
        <w:rFonts w:ascii="NanumGothic" w:hAnsi="NanumGothic" w:eastAsia="NanumGothic" w:cs="NanumGothi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anumGothic" w:hAnsi="NanumGothic" w:eastAsia="NanumGothic" w:cs="NanumGothic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anumGothic" w:hAnsi="NanumGothic" w:eastAsia="NanumGothic" w:cs="NanumGothic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anumGothic" w:hAnsi="NanumGothic" w:eastAsia="NanumGothic" w:cs="NanumGothic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anumGothic" w:hAnsi="NanumGothic" w:eastAsia="NanumGothic" w:cs="NanumGothic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anumGothic" w:hAnsi="NanumGothic" w:eastAsia="NanumGothic" w:cs="NanumGothic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anumGothic" w:hAnsi="NanumGothic" w:eastAsia="NanumGothic" w:cs="NanumGothic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anumGothic" w:hAnsi="NanumGothic" w:eastAsia="NanumGothic" w:cs="NanumGothic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anumGothic" w:hAnsi="NanumGothic" w:eastAsia="NanumGothic" w:cs="Nanum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anumGothic" w:hAnsi="NanumGothic" w:eastAsia="NanumGothic" w:cs="Nanum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anumGothic" w:hAnsi="NanumGothic" w:eastAsia="NanumGothic" w:cs="Nanum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anumGothic" w:hAnsi="NanumGothic" w:eastAsia="NanumGothic" w:cs="Nanum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anumGothic" w:hAnsi="NanumGothic" w:eastAsia="NanumGothic" w:cs="Nanum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anumGothic" w:hAnsi="NanumGothic" w:eastAsia="NanumGothic" w:cs="Nanum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anumGothic" w:hAnsi="NanumGothic" w:eastAsia="NanumGothic" w:cs="Nanum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anumGothic" w:hAnsi="NanumGothic" w:eastAsia="NanumGothic" w:cs="Nanum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anumGothic" w:hAnsi="NanumGothic" w:eastAsia="NanumGothic" w:cs="Nanum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anumGothic" w:hAnsi="NanumGothic" w:eastAsia="NanumGothic" w:cs="Nanum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anumGothic" w:hAnsi="NanumGothic" w:eastAsia="NanumGothic" w:cs="Nanum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anumGothic" w:hAnsi="NanumGothic" w:eastAsia="NanumGothic" w:cs="Nanum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anumGothic" w:hAnsi="NanumGothic" w:eastAsia="NanumGothic" w:cs="Nanum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anumGothic" w:hAnsi="NanumGothic" w:eastAsia="NanumGothic" w:cs="Nanum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NanumGothic" w:hAnsi="NanumGothic" w:eastAsia="NanumGothic" w:cs="NanumGothic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NanumGothic" w:hAnsi="NanumGothic" w:eastAsia="NanumGothic" w:cs="Nanum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NanumGothic" w:hAnsi="NanumGothic" w:eastAsia="NanumGothic" w:cs="Nanum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NanumGothic" w:hAnsi="NanumGothic" w:eastAsia="NanumGothic" w:cs="Nanum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anumGothic" w:hAnsi="NanumGothic" w:eastAsia="NanumGothic" w:cs="Nanum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anumGothic" w:hAnsi="NanumGothic" w:eastAsia="NanumGothic" w:cs="NanumGothi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anumGothic" w:hAnsi="NanumGothic" w:eastAsia="NanumGothic" w:cs="NanumGothi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anumGothic" w:hAnsi="NanumGothic" w:eastAsia="NanumGothic" w:cs="NanumGothi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anumGothic" w:hAnsi="NanumGothic" w:eastAsia="NanumGothic" w:cs="Nanum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anumGothic" w:hAnsi="NanumGothic" w:eastAsia="NanumGothic" w:cs="Nanum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anumGothic" w:hAnsi="NanumGothic" w:eastAsia="NanumGothic" w:cs="NanumGothic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anumGothic" w:hAnsi="NanumGothic" w:eastAsia="NanumGothic" w:cs="NanumGothic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anumGothic" w:hAnsi="NanumGothic" w:eastAsia="NanumGothic" w:cs="NanumGothic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NanumGothic" w:hAnsi="NanumGothic" w:eastAsia="NanumGothic" w:cs="Nanum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anumGothic" w:hAnsi="NanumGothic" w:eastAsia="NanumGothic" w:cs="NanumGothic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NanumGothic" w:hAnsi="NanumGothic" w:eastAsia="NanumGothic" w:cs="NanumGothi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anumGothic" w:hAnsi="NanumGothic" w:eastAsia="NanumGothic" w:cs="NanumGothic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anumGothic" w:hAnsi="NanumGothic" w:eastAsia="NanumGothic" w:cs="Nanum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anumGothic" w:hAnsi="NanumGothic" w:eastAsia="NanumGothic" w:cs="NanumGothi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anumGothic" w:hAnsi="NanumGothic" w:eastAsia="NanumGothic" w:cs="NanumGothic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anumGothic" w:hAnsi="NanumGothic" w:eastAsia="NanumGothic" w:cs="NanumGothic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anumGothic" w:hAnsi="NanumGothic" w:eastAsia="NanumGothic" w:cs="NanumGothic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anumGothic" w:hAnsi="NanumGothic" w:eastAsia="NanumGothic" w:cs="NanumGothic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anumGothic" w:hAnsi="NanumGothic" w:eastAsia="NanumGothic" w:cs="NanumGothi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anumGothic" w:hAnsi="NanumGothic" w:eastAsia="NanumGothic" w:cs="NanumGothi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anumGothic" w:hAnsi="NanumGothic" w:eastAsia="NanumGothic" w:cs="NanumGothi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anumGothic" w:hAnsi="NanumGothic" w:eastAsia="NanumGothic" w:cs="NanumGothic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anumGothic" w:hAnsi="NanumGothic" w:eastAsia="NanumGothic" w:cs="NanumGothic"/>
        <w:b/>
        <w:bCs/>
      </w:rPr>
    </w:tblStylePr>
    <w:tblStylePr w:type="lastCol">
      <w:rPr>
        <w:rFonts w:ascii="NanumGothic" w:hAnsi="NanumGothic" w:eastAsia="NanumGothic" w:cs="NanumGothi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anumGothic" w:hAnsi="NanumGothic" w:eastAsia="NanumGothic" w:cs="NanumGothi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anumGothic" w:hAnsi="NanumGothic" w:eastAsia="NanumGothic" w:cs="NanumGothic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anumGothic" w:hAnsi="NanumGothic" w:eastAsia="NanumGothic" w:cs="NanumGothic"/>
        <w:b/>
        <w:bCs/>
      </w:rPr>
    </w:tblStylePr>
    <w:tblStylePr w:type="lastCol">
      <w:rPr>
        <w:rFonts w:ascii="NanumGothic" w:hAnsi="NanumGothic" w:eastAsia="NanumGothic" w:cs="NanumGothi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anumGothic" w:hAnsi="NanumGothic" w:eastAsia="NanumGothic" w:cs="NanumGothi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anumGothic" w:hAnsi="NanumGothic" w:eastAsia="NanumGothic" w:cs="NanumGothic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anumGothic" w:hAnsi="NanumGothic" w:eastAsia="NanumGothic" w:cs="NanumGothic"/>
        <w:b/>
        <w:bCs/>
      </w:rPr>
    </w:tblStylePr>
    <w:tblStylePr w:type="lastCol">
      <w:rPr>
        <w:rFonts w:ascii="NanumGothic" w:hAnsi="NanumGothic" w:eastAsia="NanumGothic" w:cs="NanumGothi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anumGothic" w:hAnsi="NanumGothic" w:eastAsia="NanumGothic" w:cs="NanumGothi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anumGothic" w:hAnsi="NanumGothic" w:eastAsia="NanumGothic" w:cs="NanumGothic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anumGothic" w:hAnsi="NanumGothic" w:eastAsia="NanumGothic" w:cs="NanumGothic"/>
        <w:b/>
        <w:bCs/>
      </w:rPr>
    </w:tblStylePr>
    <w:tblStylePr w:type="lastCol">
      <w:rPr>
        <w:rFonts w:ascii="NanumGothic" w:hAnsi="NanumGothic" w:eastAsia="NanumGothic" w:cs="NanumGothi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anumGothic" w:hAnsi="NanumGothic" w:eastAsia="NanumGothic" w:cs="NanumGothi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anumGothic" w:hAnsi="NanumGothic" w:eastAsia="NanumGothic" w:cs="NanumGothic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anumGothic" w:hAnsi="NanumGothic" w:eastAsia="NanumGothic" w:cs="NanumGothic"/>
        <w:b/>
        <w:bCs/>
      </w:rPr>
    </w:tblStylePr>
    <w:tblStylePr w:type="lastCol">
      <w:rPr>
        <w:rFonts w:ascii="NanumGothic" w:hAnsi="NanumGothic" w:eastAsia="NanumGothic" w:cs="NanumGothi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anumGothic" w:hAnsi="NanumGothic" w:eastAsia="NanumGothic" w:cs="NanumGothi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anumGothic" w:hAnsi="NanumGothic" w:eastAsia="NanumGothic" w:cs="NanumGothic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anumGothic" w:hAnsi="NanumGothic" w:eastAsia="NanumGothic" w:cs="NanumGothic"/>
        <w:b/>
        <w:bCs/>
      </w:rPr>
    </w:tblStylePr>
    <w:tblStylePr w:type="lastCol">
      <w:rPr>
        <w:rFonts w:ascii="NanumGothic" w:hAnsi="NanumGothic" w:eastAsia="NanumGothic" w:cs="NanumGothi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anumGothic" w:hAnsi="NanumGothic" w:eastAsia="NanumGothic" w:cs="NanumGothi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anumGothic" w:hAnsi="NanumGothic" w:eastAsia="NanumGothic" w:cs="NanumGothic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anumGothic" w:hAnsi="NanumGothic" w:eastAsia="NanumGothic" w:cs="NanumGothic"/>
        <w:b/>
        <w:bCs/>
      </w:rPr>
    </w:tblStylePr>
    <w:tblStylePr w:type="lastCol">
      <w:rPr>
        <w:rFonts w:ascii="NanumGothic" w:hAnsi="NanumGothic" w:eastAsia="NanumGothic" w:cs="NanumGothi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anumGothic" w:hAnsi="NanumGothic" w:eastAsia="NanumGothic" w:cs="NanumGothic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anumGothic" w:hAnsi="NanumGothic" w:eastAsia="NanumGothic" w:cs="NanumGothic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anumGothic" w:hAnsi="NanumGothic" w:eastAsia="NanumGothic" w:cs="NanumGothic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anumGothic" w:hAnsi="NanumGothic" w:eastAsia="NanumGothic" w:cs="NanumGothic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anumGothic" w:hAnsi="NanumGothic" w:eastAsia="NanumGothic" w:cs="NanumGothic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anumGothic" w:hAnsi="NanumGothic" w:eastAsia="NanumGothic" w:cs="NanumGothic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anumGothic" w:hAnsi="NanumGothic" w:eastAsia="NanumGothic" w:cs="NanumGothic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anumGothic" w:hAnsi="NanumGothic" w:eastAsia="NanumGothic" w:cs="Nanum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anumGothic" w:hAnsi="NanumGothic" w:eastAsia="NanumGothic" w:cs="Nanum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anumGothic" w:hAnsi="NanumGothic" w:eastAsia="NanumGothic" w:cs="Nanum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anumGothic" w:hAnsi="NanumGothic" w:eastAsia="NanumGothic" w:cs="Nanum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anumGothic" w:hAnsi="NanumGothic" w:eastAsia="NanumGothic" w:cs="Nanum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anumGothic" w:hAnsi="NanumGothic" w:eastAsia="NanumGothic" w:cs="Nanum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anumGothic" w:hAnsi="NanumGothic" w:eastAsia="NanumGothic" w:cs="Nanum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anumGothic" w:hAnsi="NanumGothic" w:eastAsia="NanumGothic" w:cs="Nanum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anumGothic" w:hAnsi="NanumGothic" w:eastAsia="NanumGothic" w:cs="Nanum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anumGothic" w:hAnsi="NanumGothic" w:eastAsia="NanumGothic" w:cs="Nanum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anumGothic" w:hAnsi="NanumGothic" w:eastAsia="NanumGothic" w:cs="Nanum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anumGothic" w:hAnsi="NanumGothic" w:eastAsia="NanumGothic" w:cs="Nanum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anumGothic" w:hAnsi="NanumGothic" w:eastAsia="NanumGothic" w:cs="Nanum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anumGothic" w:hAnsi="NanumGothic" w:eastAsia="NanumGothic" w:cs="Nanum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ntTable.xml.rels><?xml version="1.0" encoding="UTF-8" standalone="yes"?><Relationships xmlns="http://schemas.openxmlformats.org/package/2006/relationships"><Relationship Id="rIdNanumGothicRegular" Type="http://schemas.openxmlformats.org/officeDocument/2006/relationships/font" Target="fonts/NanumGothic-Regular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주식 매매일지 웹 서비스 기획서</dc:title>
  <dc:subject>개인용 주식 매매일지 웹 서비스 기획</dc:subject>
  <dc:creator>ChatGPT Work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