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AAB61" w14:textId="24C86972" w:rsidR="00A33FB0" w:rsidRDefault="001216D3" w:rsidP="001216D3">
      <w:pPr>
        <w:pStyle w:val="Title"/>
      </w:pPr>
      <w:r>
        <w:t>TBX-Basic Implementation Guide</w:t>
      </w:r>
    </w:p>
    <w:p w14:paraId="7E0D97A7" w14:textId="4A728737" w:rsidR="001216D3" w:rsidRDefault="001216D3" w:rsidP="001216D3">
      <w:pPr>
        <w:pStyle w:val="Subtitle"/>
      </w:pPr>
      <w:r>
        <w:t xml:space="preserve">                                                               Validation – Import – Export</w:t>
      </w:r>
    </w:p>
    <w:p w14:paraId="26BA2811" w14:textId="77777777" w:rsidR="00BD6A4E" w:rsidRPr="00BD6A4E" w:rsidRDefault="00BD6A4E" w:rsidP="00BD6A4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294975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E1BC2B" w14:textId="792952B4" w:rsidR="00F63FEF" w:rsidRDefault="00F63FEF">
          <w:pPr>
            <w:pStyle w:val="TOCHeading"/>
          </w:pPr>
          <w:r>
            <w:t>Contents</w:t>
          </w:r>
        </w:p>
        <w:p w14:paraId="3A73512E" w14:textId="09CB0B71" w:rsidR="00F422C9" w:rsidRDefault="00F63FE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9812" w:history="1">
            <w:r w:rsidR="00F422C9" w:rsidRPr="00D77773">
              <w:rPr>
                <w:rStyle w:val="Hyperlink"/>
                <w:noProof/>
              </w:rPr>
              <w:t>Introduction</w:t>
            </w:r>
            <w:bookmarkStart w:id="0" w:name="_GoBack"/>
            <w:bookmarkEnd w:id="0"/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_Toc500859812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422C9">
              <w:rPr>
                <w:noProof/>
                <w:webHidden/>
              </w:rPr>
              <w:t>2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74FE23AE" w14:textId="59BFF094" w:rsidR="00F422C9" w:rsidRDefault="00F422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3" w:history="1">
            <w:r w:rsidRPr="00D77773">
              <w:rPr>
                <w:rStyle w:val="Hyperlink"/>
                <w:noProof/>
              </w:rPr>
              <w:t>Data Category as Attribute (DCA)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BF79" w14:textId="44562C88" w:rsidR="00F422C9" w:rsidRDefault="00F422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4" w:history="1">
            <w:r w:rsidRPr="00D77773">
              <w:rPr>
                <w:rStyle w:val="Hyperlink"/>
                <w:noProof/>
              </w:rPr>
              <w:t>Data Category as Tag (DCT)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6923" w14:textId="1F28F781" w:rsidR="00F422C9" w:rsidRDefault="00F422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15" w:history="1">
            <w:r w:rsidRPr="00D77773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37EF" w14:textId="7E2D7ADA" w:rsidR="00F422C9" w:rsidRDefault="00F422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6" w:history="1">
            <w:r w:rsidRPr="00D77773">
              <w:rPr>
                <w:rStyle w:val="Hyperlink"/>
                <w:noProof/>
              </w:rPr>
              <w:t>TBX-Basic Validation Steps (First steps, both styles):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ABF6" w14:textId="6724AEF0" w:rsidR="00F422C9" w:rsidRDefault="00F422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17" w:history="1">
            <w:r w:rsidRPr="00D77773">
              <w:rPr>
                <w:rStyle w:val="Hyperlink"/>
                <w:noProof/>
              </w:rPr>
              <w:t>Validation Continued (DCA):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B192" w14:textId="4670C43B" w:rsidR="00F422C9" w:rsidRDefault="00F422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18" w:history="1">
            <w:r w:rsidRPr="00D77773">
              <w:rPr>
                <w:rStyle w:val="Hyperlink"/>
                <w:noProof/>
              </w:rPr>
              <w:t>Validation Continued (DCT):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E02B" w14:textId="3E6E09BB" w:rsidR="00F422C9" w:rsidRDefault="00F422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9" w:history="1">
            <w:r w:rsidRPr="00D77773">
              <w:rPr>
                <w:rStyle w:val="Hyperlink"/>
                <w:noProof/>
              </w:rPr>
              <w:t>Validation via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298F4" w14:textId="3EE03A2C" w:rsidR="00F422C9" w:rsidRDefault="00F422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20" w:history="1">
            <w:r w:rsidRPr="00D77773">
              <w:rPr>
                <w:rStyle w:val="Hyperlink"/>
                <w:noProof/>
              </w:rPr>
              <w:t>Schemas Needed for DCA style TBX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9F7C" w14:textId="1F2A5D8D" w:rsidR="00F422C9" w:rsidRDefault="00F422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21" w:history="1">
            <w:r w:rsidRPr="00D77773">
              <w:rPr>
                <w:rStyle w:val="Hyperlink"/>
                <w:noProof/>
              </w:rPr>
              <w:t>Schemas Needed for DCT style TBX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1F87" w14:textId="2F9BAE5E" w:rsidR="00F422C9" w:rsidRDefault="00F422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22" w:history="1">
            <w:r w:rsidRPr="00D77773">
              <w:rPr>
                <w:rStyle w:val="Hyperlink"/>
                <w:noProof/>
              </w:rPr>
              <w:t>Validation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62D2" w14:textId="52868557" w:rsidR="00F422C9" w:rsidRDefault="00F422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23" w:history="1">
            <w:r w:rsidRPr="00D77773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F7E4" w14:textId="1B13C22E" w:rsidR="00F422C9" w:rsidRDefault="00F422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24" w:history="1">
            <w:r w:rsidRPr="00D77773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CB5B" w14:textId="37CEE1DA" w:rsidR="00F422C9" w:rsidRDefault="00F422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25" w:history="1">
            <w:r w:rsidRPr="00D77773">
              <w:rPr>
                <w:rStyle w:val="Hyperlink"/>
                <w:noProof/>
              </w:rPr>
              <w:t>Appendix I: API Example for TBX-Basic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409F" w14:textId="6C21AAEB" w:rsidR="00F422C9" w:rsidRDefault="00F422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26" w:history="1">
            <w:r w:rsidRPr="00D77773">
              <w:rPr>
                <w:rStyle w:val="Hyperlink"/>
                <w:noProof/>
              </w:rPr>
              <w:t>Using the response: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D015" w14:textId="4840887B" w:rsidR="00F422C9" w:rsidRDefault="00F422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27" w:history="1">
            <w:r w:rsidRPr="00D77773">
              <w:rPr>
                <w:rStyle w:val="Hyperlink"/>
                <w:noProof/>
              </w:rPr>
              <w:t>Example call to API (GET) and response (JSON):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C9E6" w14:textId="273514FF" w:rsidR="00F63FEF" w:rsidRDefault="00F63FEF" w:rsidP="00F63FEF">
          <w:r>
            <w:rPr>
              <w:b/>
              <w:bCs/>
              <w:noProof/>
            </w:rPr>
            <w:fldChar w:fldCharType="end"/>
          </w:r>
        </w:p>
      </w:sdtContent>
    </w:sdt>
    <w:p w14:paraId="3070A148" w14:textId="77777777" w:rsidR="00BD6A4E" w:rsidRDefault="00BD6A4E" w:rsidP="001216D3">
      <w:pPr>
        <w:pStyle w:val="Heading1"/>
      </w:pPr>
    </w:p>
    <w:p w14:paraId="47147970" w14:textId="77777777" w:rsidR="00BD6A4E" w:rsidRDefault="00BD6A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9E7309" w14:textId="31F2B4F2" w:rsidR="001216D3" w:rsidRDefault="001216D3" w:rsidP="001216D3">
      <w:pPr>
        <w:pStyle w:val="Heading1"/>
      </w:pPr>
      <w:bookmarkStart w:id="1" w:name="_Toc500859812"/>
      <w:r>
        <w:lastRenderedPageBreak/>
        <w:t>Introduction</w:t>
      </w:r>
      <w:bookmarkEnd w:id="1"/>
    </w:p>
    <w:p w14:paraId="24AFEA27" w14:textId="5D600FE4" w:rsidR="001216D3" w:rsidRDefault="001216D3" w:rsidP="001216D3">
      <w:r>
        <w:t xml:space="preserve">TBX-Basic is intended to be the primary dialect </w:t>
      </w:r>
      <w:r w:rsidR="00147E46">
        <w:t>for</w:t>
      </w:r>
      <w:r>
        <w:t xml:space="preserve"> terminology exchange. It can be used to handle monolingual, bilingual, or multilingual glossaries</w:t>
      </w:r>
      <w:r w:rsidR="00B44654">
        <w:t xml:space="preserve"> or </w:t>
      </w:r>
      <w:proofErr w:type="spellStart"/>
      <w:r w:rsidR="00B44654">
        <w:t>termbases</w:t>
      </w:r>
      <w:proofErr w:type="spellEnd"/>
      <w:r w:rsidR="00BD6A4E">
        <w:t xml:space="preserve">. </w:t>
      </w:r>
      <w:r>
        <w:t xml:space="preserve">It is composed of three modules: Core, </w:t>
      </w:r>
      <w:r w:rsidR="00147E46">
        <w:t>Min</w:t>
      </w:r>
      <w:r>
        <w:t>, and Basi</w:t>
      </w:r>
      <w:r w:rsidR="00B44654">
        <w:t>c</w:t>
      </w:r>
      <w:r w:rsidR="00BD6A4E">
        <w:t xml:space="preserve">. </w:t>
      </w:r>
      <w:r>
        <w:t>The Core module co</w:t>
      </w:r>
      <w:r w:rsidR="00147E46">
        <w:t>nsists of</w:t>
      </w:r>
      <w:r>
        <w:t xml:space="preserve"> the core structure which all valid TBX files share and which corresponds with the description of the TBX </w:t>
      </w:r>
      <w:r w:rsidR="00B44654">
        <w:t>C</w:t>
      </w:r>
      <w:r>
        <w:t>ore as found in ISO 30042</w:t>
      </w:r>
      <w:r w:rsidR="00BD6A4E">
        <w:t xml:space="preserve">. </w:t>
      </w:r>
      <w:r>
        <w:t xml:space="preserve">The combination of the data categories </w:t>
      </w:r>
      <w:r w:rsidR="00147E46">
        <w:t>added to the Core</w:t>
      </w:r>
      <w:r>
        <w:t xml:space="preserve"> by the Min and Basic </w:t>
      </w:r>
      <w:r w:rsidR="00B44654">
        <w:t>modules</w:t>
      </w:r>
      <w:r>
        <w:t xml:space="preserve"> constitutes the TBX-Basic dialect</w:t>
      </w:r>
      <w:r w:rsidR="00BD6A4E">
        <w:t xml:space="preserve">. </w:t>
      </w:r>
      <w:r w:rsidR="00147E46">
        <w:t>This implementation guide is provided by LTAC Global as a public service</w:t>
      </w:r>
      <w:r w:rsidR="00BD6A4E">
        <w:t xml:space="preserve">. </w:t>
      </w:r>
      <w:r w:rsidR="00B44654">
        <w:t>If you want to implement TBX-Basic, you are free to use it. If you want to create your own TBX dialect, you must obtain appropriate access to a purchased copy of the new version of ISO 30042 DIS (to be published in 2018).</w:t>
      </w:r>
    </w:p>
    <w:p w14:paraId="494E7352" w14:textId="77777777" w:rsidR="00641B01" w:rsidRDefault="00641B01" w:rsidP="001216D3"/>
    <w:p w14:paraId="1EC06957" w14:textId="6D44D9E1" w:rsidR="00807761" w:rsidRDefault="00797223" w:rsidP="00797223">
      <w:pPr>
        <w:pStyle w:val="Heading2"/>
      </w:pPr>
      <w:bookmarkStart w:id="2" w:name="_Toc500859813"/>
      <w:r>
        <w:t>Data Category as Attribute (DCA)</w:t>
      </w:r>
      <w:bookmarkEnd w:id="2"/>
    </w:p>
    <w:p w14:paraId="22A652F6" w14:textId="0DDE6CB0" w:rsidR="00797223" w:rsidRDefault="00797223" w:rsidP="00797223">
      <w:r>
        <w:t>DCA is the “tradi</w:t>
      </w:r>
      <w:r w:rsidR="00137D3C">
        <w:t>ti</w:t>
      </w:r>
      <w:r>
        <w:t xml:space="preserve">onal” TBX style in which data categories are indicated as values of the @type attribute of one of the following classification elements: admin, </w:t>
      </w:r>
      <w:proofErr w:type="spellStart"/>
      <w:r>
        <w:t>adminNote</w:t>
      </w:r>
      <w:proofErr w:type="spellEnd"/>
      <w:r>
        <w:t xml:space="preserve">, descrip, </w:t>
      </w:r>
      <w:proofErr w:type="spellStart"/>
      <w:r>
        <w:t>descripNote</w:t>
      </w:r>
      <w:proofErr w:type="spellEnd"/>
      <w:r>
        <w:t xml:space="preserve">, ref, </w:t>
      </w:r>
      <w:proofErr w:type="spellStart"/>
      <w:r>
        <w:t>transac</w:t>
      </w:r>
      <w:proofErr w:type="spellEnd"/>
      <w:r>
        <w:t xml:space="preserve">, </w:t>
      </w:r>
      <w:proofErr w:type="spellStart"/>
      <w:r>
        <w:t>transacNote</w:t>
      </w:r>
      <w:proofErr w:type="spellEnd"/>
      <w:r>
        <w:t xml:space="preserve">, </w:t>
      </w:r>
      <w:proofErr w:type="spellStart"/>
      <w:r>
        <w:t>termNote</w:t>
      </w:r>
      <w:proofErr w:type="spellEnd"/>
      <w:r>
        <w:t xml:space="preserve">, </w:t>
      </w:r>
      <w:proofErr w:type="spellStart"/>
      <w:r>
        <w:t>xref</w:t>
      </w:r>
      <w:proofErr w:type="spellEnd"/>
      <w:r>
        <w:t>.</w:t>
      </w:r>
    </w:p>
    <w:p w14:paraId="051416BD" w14:textId="3F6F387E" w:rsidR="00EC2562" w:rsidRDefault="00EC2562" w:rsidP="00797223">
      <w:r>
        <w:t>Example:</w:t>
      </w:r>
    </w:p>
    <w:p w14:paraId="5DC7C354" w14:textId="5B2FB724" w:rsidR="00EC2562" w:rsidRDefault="00797223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&lt;descrip type=”</w:t>
      </w:r>
      <w:r w:rsidRPr="00EC2562">
        <w:rPr>
          <w:rFonts w:ascii="Courier New" w:hAnsi="Courier New" w:cs="Courier New"/>
          <w:color w:val="FF0000"/>
        </w:rPr>
        <w:t>subjectField</w:t>
      </w:r>
      <w:r>
        <w:rPr>
          <w:rFonts w:ascii="Courier New" w:hAnsi="Courier New" w:cs="Courier New"/>
        </w:rPr>
        <w:t>”&gt;</w:t>
      </w:r>
      <w:r w:rsidR="004E6A10">
        <w:rPr>
          <w:rFonts w:ascii="Courier New" w:hAnsi="Courier New" w:cs="Courier New"/>
        </w:rPr>
        <w:t>finance</w:t>
      </w:r>
      <w:r w:rsidR="00EC2562">
        <w:rPr>
          <w:rFonts w:ascii="Courier New" w:hAnsi="Courier New" w:cs="Courier New"/>
        </w:rPr>
        <w:t>&lt;/</w:t>
      </w:r>
      <w:r w:rsidR="008C2489">
        <w:rPr>
          <w:rFonts w:ascii="Courier New" w:hAnsi="Courier New" w:cs="Courier New"/>
        </w:rPr>
        <w:t>descrip</w:t>
      </w:r>
      <w:r w:rsidR="00EC2562">
        <w:rPr>
          <w:rFonts w:ascii="Courier New" w:hAnsi="Courier New" w:cs="Courier New"/>
        </w:rPr>
        <w:t>&gt;</w:t>
      </w:r>
    </w:p>
    <w:p w14:paraId="2F6676E2" w14:textId="2FB3CE05" w:rsidR="00EC2562" w:rsidRDefault="00EC2562" w:rsidP="00EC2562">
      <w:pPr>
        <w:rPr>
          <w:rFonts w:cstheme="minorHAnsi"/>
        </w:rPr>
      </w:pPr>
      <w:r>
        <w:rPr>
          <w:rFonts w:cstheme="minorHAnsi"/>
        </w:rPr>
        <w:t>The classification elements are all included in the Core module</w:t>
      </w:r>
      <w:r w:rsidR="00BD6A4E">
        <w:rPr>
          <w:rFonts w:cstheme="minorHAnsi"/>
        </w:rPr>
        <w:t xml:space="preserve">. </w:t>
      </w:r>
      <w:r>
        <w:rPr>
          <w:rFonts w:cstheme="minorHAnsi"/>
        </w:rPr>
        <w:t>This is the reason DCA only needs a single namespace</w:t>
      </w:r>
      <w:r w:rsidR="00BD6A4E">
        <w:rPr>
          <w:rFonts w:cstheme="minorHAnsi"/>
        </w:rPr>
        <w:t xml:space="preserve">. </w:t>
      </w:r>
      <w:r>
        <w:rPr>
          <w:rFonts w:cstheme="minorHAnsi"/>
        </w:rPr>
        <w:t>By default, any value of @type is permitted in the Core module, but when used in a dialect, the</w:t>
      </w:r>
      <w:r w:rsidR="004E6A10">
        <w:rPr>
          <w:rFonts w:cstheme="minorHAnsi"/>
        </w:rPr>
        <w:t xml:space="preserve"> permitted</w:t>
      </w:r>
      <w:r>
        <w:rPr>
          <w:rFonts w:cstheme="minorHAnsi"/>
        </w:rPr>
        <w:t xml:space="preserve"> values are restricted to only those data categories </w:t>
      </w:r>
      <w:r w:rsidR="004E6A10">
        <w:rPr>
          <w:rFonts w:cstheme="minorHAnsi"/>
        </w:rPr>
        <w:t>included</w:t>
      </w:r>
      <w:r>
        <w:rPr>
          <w:rFonts w:cstheme="minorHAnsi"/>
        </w:rPr>
        <w:t xml:space="preserve"> by the modules which define that dialect.</w:t>
      </w:r>
    </w:p>
    <w:p w14:paraId="1FF35A3A" w14:textId="77777777" w:rsidR="00641B01" w:rsidRDefault="00641B01" w:rsidP="00EC2562">
      <w:pPr>
        <w:rPr>
          <w:rFonts w:cstheme="minorHAnsi"/>
        </w:rPr>
      </w:pPr>
    </w:p>
    <w:p w14:paraId="411F9177" w14:textId="37213FBD" w:rsidR="00EC2562" w:rsidRDefault="00EC2562" w:rsidP="00EC2562">
      <w:pPr>
        <w:pStyle w:val="Heading2"/>
      </w:pPr>
      <w:bookmarkStart w:id="3" w:name="_Toc500859814"/>
      <w:r>
        <w:t>Data Category as Tag (DCT)</w:t>
      </w:r>
      <w:bookmarkEnd w:id="3"/>
    </w:p>
    <w:p w14:paraId="386038D5" w14:textId="78D9FE2D" w:rsidR="00EC2562" w:rsidRDefault="00EC2562" w:rsidP="008C2489">
      <w:pPr>
        <w:rPr>
          <w:rFonts w:asciiTheme="minorBidi" w:hAnsiTheme="minorBidi"/>
        </w:rPr>
      </w:pPr>
      <w:r>
        <w:t>DC</w:t>
      </w:r>
      <w:r>
        <w:t>T is a new style of TBX which attempts to bring TBX more in line with modern XML practices</w:t>
      </w:r>
      <w:r w:rsidR="00BD6A4E">
        <w:t xml:space="preserve">. </w:t>
      </w:r>
      <w:r>
        <w:t>In DCT, data categories are indicated as XML tag names (specifically, generic identifiers)</w:t>
      </w:r>
      <w:r w:rsidR="00BD6A4E">
        <w:t xml:space="preserve">. </w:t>
      </w:r>
      <w:r>
        <w:t>Due to this, there are as many</w:t>
      </w:r>
      <w:r w:rsidR="008C2489">
        <w:t xml:space="preserve"> possible</w:t>
      </w:r>
      <w:r>
        <w:t xml:space="preserve"> tag names </w:t>
      </w:r>
      <w:r w:rsidR="008C2489">
        <w:t xml:space="preserve">in DCT </w:t>
      </w:r>
      <w:r>
        <w:t>as there are data categories</w:t>
      </w:r>
      <w:r w:rsidR="00BD6A4E">
        <w:t xml:space="preserve">. </w:t>
      </w:r>
      <w:r w:rsidR="008C2489">
        <w:t xml:space="preserve">Therefore, for the sake of simplicity, all </w:t>
      </w:r>
      <w:r w:rsidR="004E6A10">
        <w:t>conceivable</w:t>
      </w:r>
      <w:r w:rsidR="008C2489">
        <w:t xml:space="preserve"> DCT tags are not included in the Core namespace</w:t>
      </w:r>
      <w:r w:rsidR="00BD6A4E">
        <w:t xml:space="preserve">. </w:t>
      </w:r>
      <w:r w:rsidR="008C2489">
        <w:t>Instead, each data category module has its own namespace for use with DCT</w:t>
      </w:r>
      <w:r w:rsidR="00BD6A4E">
        <w:t xml:space="preserve">. </w:t>
      </w:r>
      <w:r w:rsidR="008C2489">
        <w:t xml:space="preserve">For example, TBX-Basic includes the Basic module, which has the following namespace: </w:t>
      </w:r>
      <w:hyperlink r:id="rId8" w:history="1">
        <w:r w:rsidR="008C2489"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 w:rsidR="00BD6A4E">
        <w:rPr>
          <w:rFonts w:asciiTheme="minorBidi" w:hAnsiTheme="minorBidi"/>
        </w:rPr>
        <w:t xml:space="preserve">. </w:t>
      </w:r>
      <w:r w:rsidR="008C2489">
        <w:rPr>
          <w:rFonts w:asciiTheme="minorBidi" w:hAnsiTheme="minorBidi"/>
        </w:rPr>
        <w:t>Using this namespace solution, only the data categories which are included in the Basic module need to have tags defined for them (in the Basic namespace)</w:t>
      </w:r>
      <w:r w:rsidR="00BD6A4E">
        <w:rPr>
          <w:rFonts w:asciiTheme="minorBidi" w:hAnsiTheme="minorBidi"/>
        </w:rPr>
        <w:t xml:space="preserve">. </w:t>
      </w:r>
      <w:r w:rsidR="008C2489">
        <w:rPr>
          <w:rFonts w:asciiTheme="minorBidi" w:hAnsiTheme="minorBidi"/>
        </w:rPr>
        <w:t>These tags can then be introduced into a TBX document instance by calling upon the Basic namespace.</w:t>
      </w:r>
    </w:p>
    <w:p w14:paraId="5DF9030D" w14:textId="77777777" w:rsidR="00641B01" w:rsidRDefault="00641B01" w:rsidP="008C2489">
      <w:pPr>
        <w:rPr>
          <w:rFonts w:asciiTheme="minorBidi" w:hAnsiTheme="minorBidi"/>
        </w:rPr>
      </w:pPr>
    </w:p>
    <w:p w14:paraId="60DA2E1D" w14:textId="5B50238C" w:rsidR="008C2489" w:rsidRDefault="008C2489" w:rsidP="008C2489">
      <w:pPr>
        <w:rPr>
          <w:rFonts w:asciiTheme="minorBidi" w:hAnsiTheme="minorBidi"/>
        </w:rPr>
      </w:pPr>
      <w:r>
        <w:rPr>
          <w:rFonts w:asciiTheme="minorBidi" w:hAnsiTheme="minorBidi"/>
        </w:rPr>
        <w:t>Example:</w:t>
      </w:r>
    </w:p>
    <w:p w14:paraId="0CD8F7B5" w14:textId="06BC6728" w:rsidR="008C2489" w:rsidRDefault="008C2489" w:rsidP="008C2489">
      <w:pPr>
        <w:rPr>
          <w:rFonts w:ascii="Courier New" w:hAnsi="Courier New" w:cs="Courier New"/>
        </w:rPr>
      </w:pPr>
      <w:r>
        <w:rPr>
          <w:rFonts w:asciiTheme="minorBidi" w:hAnsiTheme="minorBidi"/>
        </w:rPr>
        <w:tab/>
      </w:r>
      <w:r>
        <w:rPr>
          <w:rFonts w:ascii="Courier New" w:hAnsi="Courier New" w:cs="Courier New"/>
        </w:rPr>
        <w:t>&lt;</w:t>
      </w:r>
      <w:r w:rsidRPr="004E56D1">
        <w:rPr>
          <w:rFonts w:ascii="Courier New" w:hAnsi="Courier New" w:cs="Courier New"/>
          <w:color w:val="FF0000"/>
        </w:rPr>
        <w:t xml:space="preserve">subjectField </w:t>
      </w:r>
      <w:proofErr w:type="spellStart"/>
      <w:r w:rsidRPr="004E56D1">
        <w:rPr>
          <w:rFonts w:ascii="Courier New" w:hAnsi="Courier New" w:cs="Courier New"/>
          <w:color w:val="00B050"/>
        </w:rPr>
        <w:t>xmlns</w:t>
      </w:r>
      <w:proofErr w:type="spellEnd"/>
      <w:r>
        <w:rPr>
          <w:rFonts w:ascii="Courier New" w:hAnsi="Courier New" w:cs="Courier New"/>
        </w:rPr>
        <w:t>=”</w:t>
      </w:r>
      <w:hyperlink r:id="rId9" w:history="1">
        <w:r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>
        <w:rPr>
          <w:rFonts w:ascii="Courier New" w:hAnsi="Courier New" w:cs="Courier New"/>
        </w:rPr>
        <w:t>”&gt;</w:t>
      </w:r>
    </w:p>
    <w:p w14:paraId="71070E6B" w14:textId="77777777" w:rsidR="008C2489" w:rsidRDefault="008C2489" w:rsidP="008C2489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16638B52" w14:textId="401FA031" w:rsidR="008C2489" w:rsidRDefault="008C2489" w:rsidP="004E56D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r w:rsidRPr="004E56D1">
        <w:rPr>
          <w:rFonts w:ascii="Courier New" w:hAnsi="Courier New" w:cs="Courier New"/>
          <w:color w:val="FF0000"/>
        </w:rPr>
        <w:t>subjectField</w:t>
      </w:r>
      <w:r>
        <w:rPr>
          <w:rFonts w:ascii="Courier New" w:hAnsi="Courier New" w:cs="Courier New"/>
        </w:rPr>
        <w:t>&gt;</w:t>
      </w:r>
    </w:p>
    <w:p w14:paraId="18513DB6" w14:textId="77777777" w:rsidR="00641B01" w:rsidRPr="008C2489" w:rsidRDefault="00641B01" w:rsidP="004E56D1">
      <w:pPr>
        <w:ind w:firstLine="720"/>
        <w:rPr>
          <w:rFonts w:ascii="Courier New" w:hAnsi="Courier New" w:cs="Courier New"/>
        </w:rPr>
      </w:pPr>
    </w:p>
    <w:p w14:paraId="56BF8145" w14:textId="21B62F62" w:rsidR="004E56D1" w:rsidRDefault="004E56D1" w:rsidP="00EC2562">
      <w:r>
        <w:lastRenderedPageBreak/>
        <w:t>It is possible in an XML file for elements to declare their namespace in their start tag (as shown above)</w:t>
      </w:r>
      <w:r w:rsidR="00BD6A4E">
        <w:t xml:space="preserve">. </w:t>
      </w:r>
      <w:r>
        <w:t>It is also possible (and the recommended practice in TBX) to assign a namespace prefix earlier on in the root element:</w:t>
      </w:r>
    </w:p>
    <w:p w14:paraId="2289EE55" w14:textId="7F8D3E30" w:rsidR="004E56D1" w:rsidRDefault="004E56D1" w:rsidP="00EC2562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tbx</w:t>
      </w:r>
      <w:proofErr w:type="spellEnd"/>
      <w:r>
        <w:rPr>
          <w:rFonts w:ascii="Courier New" w:hAnsi="Courier New" w:cs="Courier New"/>
        </w:rPr>
        <w:t xml:space="preserve"> … </w:t>
      </w:r>
      <w:proofErr w:type="spellStart"/>
      <w:r w:rsidRPr="004E56D1">
        <w:rPr>
          <w:rFonts w:ascii="Courier New" w:hAnsi="Courier New" w:cs="Courier New"/>
          <w:color w:val="00B050"/>
        </w:rPr>
        <w:t>xmlns:basic</w:t>
      </w:r>
      <w:proofErr w:type="spellEnd"/>
      <w:r>
        <w:rPr>
          <w:rFonts w:ascii="Courier New" w:hAnsi="Courier New" w:cs="Courier New"/>
        </w:rPr>
        <w:t>=”</w:t>
      </w:r>
      <w:hyperlink r:id="rId10" w:history="1">
        <w:r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>
        <w:rPr>
          <w:rFonts w:ascii="Courier New" w:hAnsi="Courier New" w:cs="Courier New"/>
        </w:rPr>
        <w:t>”&gt;</w:t>
      </w:r>
    </w:p>
    <w:p w14:paraId="6964578A" w14:textId="22B45AD9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</w:t>
      </w:r>
    </w:p>
    <w:p w14:paraId="7C0DF698" w14:textId="6532B37E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 w:rsidRPr="004E56D1">
        <w:rPr>
          <w:rFonts w:ascii="Courier New" w:hAnsi="Courier New" w:cs="Courier New"/>
          <w:color w:val="00B050"/>
        </w:rPr>
        <w:t>basic</w:t>
      </w:r>
      <w:r>
        <w:rPr>
          <w:rFonts w:ascii="Courier New" w:hAnsi="Courier New" w:cs="Courier New"/>
        </w:rPr>
        <w:t>:</w:t>
      </w:r>
      <w:r w:rsidRPr="004E56D1">
        <w:rPr>
          <w:rFonts w:ascii="Courier New" w:hAnsi="Courier New" w:cs="Courier New"/>
          <w:color w:val="FF0000"/>
        </w:rPr>
        <w:t>subjectField</w:t>
      </w:r>
      <w:proofErr w:type="spellEnd"/>
      <w:r>
        <w:rPr>
          <w:rFonts w:ascii="Courier New" w:hAnsi="Courier New" w:cs="Courier New"/>
        </w:rPr>
        <w:t>&gt;…&lt;/</w:t>
      </w:r>
      <w:proofErr w:type="spellStart"/>
      <w:r w:rsidRPr="004E56D1">
        <w:rPr>
          <w:rFonts w:ascii="Courier New" w:hAnsi="Courier New" w:cs="Courier New"/>
          <w:color w:val="00B050"/>
        </w:rPr>
        <w:t>basic</w:t>
      </w:r>
      <w:r>
        <w:rPr>
          <w:rFonts w:ascii="Courier New" w:hAnsi="Courier New" w:cs="Courier New"/>
        </w:rPr>
        <w:t>:</w:t>
      </w:r>
      <w:r w:rsidRPr="004E56D1">
        <w:rPr>
          <w:rFonts w:ascii="Courier New" w:hAnsi="Courier New" w:cs="Courier New"/>
          <w:color w:val="FF0000"/>
        </w:rPr>
        <w:t>subjectField</w:t>
      </w:r>
      <w:proofErr w:type="spellEnd"/>
      <w:r>
        <w:rPr>
          <w:rFonts w:ascii="Courier New" w:hAnsi="Courier New" w:cs="Courier New"/>
        </w:rPr>
        <w:t>&gt;</w:t>
      </w:r>
    </w:p>
    <w:p w14:paraId="651CE1C8" w14:textId="7253974B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</w:t>
      </w:r>
    </w:p>
    <w:p w14:paraId="3B00C499" w14:textId="30E891EB" w:rsidR="004E56D1" w:rsidRP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tbx</w:t>
      </w:r>
      <w:proofErr w:type="spellEnd"/>
      <w:r>
        <w:rPr>
          <w:rFonts w:ascii="Courier New" w:hAnsi="Courier New" w:cs="Courier New"/>
        </w:rPr>
        <w:t>&gt;</w:t>
      </w:r>
    </w:p>
    <w:p w14:paraId="2024D80D" w14:textId="77777777" w:rsidR="004E56D1" w:rsidRDefault="00EC2562" w:rsidP="004E56D1">
      <w:r>
        <w:t xml:space="preserve">Therefore, a valid TBX-Basic file in DCT will have namespace declarations for each of the modules which are included in the TBX-Basic dialect definition (which can be found using either the </w:t>
      </w:r>
      <w:proofErr w:type="spellStart"/>
      <w:r>
        <w:t>TBXinfo</w:t>
      </w:r>
      <w:proofErr w:type="spellEnd"/>
      <w:r>
        <w:t xml:space="preserve"> website or the </w:t>
      </w:r>
      <w:hyperlink w:anchor="_Validation_API" w:history="1">
        <w:r w:rsidRPr="002D312E">
          <w:rPr>
            <w:rStyle w:val="Hyperlink"/>
          </w:rPr>
          <w:t>Validation API</w:t>
        </w:r>
      </w:hyperlink>
      <w:r>
        <w:t xml:space="preserve">): </w:t>
      </w:r>
    </w:p>
    <w:p w14:paraId="7E0ACECC" w14:textId="18B54BDB" w:rsidR="004E56D1" w:rsidRDefault="00EC2562" w:rsidP="004E56D1">
      <w:pPr>
        <w:pStyle w:val="ListParagraph"/>
        <w:numPr>
          <w:ilvl w:val="0"/>
          <w:numId w:val="15"/>
        </w:numPr>
      </w:pPr>
      <w:r>
        <w:t>Core</w:t>
      </w:r>
      <w:r w:rsidR="004E56D1">
        <w:t xml:space="preserve"> –  </w:t>
      </w:r>
      <w:r w:rsidR="004E56D1" w:rsidRPr="004E56D1">
        <w:rPr>
          <w:rFonts w:ascii="Courier New" w:hAnsi="Courier New" w:cs="Courier New"/>
        </w:rPr>
        <w:t>urn:iso:std:iso:30042:ed:3.0</w:t>
      </w:r>
    </w:p>
    <w:p w14:paraId="09AECAD5" w14:textId="3517000B" w:rsidR="004E56D1" w:rsidRDefault="00EC2562" w:rsidP="004E56D1">
      <w:pPr>
        <w:pStyle w:val="ListParagraph"/>
        <w:numPr>
          <w:ilvl w:val="0"/>
          <w:numId w:val="15"/>
        </w:numPr>
      </w:pPr>
      <w:r>
        <w:t>Min</w:t>
      </w:r>
      <w:r w:rsidR="004E56D1">
        <w:t xml:space="preserve"> – </w:t>
      </w:r>
      <w:r w:rsidR="004E56D1">
        <w:rPr>
          <w:rFonts w:ascii="Courier New" w:hAnsi="Courier New" w:cs="Courier New"/>
        </w:rPr>
        <w:t>http://www.tbxinfo.net/ns/min</w:t>
      </w:r>
    </w:p>
    <w:p w14:paraId="67847F1D" w14:textId="411D0E2C" w:rsidR="004E56D1" w:rsidRDefault="00EC2562" w:rsidP="004E56D1">
      <w:pPr>
        <w:pStyle w:val="ListParagraph"/>
        <w:numPr>
          <w:ilvl w:val="0"/>
          <w:numId w:val="15"/>
        </w:numPr>
      </w:pPr>
      <w:r>
        <w:t>Basic</w:t>
      </w:r>
      <w:r w:rsidR="004E56D1">
        <w:t xml:space="preserve"> – </w:t>
      </w:r>
      <w:r w:rsidR="004E56D1">
        <w:rPr>
          <w:rFonts w:ascii="Courier New" w:hAnsi="Courier New" w:cs="Courier New"/>
        </w:rPr>
        <w:t>http://www.tbxinfo.net/ns/basic</w:t>
      </w:r>
    </w:p>
    <w:p w14:paraId="119708D5" w14:textId="188259B9" w:rsidR="00EC2562" w:rsidRDefault="004E56D1" w:rsidP="004E56D1">
      <w:r>
        <w:t>These namespace declarations should most often be found in the root &lt;</w:t>
      </w:r>
      <w:proofErr w:type="spellStart"/>
      <w:r>
        <w:t>tbx</w:t>
      </w:r>
      <w:proofErr w:type="spellEnd"/>
      <w:r>
        <w:t>&gt; element, but may in some files appear in the elements to which they apply.</w:t>
      </w:r>
    </w:p>
    <w:p w14:paraId="5BB8C26E" w14:textId="46FCBE5C" w:rsidR="00A052D7" w:rsidRDefault="00A052D7" w:rsidP="004E56D1">
      <w:r>
        <w:t>Also, to preserve isomorphism between DCT and DCA, DCT elements may use the optional @</w:t>
      </w:r>
      <w:proofErr w:type="spellStart"/>
      <w:r>
        <w:t>metaType</w:t>
      </w:r>
      <w:proofErr w:type="spellEnd"/>
      <w:r>
        <w:t xml:space="preserve"> attribute to retain the classification element:</w:t>
      </w:r>
    </w:p>
    <w:p w14:paraId="1D15B018" w14:textId="48E63586" w:rsidR="00A052D7" w:rsidRPr="00A052D7" w:rsidRDefault="00A052D7" w:rsidP="004E56D1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basic:subjectField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A052D7">
        <w:rPr>
          <w:rFonts w:ascii="Courier New" w:hAnsi="Courier New" w:cs="Courier New"/>
          <w:color w:val="FF0000"/>
        </w:rPr>
        <w:t>metaType</w:t>
      </w:r>
      <w:proofErr w:type="spellEnd"/>
      <w:r w:rsidRPr="00A052D7">
        <w:rPr>
          <w:rFonts w:ascii="Courier New" w:hAnsi="Courier New" w:cs="Courier New"/>
          <w:color w:val="FF0000"/>
        </w:rPr>
        <w:t>=”descrip”</w:t>
      </w:r>
      <w:r>
        <w:rPr>
          <w:rFonts w:ascii="Courier New" w:hAnsi="Courier New" w:cs="Courier New"/>
        </w:rPr>
        <w:t>&gt;…&lt;/</w:t>
      </w:r>
      <w:proofErr w:type="spellStart"/>
      <w:r>
        <w:rPr>
          <w:rFonts w:ascii="Courier New" w:hAnsi="Courier New" w:cs="Courier New"/>
        </w:rPr>
        <w:t>basic:subjectField</w:t>
      </w:r>
      <w:proofErr w:type="spellEnd"/>
      <w:r>
        <w:rPr>
          <w:rFonts w:ascii="Courier New" w:hAnsi="Courier New" w:cs="Courier New"/>
        </w:rPr>
        <w:t>&gt;</w:t>
      </w:r>
    </w:p>
    <w:p w14:paraId="0BB69165" w14:textId="77777777" w:rsidR="001216D3" w:rsidRDefault="001216D3" w:rsidP="001216D3">
      <w:pPr>
        <w:pStyle w:val="Heading1"/>
      </w:pPr>
      <w:bookmarkStart w:id="4" w:name="_Validation"/>
      <w:bookmarkStart w:id="5" w:name="_Toc500859815"/>
      <w:bookmarkEnd w:id="4"/>
      <w:r>
        <w:t>Validation</w:t>
      </w:r>
      <w:bookmarkEnd w:id="5"/>
    </w:p>
    <w:p w14:paraId="2357B52B" w14:textId="2CEDFBD1" w:rsidR="00147E46" w:rsidRDefault="001216D3" w:rsidP="00286E4B">
      <w:r>
        <w:t>This section details the steps which must be taken to ensure a</w:t>
      </w:r>
      <w:r w:rsidR="00147E46">
        <w:t>n XML document</w:t>
      </w:r>
      <w:r>
        <w:t xml:space="preserve"> instance</w:t>
      </w:r>
      <w:r w:rsidR="00286E4B">
        <w:t xml:space="preserve"> (hereafter described as the “</w:t>
      </w:r>
      <w:r w:rsidR="00286E4B" w:rsidRPr="00286E4B">
        <w:rPr>
          <w:i/>
          <w:iCs/>
        </w:rPr>
        <w:t>candidate</w:t>
      </w:r>
      <w:r w:rsidR="00286E4B">
        <w:t xml:space="preserve">”) </w:t>
      </w:r>
      <w:r>
        <w:t>which c</w:t>
      </w:r>
      <w:r w:rsidR="00286E4B">
        <w:t xml:space="preserve">laims to be TBX-Basic is </w:t>
      </w:r>
      <w:r w:rsidR="00147E46">
        <w:t xml:space="preserve">actually a </w:t>
      </w:r>
      <w:r w:rsidR="00286E4B">
        <w:t>valid</w:t>
      </w:r>
      <w:r w:rsidR="00147E46">
        <w:t xml:space="preserve"> instance of the TBX-Basic dialect</w:t>
      </w:r>
      <w:r w:rsidR="00BD6A4E">
        <w:t xml:space="preserve">. </w:t>
      </w:r>
      <w:r w:rsidR="00286E4B">
        <w:t xml:space="preserve">If at any step the </w:t>
      </w:r>
      <w:r w:rsidR="00286E4B">
        <w:rPr>
          <w:i/>
          <w:iCs/>
        </w:rPr>
        <w:t>candidate</w:t>
      </w:r>
      <w:r w:rsidR="00286E4B">
        <w:t xml:space="preserve"> fails a test, it is not valid TBX-Basic</w:t>
      </w:r>
      <w:r w:rsidR="00BD6A4E">
        <w:t xml:space="preserve">. </w:t>
      </w:r>
    </w:p>
    <w:p w14:paraId="464042B8" w14:textId="307CCD8C" w:rsidR="0036345F" w:rsidRPr="00173166" w:rsidRDefault="00173166" w:rsidP="00640422">
      <w:r>
        <w:t xml:space="preserve">If the </w:t>
      </w:r>
      <w:r w:rsidRPr="00173166">
        <w:rPr>
          <w:i/>
          <w:iCs/>
        </w:rPr>
        <w:t>candidate</w:t>
      </w:r>
      <w:r>
        <w:t xml:space="preserve"> </w:t>
      </w:r>
      <w:r w:rsidRPr="00173166">
        <w:t>does</w:t>
      </w:r>
      <w:r>
        <w:t xml:space="preserve"> not </w:t>
      </w:r>
      <w:r w:rsidR="00147E46">
        <w:t>even</w:t>
      </w:r>
      <w:r>
        <w:t xml:space="preserve"> claim to be </w:t>
      </w:r>
      <w:r w:rsidR="00147E46">
        <w:t>compliant with</w:t>
      </w:r>
      <w:r>
        <w:t xml:space="preserve"> TBX-Basic </w:t>
      </w:r>
      <w:r w:rsidR="00147E46">
        <w:t>(according to the type attribute on the root)</w:t>
      </w:r>
      <w:r>
        <w:t xml:space="preserve">, use the </w:t>
      </w:r>
      <w:hyperlink w:anchor="_Validation_API" w:history="1">
        <w:r w:rsidRPr="00173166">
          <w:rPr>
            <w:rStyle w:val="Hyperlink"/>
          </w:rPr>
          <w:t>Validation API</w:t>
        </w:r>
      </w:hyperlink>
      <w:r>
        <w:t xml:space="preserve"> </w:t>
      </w:r>
      <w:r w:rsidR="004E6A10">
        <w:t xml:space="preserve"> or TBXinfo.net</w:t>
      </w:r>
      <w:r w:rsidR="00337EFD">
        <w:rPr>
          <w:rStyle w:val="FootnoteReference"/>
        </w:rPr>
        <w:footnoteReference w:id="2"/>
      </w:r>
      <w:r w:rsidR="004E6A10">
        <w:t xml:space="preserve"> </w:t>
      </w:r>
      <w:r>
        <w:t xml:space="preserve">to attempt to learn which modules the </w:t>
      </w:r>
      <w:r>
        <w:rPr>
          <w:i/>
          <w:iCs/>
        </w:rPr>
        <w:t>candidate’s</w:t>
      </w:r>
      <w:r>
        <w:t xml:space="preserve"> </w:t>
      </w:r>
      <w:r w:rsidR="00147E46">
        <w:t>stated</w:t>
      </w:r>
      <w:r>
        <w:t xml:space="preserve"> dialect is supposed to contain. </w:t>
      </w:r>
    </w:p>
    <w:p w14:paraId="32BB220E" w14:textId="68789B39" w:rsidR="00147E46" w:rsidRPr="00173166" w:rsidRDefault="00147E46" w:rsidP="00F63FEF">
      <w:pPr>
        <w:pStyle w:val="Heading2"/>
      </w:pPr>
      <w:bookmarkStart w:id="6" w:name="_Toc500859816"/>
      <w:r>
        <w:t>TBX-Basic Validation Steps</w:t>
      </w:r>
      <w:r w:rsidR="00807761">
        <w:t xml:space="preserve"> (</w:t>
      </w:r>
      <w:r w:rsidR="00D6536D">
        <w:t>First steps, both styles</w:t>
      </w:r>
      <w:r w:rsidR="00807761">
        <w:t>)</w:t>
      </w:r>
      <w:r>
        <w:t>:</w:t>
      </w:r>
      <w:bookmarkEnd w:id="6"/>
    </w:p>
    <w:p w14:paraId="3F9842F5" w14:textId="60FDC837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Check if </w:t>
      </w:r>
      <w:r>
        <w:rPr>
          <w:i/>
          <w:iCs/>
        </w:rPr>
        <w:t>candidate</w:t>
      </w:r>
      <w:r>
        <w:t xml:space="preserve"> </w:t>
      </w:r>
      <w:r w:rsidR="00147E46">
        <w:t>looks like</w:t>
      </w:r>
      <w:r>
        <w:t xml:space="preserve"> XML.</w:t>
      </w:r>
    </w:p>
    <w:p w14:paraId="4F4D9209" w14:textId="77777777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Ensure the </w:t>
      </w:r>
      <w:r>
        <w:rPr>
          <w:i/>
          <w:iCs/>
        </w:rPr>
        <w:t>candidate</w:t>
      </w:r>
      <w:r>
        <w:t xml:space="preserve"> is well-formed XML.</w:t>
      </w:r>
    </w:p>
    <w:p w14:paraId="6DE845B9" w14:textId="3625F125" w:rsidR="00DC15B3" w:rsidRPr="000C3B26" w:rsidRDefault="00DC15B3" w:rsidP="00286E4B">
      <w:pPr>
        <w:pStyle w:val="ListParagraph"/>
        <w:numPr>
          <w:ilvl w:val="0"/>
          <w:numId w:val="2"/>
        </w:numPr>
      </w:pPr>
      <w:r>
        <w:t xml:space="preserve">The root start-tag should declare the default namespace </w:t>
      </w:r>
      <w:r w:rsidR="004E6A10">
        <w:t>as that of the Core module</w:t>
      </w:r>
      <w:r>
        <w:t xml:space="preserve">: </w:t>
      </w:r>
      <w:r w:rsidR="000C3B26" w:rsidRPr="00A052D7">
        <w:rPr>
          <w:rFonts w:ascii="Courier New" w:hAnsi="Courier New" w:cs="Courier New"/>
        </w:rPr>
        <w:t>urn:iso:std:iso:30042:ed:3.0</w:t>
      </w:r>
    </w:p>
    <w:p w14:paraId="02C7BDFA" w14:textId="77777777" w:rsidR="000C3B26" w:rsidRPr="000C3B26" w:rsidRDefault="000C3B26" w:rsidP="000C3B26">
      <w:pPr>
        <w:pStyle w:val="ListParagraph"/>
        <w:numPr>
          <w:ilvl w:val="1"/>
          <w:numId w:val="2"/>
        </w:numPr>
      </w:pPr>
      <w:r>
        <w:rPr>
          <w:rFonts w:cstheme="minorHAnsi"/>
        </w:rPr>
        <w:t>Example:</w:t>
      </w:r>
    </w:p>
    <w:p w14:paraId="43CFC55C" w14:textId="77777777" w:rsidR="000C3B26" w:rsidRDefault="000C3B26" w:rsidP="000C3B26">
      <w:pPr>
        <w:pStyle w:val="ListParagraph"/>
        <w:ind w:left="1440"/>
      </w:pPr>
      <w:r>
        <w:t>&lt;</w:t>
      </w:r>
      <w:proofErr w:type="spellStart"/>
      <w:r>
        <w:t>tbx</w:t>
      </w:r>
      <w:proofErr w:type="spellEnd"/>
      <w:r w:rsidRPr="000C3B26">
        <w:t xml:space="preserve"> type="TBX-Basic" </w:t>
      </w:r>
      <w:r>
        <w:t>style="</w:t>
      </w:r>
      <w:proofErr w:type="spellStart"/>
      <w:r>
        <w:t>dca</w:t>
      </w:r>
      <w:proofErr w:type="spellEnd"/>
      <w:r>
        <w:t>" xml:lang="</w:t>
      </w:r>
      <w:proofErr w:type="spellStart"/>
      <w:r>
        <w:t>en</w:t>
      </w:r>
      <w:proofErr w:type="spellEnd"/>
      <w:r>
        <w:t xml:space="preserve">" </w:t>
      </w:r>
      <w:proofErr w:type="spellStart"/>
      <w:r w:rsidRPr="000C3B26">
        <w:rPr>
          <w:color w:val="FF0000"/>
        </w:rPr>
        <w:t>xmlns</w:t>
      </w:r>
      <w:proofErr w:type="spellEnd"/>
      <w:r w:rsidRPr="000C3B26">
        <w:rPr>
          <w:color w:val="FF0000"/>
        </w:rPr>
        <w:t>="</w:t>
      </w:r>
      <w:bookmarkStart w:id="7" w:name="_Hlk500855345"/>
      <w:r w:rsidRPr="000C3B26">
        <w:rPr>
          <w:color w:val="FF0000"/>
        </w:rPr>
        <w:t>urn:iso:std:iso:30042:ed:3.0</w:t>
      </w:r>
      <w:bookmarkEnd w:id="7"/>
      <w:r w:rsidRPr="000C3B26">
        <w:rPr>
          <w:color w:val="FF0000"/>
        </w:rPr>
        <w:t>"</w:t>
      </w:r>
      <w:r>
        <w:t>&gt;</w:t>
      </w:r>
    </w:p>
    <w:p w14:paraId="14D33457" w14:textId="128EE2B6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The root start-tag </w:t>
      </w:r>
      <w:r w:rsidR="00147E46">
        <w:t>must</w:t>
      </w:r>
      <w:r>
        <w:t xml:space="preserve"> contain a @type attribute, the value of which </w:t>
      </w:r>
      <w:r w:rsidR="00147E46">
        <w:t>must</w:t>
      </w:r>
      <w:r>
        <w:t xml:space="preserve"> be “TBX-Basic”</w:t>
      </w:r>
      <w:r w:rsidR="00A149C4">
        <w:t xml:space="preserve"> (case-sensitive)</w:t>
      </w:r>
      <w:r>
        <w:t>.</w:t>
      </w:r>
    </w:p>
    <w:p w14:paraId="058BB6E4" w14:textId="77777777" w:rsidR="00286E4B" w:rsidRDefault="00286E4B" w:rsidP="00286E4B">
      <w:pPr>
        <w:pStyle w:val="ListParagraph"/>
        <w:numPr>
          <w:ilvl w:val="1"/>
          <w:numId w:val="2"/>
        </w:numPr>
      </w:pPr>
      <w:r>
        <w:t xml:space="preserve">Example: </w:t>
      </w:r>
    </w:p>
    <w:p w14:paraId="5BF3EEAA" w14:textId="77777777" w:rsidR="00286E4B" w:rsidRDefault="00286E4B" w:rsidP="00286E4B">
      <w:pPr>
        <w:pStyle w:val="ListParagraph"/>
        <w:ind w:left="1440"/>
      </w:pPr>
      <w:r>
        <w:t>&lt;</w:t>
      </w:r>
      <w:proofErr w:type="spellStart"/>
      <w:r>
        <w:t>tbx</w:t>
      </w:r>
      <w:proofErr w:type="spellEnd"/>
      <w:r>
        <w:t xml:space="preserve"> </w:t>
      </w:r>
      <w:r w:rsidRPr="008B0658">
        <w:rPr>
          <w:color w:val="FF0000"/>
        </w:rPr>
        <w:t xml:space="preserve">type="TBX-Basic" </w:t>
      </w:r>
      <w:r>
        <w:t>style="</w:t>
      </w:r>
      <w:proofErr w:type="spellStart"/>
      <w:r>
        <w:t>dca</w:t>
      </w:r>
      <w:proofErr w:type="spellEnd"/>
      <w:r>
        <w:t>" xml:lang="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="urn:iso:std:iso:30042:ed:3.0"&gt;</w:t>
      </w:r>
    </w:p>
    <w:p w14:paraId="3817E58C" w14:textId="31189E6C" w:rsidR="00286E4B" w:rsidRDefault="00286E4B" w:rsidP="00286E4B">
      <w:pPr>
        <w:pStyle w:val="ListParagraph"/>
        <w:numPr>
          <w:ilvl w:val="0"/>
          <w:numId w:val="2"/>
        </w:numPr>
      </w:pPr>
      <w:r>
        <w:lastRenderedPageBreak/>
        <w:t xml:space="preserve">The root start-tag </w:t>
      </w:r>
      <w:r w:rsidR="00147E46">
        <w:t>must</w:t>
      </w:r>
      <w:r>
        <w:t xml:space="preserve"> contain a @style attribute, the value of which </w:t>
      </w:r>
      <w:r w:rsidR="00B44654">
        <w:t>must</w:t>
      </w:r>
      <w:r>
        <w:t xml:space="preserve"> be either “</w:t>
      </w:r>
      <w:proofErr w:type="spellStart"/>
      <w:r>
        <w:t>dca</w:t>
      </w:r>
      <w:proofErr w:type="spellEnd"/>
      <w:r>
        <w:t>” or “</w:t>
      </w:r>
      <w:proofErr w:type="spellStart"/>
      <w:r>
        <w:t>dct</w:t>
      </w:r>
      <w:proofErr w:type="spellEnd"/>
      <w:r>
        <w:t>”</w:t>
      </w:r>
      <w:r w:rsidR="00A149C4">
        <w:t xml:space="preserve"> (case-sensitive)</w:t>
      </w:r>
      <w:r w:rsidR="00A052D7">
        <w:t xml:space="preserve">. </w:t>
      </w:r>
      <w:r w:rsidR="00B24685">
        <w:t>The next step of validation depends on the claimed style of TBX.</w:t>
      </w:r>
    </w:p>
    <w:p w14:paraId="07CDF405" w14:textId="77777777" w:rsidR="00DC15B3" w:rsidRDefault="00DC15B3" w:rsidP="00DC15B3">
      <w:pPr>
        <w:pStyle w:val="ListParagraph"/>
        <w:numPr>
          <w:ilvl w:val="1"/>
          <w:numId w:val="2"/>
        </w:numPr>
      </w:pPr>
      <w:r>
        <w:t>Example:</w:t>
      </w:r>
    </w:p>
    <w:p w14:paraId="32DD173D" w14:textId="6D42EC60" w:rsidR="00797223" w:rsidRDefault="00DC15B3" w:rsidP="00797223">
      <w:pPr>
        <w:pStyle w:val="ListParagraph"/>
        <w:ind w:left="1440"/>
      </w:pPr>
      <w:r>
        <w:t>&lt;</w:t>
      </w:r>
      <w:proofErr w:type="spellStart"/>
      <w:r>
        <w:t>tbx</w:t>
      </w:r>
      <w:proofErr w:type="spellEnd"/>
      <w:r>
        <w:t xml:space="preserve"> </w:t>
      </w:r>
      <w:r w:rsidRPr="00DC15B3">
        <w:rPr>
          <w:color w:val="000000" w:themeColor="text1"/>
        </w:rPr>
        <w:t xml:space="preserve">type="TBX-Basic" </w:t>
      </w:r>
      <w:r w:rsidRPr="00DC15B3">
        <w:rPr>
          <w:color w:val="FF0000"/>
        </w:rPr>
        <w:t>style="</w:t>
      </w:r>
      <w:proofErr w:type="spellStart"/>
      <w:r w:rsidRPr="00DC15B3">
        <w:rPr>
          <w:color w:val="FF0000"/>
        </w:rPr>
        <w:t>dca</w:t>
      </w:r>
      <w:proofErr w:type="spellEnd"/>
      <w:r w:rsidRPr="00DC15B3">
        <w:rPr>
          <w:color w:val="FF0000"/>
        </w:rPr>
        <w:t xml:space="preserve">" </w:t>
      </w:r>
      <w:r>
        <w:t>xml:lang="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="urn:iso:std:iso:30042:ed:3.0"&gt;</w:t>
      </w:r>
    </w:p>
    <w:p w14:paraId="2AF0B007" w14:textId="63A791EF" w:rsidR="00797223" w:rsidRDefault="00337EFD" w:rsidP="00797223">
      <w:pPr>
        <w:pStyle w:val="ListParagraph"/>
        <w:numPr>
          <w:ilvl w:val="0"/>
          <w:numId w:val="2"/>
        </w:numPr>
      </w:pPr>
      <w:r>
        <w:t>Use</w:t>
      </w:r>
      <w:r w:rsidR="00797223">
        <w:t xml:space="preserve"> TBXinfo.net or the </w:t>
      </w:r>
      <w:hyperlink w:anchor="_Validation_API" w:history="1">
        <w:r w:rsidR="00797223" w:rsidRPr="00640422">
          <w:rPr>
            <w:rStyle w:val="Hyperlink"/>
          </w:rPr>
          <w:t>Validation API</w:t>
        </w:r>
      </w:hyperlink>
      <w:r w:rsidR="00797223">
        <w:t xml:space="preserve"> to find out which mod</w:t>
      </w:r>
      <w:r>
        <w:t xml:space="preserve">ules are included in TBX-Basic.  As mentioned earlier, these are: </w:t>
      </w:r>
      <w:r w:rsidR="00797223">
        <w:t>Core, Min, and Basic.</w:t>
      </w:r>
    </w:p>
    <w:p w14:paraId="6E9DC3DF" w14:textId="5AFBEED3" w:rsidR="00797223" w:rsidRDefault="00797223" w:rsidP="00797223">
      <w:pPr>
        <w:pStyle w:val="ListParagraph"/>
        <w:numPr>
          <w:ilvl w:val="1"/>
          <w:numId w:val="12"/>
        </w:numPr>
      </w:pPr>
      <w:r>
        <w:t>Data categories which are not included by these 3 modules must not be present</w:t>
      </w:r>
      <w:r>
        <w:t xml:space="preserve"> in the </w:t>
      </w:r>
      <w:r>
        <w:rPr>
          <w:i/>
          <w:iCs/>
        </w:rPr>
        <w:t>candidate</w:t>
      </w:r>
      <w:r>
        <w:t>.</w:t>
      </w:r>
    </w:p>
    <w:p w14:paraId="3B731B1B" w14:textId="74083CA7" w:rsidR="00797223" w:rsidRDefault="00797223" w:rsidP="00797223">
      <w:pPr>
        <w:pStyle w:val="ListParagraph"/>
        <w:numPr>
          <w:ilvl w:val="1"/>
          <w:numId w:val="12"/>
        </w:numPr>
      </w:pPr>
      <w:r>
        <w:t xml:space="preserve">Content of each data category must agree with the permitted values as described by these modules. Ex: </w:t>
      </w:r>
      <w:r>
        <w:t>/</w:t>
      </w:r>
      <w:proofErr w:type="spellStart"/>
      <w:r>
        <w:t>partOfSpeech</w:t>
      </w:r>
      <w:proofErr w:type="spellEnd"/>
      <w:r>
        <w:t>/ cannot have a value of “preposition”</w:t>
      </w:r>
      <w:r w:rsidR="00337EFD">
        <w:t xml:space="preserve"> (as defined in the Min module)</w:t>
      </w:r>
      <w:r>
        <w:t>.</w:t>
      </w:r>
    </w:p>
    <w:p w14:paraId="34E79E73" w14:textId="24ED33DA" w:rsidR="00643143" w:rsidRPr="00D6536D" w:rsidRDefault="00D6536D" w:rsidP="00D6536D">
      <w:r>
        <w:t>The next steps will depend on the style of the TBX document, whether it is DCA or DCT.</w:t>
      </w:r>
    </w:p>
    <w:p w14:paraId="0A51EE0A" w14:textId="56229BB6" w:rsidR="008E4170" w:rsidRDefault="0068138F" w:rsidP="008E4170">
      <w:pPr>
        <w:pStyle w:val="Heading3"/>
      </w:pPr>
      <w:bookmarkStart w:id="8" w:name="_Toc500859817"/>
      <w:r>
        <w:t>Validation Continued (DCA):</w:t>
      </w:r>
      <w:bookmarkEnd w:id="8"/>
    </w:p>
    <w:p w14:paraId="3A25746F" w14:textId="1068BE81" w:rsidR="00522FB7" w:rsidRDefault="00522FB7" w:rsidP="00797223">
      <w:pPr>
        <w:pStyle w:val="ListParagraph"/>
        <w:numPr>
          <w:ilvl w:val="0"/>
          <w:numId w:val="2"/>
        </w:numPr>
      </w:pPr>
      <w:r>
        <w:t xml:space="preserve">There </w:t>
      </w:r>
      <w:r w:rsidR="00D6382A">
        <w:t>can</w:t>
      </w:r>
      <w:r>
        <w:t xml:space="preserve"> be no elements from namespaces other than that of the Core module in TBX-Basic DCA style.</w:t>
      </w:r>
    </w:p>
    <w:p w14:paraId="5A652469" w14:textId="73D8F624" w:rsidR="00522FB7" w:rsidRDefault="00522FB7" w:rsidP="00797223">
      <w:pPr>
        <w:pStyle w:val="ListParagraph"/>
        <w:numPr>
          <w:ilvl w:val="0"/>
          <w:numId w:val="2"/>
        </w:numPr>
      </w:pPr>
      <w:r>
        <w:t>DCT style elements must not be present in a DCA style document instance.</w:t>
      </w:r>
    </w:p>
    <w:p w14:paraId="041C27A8" w14:textId="520317C6" w:rsidR="00514D11" w:rsidRDefault="00514D11" w:rsidP="00514D11">
      <w:pPr>
        <w:pStyle w:val="Heading3"/>
      </w:pPr>
      <w:bookmarkStart w:id="9" w:name="_Toc500859818"/>
      <w:r>
        <w:t>Validation Continued (DCT):</w:t>
      </w:r>
      <w:bookmarkEnd w:id="9"/>
    </w:p>
    <w:p w14:paraId="59C8D2F9" w14:textId="05A88261" w:rsidR="00514D11" w:rsidRDefault="00514D11" w:rsidP="00797223">
      <w:pPr>
        <w:pStyle w:val="ListParagraph"/>
        <w:numPr>
          <w:ilvl w:val="0"/>
          <w:numId w:val="13"/>
        </w:numPr>
      </w:pPr>
      <w:r>
        <w:t>There can be no elements from namespaces other than that of the following modules in TBX-Basic DCT style: Core, Min, and Basic.</w:t>
      </w:r>
    </w:p>
    <w:p w14:paraId="5BB3F1B3" w14:textId="07837920" w:rsidR="00514D11" w:rsidRPr="00514D11" w:rsidRDefault="00514D11" w:rsidP="00797223">
      <w:pPr>
        <w:pStyle w:val="ListParagraph"/>
        <w:numPr>
          <w:ilvl w:val="0"/>
          <w:numId w:val="13"/>
        </w:numPr>
      </w:pPr>
      <w:r>
        <w:t>DCA style data categories must not be present in a DCT style document instance.</w:t>
      </w:r>
    </w:p>
    <w:p w14:paraId="2F2CCC0C" w14:textId="238FE0A8" w:rsidR="008E4170" w:rsidRDefault="008E4170" w:rsidP="008E4170"/>
    <w:p w14:paraId="61AA5975" w14:textId="77777777" w:rsidR="00641B01" w:rsidRPr="008E4170" w:rsidRDefault="00641B01" w:rsidP="008E4170"/>
    <w:p w14:paraId="6BD211CD" w14:textId="6BE335D8" w:rsidR="008E4170" w:rsidRDefault="00337EFD" w:rsidP="00640422">
      <w:pPr>
        <w:pStyle w:val="Heading2"/>
      </w:pPr>
      <w:bookmarkStart w:id="10" w:name="_Toc500859819"/>
      <w:r>
        <w:t>Validation via S</w:t>
      </w:r>
      <w:r w:rsidR="00640422">
        <w:t>chema</w:t>
      </w:r>
      <w:bookmarkEnd w:id="10"/>
    </w:p>
    <w:p w14:paraId="53E97F91" w14:textId="04892C7A" w:rsidR="00640422" w:rsidRDefault="00BD6A4E" w:rsidP="00BD6A4E">
      <w:r>
        <w:t>T</w:t>
      </w:r>
      <w:r>
        <w:t xml:space="preserve">he schemas discussed below can be used to </w:t>
      </w:r>
      <w:r>
        <w:t>address all the above steps with</w:t>
      </w:r>
      <w:r w:rsidR="00640422">
        <w:t xml:space="preserve"> any off-the-shelf XML vali</w:t>
      </w:r>
      <w:r w:rsidR="00FB6087">
        <w:t xml:space="preserve">dator that supports the </w:t>
      </w:r>
      <w:proofErr w:type="spellStart"/>
      <w:r w:rsidR="00FB6087">
        <w:t>RelaxNG</w:t>
      </w:r>
      <w:proofErr w:type="spellEnd"/>
      <w:r w:rsidR="00E70199">
        <w:t xml:space="preserve"> (RNG)</w:t>
      </w:r>
      <w:r w:rsidR="00FB6087">
        <w:t xml:space="preserve">, </w:t>
      </w:r>
      <w:proofErr w:type="spellStart"/>
      <w:r w:rsidR="00640422">
        <w:t>Schematron</w:t>
      </w:r>
      <w:proofErr w:type="spellEnd"/>
      <w:r w:rsidR="00E70199">
        <w:t xml:space="preserve"> (SCH)</w:t>
      </w:r>
      <w:r w:rsidR="00FB6087">
        <w:t>, and (for DCT) NVDL</w:t>
      </w:r>
      <w:r w:rsidR="00640422">
        <w:t xml:space="preserve"> languages (or whatever languages your equi</w:t>
      </w:r>
      <w:r w:rsidR="00337EFD">
        <w:t>valent schemas are written in).  If you are not using these schemas, but are using equivalents, and a discrepancy should arise, the schemas here shall be considered authoritative.</w:t>
      </w:r>
    </w:p>
    <w:p w14:paraId="200A4ECB" w14:textId="38883C57" w:rsidR="00A638D6" w:rsidRPr="008E36FA" w:rsidRDefault="00A638D6" w:rsidP="00A638D6">
      <w:pPr>
        <w:rPr>
          <w:rStyle w:val="Strong"/>
        </w:rPr>
      </w:pPr>
      <w:r>
        <w:rPr>
          <w:rStyle w:val="Strong"/>
        </w:rPr>
        <w:t xml:space="preserve">IMPORTANT NOTE:  In practice (in software such as </w:t>
      </w:r>
      <w:commentRangeStart w:id="11"/>
      <w:r>
        <w:rPr>
          <w:rStyle w:val="Strong"/>
        </w:rPr>
        <w:t>Oxygen</w:t>
      </w:r>
      <w:commentRangeEnd w:id="11"/>
      <w:r>
        <w:rPr>
          <w:rStyle w:val="CommentReference"/>
        </w:rPr>
        <w:commentReference w:id="11"/>
      </w:r>
      <w:r>
        <w:rPr>
          <w:rStyle w:val="Strong"/>
        </w:rPr>
        <w:t>), it is possible to simply point to the URL of these schemas (as found in the footnotes) directly from a TBX file, bypassing the need for a local file entirely</w:t>
      </w:r>
      <w:r w:rsidR="00BD6A4E">
        <w:rPr>
          <w:rStyle w:val="Strong"/>
        </w:rPr>
        <w:t xml:space="preserve">. </w:t>
      </w:r>
      <w:r>
        <w:rPr>
          <w:rStyle w:val="Strong"/>
        </w:rPr>
        <w:t>For DCT, it is only necessary point to the NVDL schema, as it ties the other DCT schemas together.</w:t>
      </w:r>
      <w:r w:rsidR="00337EFD">
        <w:rPr>
          <w:rStyle w:val="Strong"/>
        </w:rPr>
        <w:t xml:space="preserve">  If validation performance is slower than expected, downloading these schemas and pointing to them locally may be preferable.</w:t>
      </w:r>
    </w:p>
    <w:p w14:paraId="1298B07E" w14:textId="7C97C582" w:rsidR="00641B01" w:rsidRDefault="00A638D6" w:rsidP="00641B01">
      <w:pPr>
        <w:rPr>
          <w:b/>
          <w:bCs/>
        </w:rPr>
      </w:pPr>
      <w:r w:rsidRPr="00643143">
        <w:rPr>
          <w:b/>
          <w:bCs/>
        </w:rPr>
        <w:t xml:space="preserve">Note: </w:t>
      </w:r>
      <w:r>
        <w:rPr>
          <w:b/>
          <w:bCs/>
        </w:rPr>
        <w:t>F</w:t>
      </w:r>
      <w:r w:rsidRPr="00643143">
        <w:rPr>
          <w:b/>
          <w:bCs/>
        </w:rPr>
        <w:t xml:space="preserve">or some validation applications, such as a tool which helps design a TBX dialect, it is </w:t>
      </w:r>
      <w:r>
        <w:rPr>
          <w:b/>
          <w:bCs/>
        </w:rPr>
        <w:t xml:space="preserve">permissible to use the RNG for the Core module (see </w:t>
      </w:r>
      <w:hyperlink w:anchor="_Schemas_Needed_for" w:history="1">
        <w:r w:rsidR="00337EFD">
          <w:rPr>
            <w:rStyle w:val="Hyperlink"/>
          </w:rPr>
          <w:t>Schemas Needed for DCT style TBX</w:t>
        </w:r>
      </w:hyperlink>
      <w:r>
        <w:rPr>
          <w:b/>
          <w:bCs/>
        </w:rPr>
        <w:t xml:space="preserve"> for link) for partial validation</w:t>
      </w:r>
      <w:r w:rsidR="00BD6A4E">
        <w:rPr>
          <w:b/>
          <w:bCs/>
        </w:rPr>
        <w:t xml:space="preserve">. </w:t>
      </w:r>
      <w:r>
        <w:rPr>
          <w:b/>
          <w:bCs/>
        </w:rPr>
        <w:t xml:space="preserve"> It will show whether a TBX file adheres to the core structure of TBX</w:t>
      </w:r>
      <w:r w:rsidR="00BD6A4E">
        <w:rPr>
          <w:b/>
          <w:bCs/>
        </w:rPr>
        <w:t xml:space="preserve">. </w:t>
      </w:r>
      <w:r>
        <w:rPr>
          <w:b/>
          <w:bCs/>
        </w:rPr>
        <w:t>However, this partial validation is NOT considered acceptable for Import/Export routines or any other validation routine which needs to validate a specific instance of a TBX dialect.</w:t>
      </w:r>
    </w:p>
    <w:p w14:paraId="658111AC" w14:textId="77777777" w:rsidR="00641B01" w:rsidRPr="00641B01" w:rsidRDefault="00641B01" w:rsidP="00641B01">
      <w:pPr>
        <w:rPr>
          <w:b/>
          <w:bCs/>
        </w:rPr>
      </w:pPr>
    </w:p>
    <w:p w14:paraId="0BF3028E" w14:textId="7C7025F2" w:rsidR="00640422" w:rsidRPr="008E4170" w:rsidRDefault="00640422" w:rsidP="00337EFD">
      <w:pPr>
        <w:pStyle w:val="Heading3"/>
      </w:pPr>
      <w:bookmarkStart w:id="12" w:name="_Toc500859820"/>
      <w:r>
        <w:lastRenderedPageBreak/>
        <w:t>Schemas Needed</w:t>
      </w:r>
      <w:r w:rsidR="00337EFD">
        <w:t xml:space="preserve"> for DCA style TBX</w:t>
      </w:r>
      <w:bookmarkEnd w:id="12"/>
    </w:p>
    <w:p w14:paraId="04B5B165" w14:textId="77777777" w:rsidR="00640422" w:rsidRDefault="00640422" w:rsidP="00640422">
      <w:r>
        <w:t>The following resources are needed to validate a TBX-Basic file of DCA style:</w:t>
      </w:r>
    </w:p>
    <w:p w14:paraId="49631ED2" w14:textId="73711154" w:rsidR="00640422" w:rsidRDefault="00640422" w:rsidP="00640422">
      <w:pPr>
        <w:pStyle w:val="ListParagraph"/>
        <w:numPr>
          <w:ilvl w:val="0"/>
          <w:numId w:val="3"/>
        </w:numPr>
      </w:pPr>
      <w:r>
        <w:t xml:space="preserve">TBX-Basic integrated </w:t>
      </w:r>
      <w:r w:rsidR="00E70199">
        <w:t>RNG</w:t>
      </w:r>
      <w:r>
        <w:t xml:space="preserve"> (or equivalent).</w:t>
      </w:r>
      <w:r>
        <w:rPr>
          <w:rStyle w:val="FootnoteReference"/>
        </w:rPr>
        <w:footnoteReference w:id="3"/>
      </w:r>
    </w:p>
    <w:p w14:paraId="7AA241CA" w14:textId="1FC65D35" w:rsidR="00640422" w:rsidRDefault="00640422" w:rsidP="00640422">
      <w:pPr>
        <w:pStyle w:val="ListParagraph"/>
        <w:numPr>
          <w:ilvl w:val="1"/>
          <w:numId w:val="3"/>
        </w:numPr>
      </w:pPr>
      <w:r>
        <w:t xml:space="preserve">The TBX-Basic </w:t>
      </w:r>
      <w:proofErr w:type="spellStart"/>
      <w:r>
        <w:t>RelaxNG</w:t>
      </w:r>
      <w:proofErr w:type="spellEnd"/>
      <w:r>
        <w:t xml:space="preserve"> schema, found on TBXinfo.net</w:t>
      </w:r>
      <w:r w:rsidR="00337EFD">
        <w:t xml:space="preserve"> </w:t>
      </w:r>
      <w:r>
        <w:t xml:space="preserve">is a modified version of the </w:t>
      </w:r>
      <w:r w:rsidR="002F737F">
        <w:t>Core module</w:t>
      </w:r>
      <w:r>
        <w:t xml:space="preserve"> </w:t>
      </w:r>
      <w:proofErr w:type="spellStart"/>
      <w:r>
        <w:t>RelaxNG</w:t>
      </w:r>
      <w:proofErr w:type="spellEnd"/>
      <w:r>
        <w:t xml:space="preserve"> schema (see DCT section for link)</w:t>
      </w:r>
      <w:r w:rsidR="00BD6A4E">
        <w:t xml:space="preserve">. </w:t>
      </w:r>
      <w:r>
        <w:t xml:space="preserve"> Using existing extension points which are shown on TBXinfo.net, the core schema was modified for use by TBX-Basic files.</w:t>
      </w:r>
    </w:p>
    <w:p w14:paraId="45348C31" w14:textId="70CF17A4" w:rsidR="00640422" w:rsidRPr="00640422" w:rsidRDefault="00640422" w:rsidP="00640422">
      <w:pPr>
        <w:pStyle w:val="ListParagraph"/>
        <w:numPr>
          <w:ilvl w:val="0"/>
          <w:numId w:val="3"/>
        </w:numPr>
      </w:pPr>
      <w:r>
        <w:t xml:space="preserve">TBX-Basic DCA style </w:t>
      </w:r>
      <w:r w:rsidR="00E70199">
        <w:t>SCH</w:t>
      </w:r>
      <w:r>
        <w:t xml:space="preserve"> (or equivalent).</w:t>
      </w:r>
      <w:r>
        <w:rPr>
          <w:rStyle w:val="FootnoteReference"/>
        </w:rPr>
        <w:footnoteReference w:id="4"/>
      </w:r>
    </w:p>
    <w:p w14:paraId="4A143FC6" w14:textId="0B81C05B" w:rsidR="000C3B26" w:rsidRDefault="007F7C5C" w:rsidP="00640422">
      <w:pPr>
        <w:pStyle w:val="Heading3"/>
      </w:pPr>
      <w:bookmarkStart w:id="13" w:name="_Schemas_for_DCT"/>
      <w:bookmarkStart w:id="14" w:name="_Schemas_Needed_for"/>
      <w:bookmarkStart w:id="15" w:name="_Toc500859821"/>
      <w:bookmarkEnd w:id="13"/>
      <w:bookmarkEnd w:id="14"/>
      <w:r>
        <w:t xml:space="preserve">Schemas </w:t>
      </w:r>
      <w:r w:rsidR="00337EFD">
        <w:t xml:space="preserve">Needed </w:t>
      </w:r>
      <w:r>
        <w:t>for</w:t>
      </w:r>
      <w:r w:rsidR="000C3B26">
        <w:t xml:space="preserve"> DCT style TBX</w:t>
      </w:r>
      <w:bookmarkEnd w:id="15"/>
    </w:p>
    <w:p w14:paraId="05DF7835" w14:textId="77777777" w:rsidR="000C3B26" w:rsidRDefault="000C3B26" w:rsidP="000C3B26">
      <w:r>
        <w:t>The following resources are needed to validate a TBX-Basic file of DCT Style:</w:t>
      </w:r>
    </w:p>
    <w:p w14:paraId="69134498" w14:textId="58969DCE" w:rsidR="000C3B26" w:rsidRDefault="00643143" w:rsidP="000C3B26">
      <w:pPr>
        <w:pStyle w:val="ListParagraph"/>
        <w:numPr>
          <w:ilvl w:val="0"/>
          <w:numId w:val="3"/>
        </w:numPr>
      </w:pPr>
      <w:r>
        <w:t>C</w:t>
      </w:r>
      <w:r w:rsidR="005B71E8">
        <w:t>ore</w:t>
      </w:r>
      <w:r w:rsidR="001610E0">
        <w:t xml:space="preserve"> </w:t>
      </w:r>
      <w:r w:rsidR="00FB6087">
        <w:t>m</w:t>
      </w:r>
      <w:r>
        <w:t xml:space="preserve">odule </w:t>
      </w:r>
      <w:r w:rsidR="001610E0">
        <w:t>RNG (or equivalent)</w:t>
      </w:r>
      <w:r w:rsidR="00663C72" w:rsidRPr="00663C72">
        <w:rPr>
          <w:rStyle w:val="FootnoteReference"/>
        </w:rPr>
        <w:t xml:space="preserve"> </w:t>
      </w:r>
      <w:r w:rsidR="00663C72">
        <w:rPr>
          <w:rStyle w:val="FootnoteReference"/>
        </w:rPr>
        <w:footnoteReference w:id="5"/>
      </w:r>
    </w:p>
    <w:p w14:paraId="233B7607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t>Min module RNG (or equivalent)</w:t>
      </w:r>
      <w:r>
        <w:rPr>
          <w:rStyle w:val="FootnoteReference"/>
        </w:rPr>
        <w:footnoteReference w:id="6"/>
      </w:r>
    </w:p>
    <w:p w14:paraId="3B2BB938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t>Min module SCH (or equivalent)</w:t>
      </w:r>
      <w:r>
        <w:rPr>
          <w:rStyle w:val="FootnoteReference"/>
        </w:rPr>
        <w:footnoteReference w:id="7"/>
      </w:r>
    </w:p>
    <w:p w14:paraId="176D688C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t>Basic module RNG (or equivalent)</w:t>
      </w:r>
      <w:r>
        <w:rPr>
          <w:rStyle w:val="FootnoteReference"/>
        </w:rPr>
        <w:footnoteReference w:id="8"/>
      </w:r>
    </w:p>
    <w:p w14:paraId="5B50761C" w14:textId="77777777" w:rsidR="00663C72" w:rsidRDefault="00663C72" w:rsidP="00663C72">
      <w:pPr>
        <w:pStyle w:val="ListParagraph"/>
        <w:numPr>
          <w:ilvl w:val="0"/>
          <w:numId w:val="3"/>
        </w:numPr>
      </w:pPr>
      <w:r>
        <w:t>Basic module SCH (or equivalent)</w:t>
      </w:r>
      <w:r>
        <w:rPr>
          <w:rStyle w:val="FootnoteReference"/>
        </w:rPr>
        <w:footnoteReference w:id="9"/>
      </w:r>
    </w:p>
    <w:p w14:paraId="38CFF34E" w14:textId="4748AFF5" w:rsidR="00663C72" w:rsidRDefault="00663C72" w:rsidP="000C3B26">
      <w:pPr>
        <w:pStyle w:val="ListParagraph"/>
        <w:numPr>
          <w:ilvl w:val="0"/>
          <w:numId w:val="3"/>
        </w:numPr>
      </w:pPr>
      <w:r>
        <w:t xml:space="preserve">TBX-Basic DCT style </w:t>
      </w:r>
      <w:r w:rsidR="00E70199">
        <w:t>SCH</w:t>
      </w:r>
      <w:r>
        <w:t xml:space="preserve"> (or equivalent)</w:t>
      </w:r>
      <w:r>
        <w:rPr>
          <w:rStyle w:val="FootnoteReference"/>
        </w:rPr>
        <w:footnoteReference w:id="10"/>
      </w:r>
    </w:p>
    <w:p w14:paraId="1CB5B6BA" w14:textId="57AC6594" w:rsidR="00663C72" w:rsidRDefault="00663C72" w:rsidP="000C3B26">
      <w:pPr>
        <w:pStyle w:val="ListParagraph"/>
        <w:numPr>
          <w:ilvl w:val="0"/>
          <w:numId w:val="3"/>
        </w:numPr>
      </w:pPr>
      <w:r>
        <w:t>TBX-Basic NVDL (or equivalent)</w:t>
      </w:r>
      <w:r>
        <w:rPr>
          <w:rStyle w:val="FootnoteReference"/>
        </w:rPr>
        <w:footnoteReference w:id="11"/>
      </w:r>
    </w:p>
    <w:p w14:paraId="022FCAAD" w14:textId="77777777" w:rsidR="00D36A0A" w:rsidRDefault="00D36A0A" w:rsidP="00D36A0A">
      <w:pPr>
        <w:pStyle w:val="Heading2"/>
      </w:pPr>
      <w:bookmarkStart w:id="16" w:name="_Validation_API"/>
      <w:bookmarkStart w:id="17" w:name="_Toc500859822"/>
      <w:bookmarkEnd w:id="16"/>
      <w:r>
        <w:t>Validation API</w:t>
      </w:r>
      <w:bookmarkEnd w:id="17"/>
    </w:p>
    <w:p w14:paraId="19C4F083" w14:textId="7DDAC75F" w:rsidR="00D34A23" w:rsidRDefault="00D36A0A" w:rsidP="00B01B09">
      <w:r>
        <w:t xml:space="preserve">A simple TBX validation RESTful API has been created and can be accessed at </w:t>
      </w:r>
      <w:hyperlink r:id="rId13" w:history="1">
        <w:r w:rsidRPr="00DB219B">
          <w:rPr>
            <w:rStyle w:val="Hyperlink"/>
          </w:rPr>
          <w:t>http://validate.tbxinfo.net/</w:t>
        </w:r>
      </w:hyperlink>
      <w:r w:rsidR="00BD6A4E">
        <w:t xml:space="preserve">. </w:t>
      </w:r>
      <w:r>
        <w:t xml:space="preserve">It can be used to programmatically get </w:t>
      </w:r>
      <w:r w:rsidR="00D14347">
        <w:t>the absolute URLs</w:t>
      </w:r>
      <w:r>
        <w:t xml:space="preserve"> to the various schemas</w:t>
      </w:r>
      <w:r w:rsidR="00D14347">
        <w:t xml:space="preserve"> of dialects and modules</w:t>
      </w:r>
      <w:r>
        <w:t>, which can then be downloaded and parsed (or pointed to directly)</w:t>
      </w:r>
      <w:r w:rsidR="00BD6A4E">
        <w:t xml:space="preserve">. </w:t>
      </w:r>
      <w:r w:rsidR="00D14347">
        <w:t>It can also be used to get a list of available modules, or the list of modules which are used to define a dialect</w:t>
      </w:r>
      <w:r w:rsidR="00BD6A4E">
        <w:t xml:space="preserve">. </w:t>
      </w:r>
      <w:r>
        <w:t>The response from the API is in JSON format</w:t>
      </w:r>
      <w:r w:rsidR="00BD6A4E">
        <w:t xml:space="preserve">. </w:t>
      </w:r>
      <w:r w:rsidR="00DB5B23">
        <w:t xml:space="preserve">See </w:t>
      </w:r>
      <w:hyperlink w:anchor="_Appendix_I:_API" w:history="1">
        <w:r w:rsidR="00DB5B23" w:rsidRPr="00DB5B23">
          <w:rPr>
            <w:rStyle w:val="Hyperlink"/>
          </w:rPr>
          <w:t>Appendix I: API Example for TBX-Basic</w:t>
        </w:r>
      </w:hyperlink>
      <w:r w:rsidR="00DB5B23">
        <w:t xml:space="preserve"> for a look at example output from the API along with instructions o</w:t>
      </w:r>
      <w:r w:rsidR="00B87F0A">
        <w:t>n how to use the JSON response.</w:t>
      </w:r>
    </w:p>
    <w:p w14:paraId="09352466" w14:textId="567320FA" w:rsidR="007F7C5C" w:rsidRDefault="007F7C5C" w:rsidP="007F7C5C">
      <w:pPr>
        <w:pStyle w:val="Heading1"/>
      </w:pPr>
      <w:bookmarkStart w:id="18" w:name="_Toc500859823"/>
      <w:r>
        <w:t>Import</w:t>
      </w:r>
      <w:bookmarkEnd w:id="18"/>
    </w:p>
    <w:p w14:paraId="56C21447" w14:textId="3595FF62" w:rsidR="007F7C5C" w:rsidRDefault="007F7C5C" w:rsidP="007F7C5C">
      <w:r>
        <w:t>This section details the pro</w:t>
      </w:r>
      <w:r w:rsidR="00173166">
        <w:t>cess of importing a TBX file</w:t>
      </w:r>
      <w:r w:rsidR="00D34A23">
        <w:t xml:space="preserve">. </w:t>
      </w:r>
      <w:r w:rsidR="00D34A23" w:rsidRPr="00D34A23">
        <w:t>This guide does not cover how to deal with duplicate entries (</w:t>
      </w:r>
      <w:r w:rsidR="00D34A23">
        <w:rPr>
          <w:i/>
          <w:iCs/>
        </w:rPr>
        <w:t>i.e.</w:t>
      </w:r>
      <w:r w:rsidR="00D34A23">
        <w:t xml:space="preserve">, </w:t>
      </w:r>
      <w:r w:rsidR="00D34A23" w:rsidRPr="00D34A23">
        <w:t>same term as an entry already in the database, which may or may not designate the same concept as the existing entry).</w:t>
      </w:r>
    </w:p>
    <w:p w14:paraId="6E90BC9C" w14:textId="77777777" w:rsidR="00173166" w:rsidRDefault="00173166" w:rsidP="00173166">
      <w:pPr>
        <w:pStyle w:val="ListParagraph"/>
        <w:numPr>
          <w:ilvl w:val="0"/>
          <w:numId w:val="4"/>
        </w:numPr>
      </w:pPr>
      <w:r>
        <w:t xml:space="preserve">Validate the file to be imported according to the instructions from the </w:t>
      </w:r>
      <w:hyperlink w:anchor="_Validation" w:history="1">
        <w:r w:rsidRPr="00173166">
          <w:rPr>
            <w:rStyle w:val="Hyperlink"/>
          </w:rPr>
          <w:t>Validation</w:t>
        </w:r>
      </w:hyperlink>
      <w:r>
        <w:t xml:space="preserve"> section.</w:t>
      </w:r>
    </w:p>
    <w:p w14:paraId="41A09E30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 xml:space="preserve">If the file fails validation, it should be rejected. </w:t>
      </w:r>
    </w:p>
    <w:p w14:paraId="49E17878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Providing a report of some kind indicating the reason for failure is recommended.</w:t>
      </w:r>
    </w:p>
    <w:p w14:paraId="69D7760C" w14:textId="77777777" w:rsidR="00173166" w:rsidRDefault="00173166" w:rsidP="00173166">
      <w:pPr>
        <w:pStyle w:val="ListParagraph"/>
        <w:numPr>
          <w:ilvl w:val="0"/>
          <w:numId w:val="4"/>
        </w:numPr>
      </w:pPr>
      <w:r>
        <w:lastRenderedPageBreak/>
        <w:t xml:space="preserve">Using the </w:t>
      </w:r>
      <w:hyperlink w:anchor="_Validation_API" w:history="1">
        <w:r w:rsidRPr="00173166">
          <w:rPr>
            <w:rStyle w:val="Hyperlink"/>
          </w:rPr>
          <w:t>Validation API</w:t>
        </w:r>
      </w:hyperlink>
      <w:r w:rsidR="00636D18">
        <w:t xml:space="preserve"> or TBXinfo.net</w:t>
      </w:r>
      <w:r>
        <w:t>, retrieve the list of modules for the dialect of the file (TBX-Basic will be used here for demonstration).</w:t>
      </w:r>
    </w:p>
    <w:p w14:paraId="09D89E21" w14:textId="538F011B" w:rsidR="00173166" w:rsidRDefault="00173166" w:rsidP="00173166">
      <w:pPr>
        <w:pStyle w:val="ListParagraph"/>
        <w:numPr>
          <w:ilvl w:val="1"/>
          <w:numId w:val="4"/>
        </w:numPr>
      </w:pPr>
      <w:r>
        <w:t>Using either the prose definition, the RNG and SCH schemas (or equivalent), or the TBXMD file for each module, you can learn exactly which data categories to expect on import</w:t>
      </w:r>
      <w:r w:rsidR="00BD6A4E">
        <w:t xml:space="preserve">. </w:t>
      </w:r>
      <w:r>
        <w:t xml:space="preserve"> The TBXMD file would be the simplest to parse to learn this information</w:t>
      </w:r>
      <w:r w:rsidR="00BD6A4E">
        <w:t xml:space="preserve">. </w:t>
      </w:r>
      <w:r>
        <w:t xml:space="preserve">The description of the TBXMD </w:t>
      </w:r>
      <w:r w:rsidR="00636D18">
        <w:t>file can be found on the TBXinfo.net</w:t>
      </w:r>
      <w:r>
        <w:t>.</w:t>
      </w:r>
      <w:r>
        <w:rPr>
          <w:rStyle w:val="FootnoteReference"/>
        </w:rPr>
        <w:footnoteReference w:id="12"/>
      </w:r>
    </w:p>
    <w:p w14:paraId="5636FD74" w14:textId="77777777" w:rsidR="00636D18" w:rsidRDefault="00636D18" w:rsidP="00173166">
      <w:pPr>
        <w:pStyle w:val="ListParagraph"/>
        <w:numPr>
          <w:ilvl w:val="1"/>
          <w:numId w:val="4"/>
        </w:numPr>
      </w:pPr>
      <w:r>
        <w:t>For TBX-Basic these modules will be: Core, Min, and Basic.</w:t>
      </w:r>
    </w:p>
    <w:p w14:paraId="16A61E17" w14:textId="77777777" w:rsidR="00636D18" w:rsidRDefault="00636D18" w:rsidP="00636D18">
      <w:pPr>
        <w:pStyle w:val="ListParagraph"/>
        <w:numPr>
          <w:ilvl w:val="0"/>
          <w:numId w:val="4"/>
        </w:numPr>
      </w:pPr>
      <w:r>
        <w:t>If any module is unsupported by the importing software, you may:</w:t>
      </w:r>
    </w:p>
    <w:p w14:paraId="7DDD0EC0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omit them with a message that the data categories from said module are unsupported;</w:t>
      </w:r>
    </w:p>
    <w:p w14:paraId="248BD702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convert them to /note/ data categories via a converter.</w:t>
      </w:r>
    </w:p>
    <w:p w14:paraId="23C439ED" w14:textId="77777777" w:rsidR="00636D18" w:rsidRDefault="00636D18" w:rsidP="00636D18">
      <w:pPr>
        <w:pStyle w:val="ListParagraph"/>
        <w:numPr>
          <w:ilvl w:val="2"/>
          <w:numId w:val="4"/>
        </w:numPr>
      </w:pPr>
      <w:r>
        <w:t xml:space="preserve">It is recommended that the original data category name be preserved as a part of the note, so that conversion back to the appropriate data category at some future point is made possible. </w:t>
      </w:r>
    </w:p>
    <w:p w14:paraId="39EEF68A" w14:textId="280D02EA" w:rsidR="00636D18" w:rsidRDefault="00636D18" w:rsidP="00636D18">
      <w:pPr>
        <w:pStyle w:val="ListParagraph"/>
        <w:numPr>
          <w:ilvl w:val="0"/>
          <w:numId w:val="4"/>
        </w:numPr>
      </w:pPr>
      <w:r>
        <w:t xml:space="preserve">Any data categories from modules which are supported may be imported </w:t>
      </w:r>
      <w:r w:rsidR="00D34A23">
        <w:t xml:space="preserve">into the </w:t>
      </w:r>
      <w:proofErr w:type="spellStart"/>
      <w:r w:rsidR="00D34A23">
        <w:t>termbase</w:t>
      </w:r>
      <w:proofErr w:type="spellEnd"/>
      <w:r w:rsidR="00D34A23">
        <w:t xml:space="preserve"> </w:t>
      </w:r>
      <w:r>
        <w:t>normally.</w:t>
      </w:r>
    </w:p>
    <w:p w14:paraId="1F74E3E0" w14:textId="77777777" w:rsidR="00636D18" w:rsidRDefault="00636D18" w:rsidP="00636D18">
      <w:pPr>
        <w:pStyle w:val="Heading1"/>
      </w:pPr>
      <w:bookmarkStart w:id="19" w:name="_Toc500859824"/>
      <w:r>
        <w:t>Export</w:t>
      </w:r>
      <w:bookmarkEnd w:id="19"/>
    </w:p>
    <w:p w14:paraId="6256D6C0" w14:textId="2E09C65B" w:rsidR="00636D18" w:rsidRDefault="00636D18" w:rsidP="00636D18">
      <w:r>
        <w:t>This section details the process of exporting a file instance of a certain dialect (TBX-Basic in this case).</w:t>
      </w:r>
      <w:r w:rsidR="00D34A23">
        <w:t xml:space="preserve">  </w:t>
      </w:r>
    </w:p>
    <w:p w14:paraId="38795D71" w14:textId="623A15BB" w:rsidR="00636D18" w:rsidRDefault="00636D18" w:rsidP="00636D18">
      <w:pPr>
        <w:pStyle w:val="ListParagraph"/>
        <w:numPr>
          <w:ilvl w:val="0"/>
          <w:numId w:val="5"/>
        </w:numPr>
      </w:pPr>
      <w:r>
        <w:t>Select the dialect to which you will be exporting</w:t>
      </w:r>
      <w:r w:rsidR="00BD6A4E">
        <w:t xml:space="preserve">. </w:t>
      </w:r>
      <w:r>
        <w:t>(TBX-Basic)</w:t>
      </w:r>
    </w:p>
    <w:p w14:paraId="23027BCA" w14:textId="77777777" w:rsidR="00C77FFD" w:rsidRDefault="00C77FFD" w:rsidP="00C77FFD">
      <w:pPr>
        <w:pStyle w:val="ListParagraph"/>
        <w:numPr>
          <w:ilvl w:val="1"/>
          <w:numId w:val="5"/>
        </w:numPr>
      </w:pPr>
      <w:r>
        <w:rPr>
          <w:b/>
          <w:bCs/>
        </w:rPr>
        <w:t>Note: Generic exports of “TBX” files without a clearly stated dialect are not valid</w:t>
      </w:r>
      <w:r w:rsidR="00643143">
        <w:rPr>
          <w:b/>
          <w:bCs/>
        </w:rPr>
        <w:t>.</w:t>
      </w:r>
    </w:p>
    <w:p w14:paraId="3153AFA7" w14:textId="22E01C27" w:rsidR="00C77FFD" w:rsidRDefault="00C77FFD" w:rsidP="00636D18">
      <w:pPr>
        <w:pStyle w:val="ListParagraph"/>
        <w:numPr>
          <w:ilvl w:val="0"/>
          <w:numId w:val="5"/>
        </w:numPr>
      </w:pPr>
      <w:r>
        <w:t xml:space="preserve">Decide which style of TBX the export </w:t>
      </w:r>
      <w:r w:rsidR="00CB43FD">
        <w:t>will</w:t>
      </w:r>
      <w:r>
        <w:t xml:space="preserve"> be (DCA or DCT).</w:t>
      </w:r>
    </w:p>
    <w:p w14:paraId="72866724" w14:textId="4E9D1DF5" w:rsidR="00D14347" w:rsidRDefault="00D14347" w:rsidP="00D14347">
      <w:pPr>
        <w:pStyle w:val="ListParagraph"/>
        <w:numPr>
          <w:ilvl w:val="1"/>
          <w:numId w:val="5"/>
        </w:numPr>
      </w:pPr>
      <w:r>
        <w:t>Mixing styles</w:t>
      </w:r>
      <w:r w:rsidR="00CB43FD">
        <w:t xml:space="preserve"> in a single TBX document instance</w:t>
      </w:r>
      <w:r>
        <w:t xml:space="preserve"> is not permitted.</w:t>
      </w:r>
    </w:p>
    <w:p w14:paraId="292FC93D" w14:textId="77777777" w:rsidR="00636D18" w:rsidRDefault="00636D18" w:rsidP="00636D18">
      <w:pPr>
        <w:pStyle w:val="ListParagraph"/>
        <w:numPr>
          <w:ilvl w:val="0"/>
          <w:numId w:val="5"/>
        </w:numPr>
      </w:pPr>
      <w:r>
        <w:t xml:space="preserve">Use the </w:t>
      </w:r>
      <w:hyperlink w:anchor="_Validation_API" w:history="1">
        <w:r w:rsidR="00C77FFD" w:rsidRPr="00C77FFD">
          <w:rPr>
            <w:rStyle w:val="Hyperlink"/>
          </w:rPr>
          <w:t>Validation API</w:t>
        </w:r>
      </w:hyperlink>
      <w:r w:rsidR="00C77FFD">
        <w:t xml:space="preserve"> or TBXinfo.net to retrieve the list of modules included by the target dialect.</w:t>
      </w:r>
    </w:p>
    <w:p w14:paraId="2947F810" w14:textId="65AEAEA6" w:rsidR="00C77FFD" w:rsidRDefault="00C77FFD" w:rsidP="00C77FFD">
      <w:pPr>
        <w:pStyle w:val="ListParagraph"/>
        <w:numPr>
          <w:ilvl w:val="1"/>
          <w:numId w:val="5"/>
        </w:numPr>
      </w:pPr>
      <w:r>
        <w:t>TBX-Basic includes: Core, Min, and Basic</w:t>
      </w:r>
    </w:p>
    <w:p w14:paraId="796F0619" w14:textId="1450BBDC" w:rsidR="00CB43FD" w:rsidRDefault="00CB43FD" w:rsidP="00C77FFD">
      <w:pPr>
        <w:pStyle w:val="ListParagraph"/>
        <w:numPr>
          <w:ilvl w:val="1"/>
          <w:numId w:val="5"/>
        </w:numPr>
      </w:pPr>
      <w:r>
        <w:t>Note that if DCT is used, each of these modules will use their own namespaces.</w:t>
      </w:r>
    </w:p>
    <w:p w14:paraId="49043B8E" w14:textId="377C13A1" w:rsidR="00C77FFD" w:rsidRDefault="00C77FFD" w:rsidP="00C77FFD">
      <w:pPr>
        <w:pStyle w:val="ListParagraph"/>
        <w:numPr>
          <w:ilvl w:val="0"/>
          <w:numId w:val="5"/>
        </w:numPr>
      </w:pPr>
      <w:r>
        <w:t xml:space="preserve">If the data model of the exporting software already maps </w:t>
      </w:r>
      <w:r w:rsidR="00CB43FD">
        <w:t xml:space="preserve">directly </w:t>
      </w:r>
      <w:r>
        <w:t>to the data categories</w:t>
      </w:r>
      <w:r w:rsidR="00CB43FD">
        <w:t xml:space="preserve"> (including permitted content values)</w:t>
      </w:r>
      <w:r>
        <w:t xml:space="preserve"> included by the modules, a simple export should suffice.</w:t>
      </w:r>
    </w:p>
    <w:p w14:paraId="426D83D6" w14:textId="77777777" w:rsidR="00C77FFD" w:rsidRDefault="00C77FFD" w:rsidP="00C77FFD">
      <w:pPr>
        <w:pStyle w:val="ListParagraph"/>
        <w:numPr>
          <w:ilvl w:val="0"/>
          <w:numId w:val="5"/>
        </w:numPr>
      </w:pPr>
      <w:r>
        <w:t>If the data model of the exporting software does not directly map to the data categories included by the module, a manual mapping wizard may be necessary.</w:t>
      </w:r>
    </w:p>
    <w:p w14:paraId="7E678CFE" w14:textId="07D7429A" w:rsidR="00F05DCA" w:rsidRDefault="00F05DCA" w:rsidP="00F05DCA">
      <w:pPr>
        <w:pStyle w:val="ListParagraph"/>
        <w:numPr>
          <w:ilvl w:val="1"/>
          <w:numId w:val="5"/>
        </w:numPr>
      </w:pPr>
      <w:r>
        <w:t xml:space="preserve">If only some of the modules of the target dialect are supported, the unsupported data categories may either be converted to /note/s or </w:t>
      </w:r>
      <w:r w:rsidR="00854BC5">
        <w:t>omitted (preferably with a report to the user</w:t>
      </w:r>
      <w:r w:rsidR="00CB43FD">
        <w:t xml:space="preserve"> in either case</w:t>
      </w:r>
      <w:r w:rsidR="00854BC5">
        <w:t>).</w:t>
      </w:r>
    </w:p>
    <w:p w14:paraId="6598EDD3" w14:textId="222F73D6" w:rsidR="00C77FFD" w:rsidRDefault="00C77FFD" w:rsidP="00C77FFD">
      <w:pPr>
        <w:pStyle w:val="ListParagraph"/>
        <w:numPr>
          <w:ilvl w:val="0"/>
          <w:numId w:val="5"/>
        </w:numPr>
      </w:pPr>
      <w:r>
        <w:t>In either situation, the output TBX file must use the data category names which are defined by the modules for that dialect and not the internal</w:t>
      </w:r>
      <w:r w:rsidR="00CB43FD">
        <w:t xml:space="preserve"> data model</w:t>
      </w:r>
      <w:r>
        <w:t xml:space="preserve"> names for said data categories.</w:t>
      </w:r>
    </w:p>
    <w:p w14:paraId="36E893BD" w14:textId="77777777" w:rsidR="00C77FFD" w:rsidRDefault="00C77FFD" w:rsidP="00C77FFD">
      <w:pPr>
        <w:pStyle w:val="ListParagraph"/>
        <w:numPr>
          <w:ilvl w:val="1"/>
          <w:numId w:val="5"/>
        </w:numPr>
      </w:pPr>
      <w:r>
        <w:t>Example: Internally, the software may call /subjectField/ “domain”, but on export it must be converted to “subjectField”.</w:t>
      </w:r>
    </w:p>
    <w:p w14:paraId="13789C92" w14:textId="62B1DB05" w:rsidR="00C77FFD" w:rsidRDefault="00C77FFD" w:rsidP="00C77FFD">
      <w:pPr>
        <w:pStyle w:val="ListParagraph"/>
        <w:numPr>
          <w:ilvl w:val="1"/>
          <w:numId w:val="5"/>
        </w:numPr>
      </w:pPr>
      <w:r>
        <w:t>This same rule applies to defined picklist values</w:t>
      </w:r>
      <w:r w:rsidR="00BD6A4E">
        <w:t xml:space="preserve">. </w:t>
      </w:r>
      <w:r>
        <w:t>If the software uses the abbreviated</w:t>
      </w:r>
      <w:r w:rsidR="00CB43FD">
        <w:t xml:space="preserve"> /</w:t>
      </w:r>
      <w:proofErr w:type="spellStart"/>
      <w:r w:rsidR="00CB43FD">
        <w:t>partOfSpeech</w:t>
      </w:r>
      <w:proofErr w:type="spellEnd"/>
      <w:r w:rsidR="00CB43FD">
        <w:t>/ content value</w:t>
      </w:r>
      <w:r>
        <w:t xml:space="preserve"> “</w:t>
      </w:r>
      <w:proofErr w:type="spellStart"/>
      <w:r>
        <w:t>adj</w:t>
      </w:r>
      <w:proofErr w:type="spellEnd"/>
      <w:r>
        <w:t>” internally, on export, it must be changed to match whatever values are declared in the module definition. In the case of TBX-Basic, “</w:t>
      </w:r>
      <w:proofErr w:type="spellStart"/>
      <w:r>
        <w:t>adj</w:t>
      </w:r>
      <w:proofErr w:type="spellEnd"/>
      <w:r>
        <w:t>” would need to be changed to “adjective”.</w:t>
      </w:r>
    </w:p>
    <w:p w14:paraId="151B3787" w14:textId="77777777" w:rsidR="00D14347" w:rsidRDefault="00D14347" w:rsidP="00D14347">
      <w:pPr>
        <w:pStyle w:val="ListParagraph"/>
        <w:numPr>
          <w:ilvl w:val="0"/>
          <w:numId w:val="5"/>
        </w:numPr>
      </w:pPr>
      <w:r>
        <w:t>The export file must be a well-formed XML file with a “.</w:t>
      </w:r>
      <w:proofErr w:type="spellStart"/>
      <w:r>
        <w:t>tbx</w:t>
      </w:r>
      <w:proofErr w:type="spellEnd"/>
      <w:r>
        <w:t>” file extension</w:t>
      </w:r>
    </w:p>
    <w:p w14:paraId="502DE925" w14:textId="0B9F8707" w:rsidR="00DB5B23" w:rsidRDefault="00D14347" w:rsidP="00D14347">
      <w:pPr>
        <w:pStyle w:val="ListParagraph"/>
        <w:numPr>
          <w:ilvl w:val="0"/>
          <w:numId w:val="5"/>
        </w:numPr>
      </w:pPr>
      <w:r>
        <w:lastRenderedPageBreak/>
        <w:t>The export file must also be valid instance of the target dialect (TBX-Basic) according to the schemas of that dialect and style (DCA or DCT).</w:t>
      </w:r>
    </w:p>
    <w:p w14:paraId="020BC58E" w14:textId="77777777" w:rsidR="00DB5B23" w:rsidRDefault="00DB5B23">
      <w:r>
        <w:br w:type="page"/>
      </w:r>
    </w:p>
    <w:p w14:paraId="28978ED5" w14:textId="09E9FA22" w:rsidR="00DB5B23" w:rsidRDefault="00DB5B23" w:rsidP="00DB5B23">
      <w:pPr>
        <w:pStyle w:val="Heading1"/>
      </w:pPr>
      <w:bookmarkStart w:id="20" w:name="_Appendix_I:_API"/>
      <w:bookmarkStart w:id="21" w:name="_Toc500859825"/>
      <w:bookmarkEnd w:id="20"/>
      <w:r>
        <w:lastRenderedPageBreak/>
        <w:t>Appendix I: API Example for TBX-Basic</w:t>
      </w:r>
      <w:bookmarkEnd w:id="21"/>
    </w:p>
    <w:p w14:paraId="0FC515CA" w14:textId="77777777" w:rsidR="00DB5B23" w:rsidRPr="00DB5B23" w:rsidRDefault="00DB5B23" w:rsidP="00DB5B23">
      <w:pPr>
        <w:pStyle w:val="Heading2"/>
        <w:rPr>
          <w:sz w:val="24"/>
        </w:rPr>
      </w:pPr>
      <w:bookmarkStart w:id="22" w:name="_Toc500859826"/>
      <w:r>
        <w:t>Using the response:</w:t>
      </w:r>
      <w:bookmarkEnd w:id="22"/>
    </w:p>
    <w:p w14:paraId="16E1B1B0" w14:textId="14F68498" w:rsidR="00DB5B23" w:rsidRPr="00D36A0A" w:rsidRDefault="00DB5B23" w:rsidP="00DB5B23">
      <w:r>
        <w:t>For DCA, only the schemas pointed to by “</w:t>
      </w:r>
      <w:proofErr w:type="spellStart"/>
      <w:r>
        <w:t>dca_rng</w:t>
      </w:r>
      <w:proofErr w:type="spellEnd"/>
      <w:r>
        <w:t>” and “</w:t>
      </w:r>
      <w:proofErr w:type="spellStart"/>
      <w:r>
        <w:t>dca_sch</w:t>
      </w:r>
      <w:proofErr w:type="spellEnd"/>
      <w:r>
        <w:t>” are needed. For DCT, the schemas pointed to by “</w:t>
      </w:r>
      <w:proofErr w:type="spellStart"/>
      <w:r>
        <w:t>dct_nvdl</w:t>
      </w:r>
      <w:proofErr w:type="spellEnd"/>
      <w:r>
        <w:t>”, “</w:t>
      </w:r>
      <w:proofErr w:type="spellStart"/>
      <w:r>
        <w:t>dct_sch</w:t>
      </w:r>
      <w:proofErr w:type="spellEnd"/>
      <w:r>
        <w:t>”, and each of the “</w:t>
      </w:r>
      <w:proofErr w:type="spellStart"/>
      <w:r>
        <w:t>rng</w:t>
      </w:r>
      <w:proofErr w:type="spellEnd"/>
      <w:r>
        <w:t>” and “</w:t>
      </w:r>
      <w:proofErr w:type="spellStart"/>
      <w:r>
        <w:t>sch</w:t>
      </w:r>
      <w:proofErr w:type="spellEnd"/>
      <w:r>
        <w:t>” schemas for each module of the “modules” list</w:t>
      </w:r>
      <w:r w:rsidR="00BD6A4E">
        <w:t xml:space="preserve">. </w:t>
      </w:r>
      <w:r>
        <w:t>As mentioned before in the DCT section, it is only necessary in practice to use the “</w:t>
      </w:r>
      <w:proofErr w:type="spellStart"/>
      <w:r>
        <w:t>dct_nvdl</w:t>
      </w:r>
      <w:proofErr w:type="spellEnd"/>
      <w:r>
        <w:t>” schema link, since by default, it points to the absolute URLs of the other schemas needed in DCT.</w:t>
      </w:r>
    </w:p>
    <w:p w14:paraId="1441B322" w14:textId="603E28FF" w:rsidR="00DB5B23" w:rsidRDefault="00DB5B23" w:rsidP="00DB5B23">
      <w:pPr>
        <w:pStyle w:val="Heading2"/>
      </w:pPr>
      <w:bookmarkStart w:id="23" w:name="_Toc500859827"/>
      <w:r>
        <w:t>Example call to API (GET)</w:t>
      </w:r>
      <w:r w:rsidR="00807761">
        <w:t xml:space="preserve"> and response (JSON)</w:t>
      </w:r>
      <w:r>
        <w:t>:</w:t>
      </w:r>
      <w:bookmarkEnd w:id="23"/>
    </w:p>
    <w:p w14:paraId="4BB7A224" w14:textId="1896FA20" w:rsidR="00807761" w:rsidRPr="00807761" w:rsidRDefault="00807761" w:rsidP="00807761">
      <w:pPr>
        <w:pStyle w:val="Heading4"/>
      </w:pPr>
      <w:r>
        <w:t xml:space="preserve">GET </w:t>
      </w:r>
      <w:r w:rsidR="004B15AB">
        <w:t>R</w:t>
      </w:r>
      <w:r>
        <w:t>equest:</w:t>
      </w:r>
    </w:p>
    <w:p w14:paraId="594F4CD5" w14:textId="77777777" w:rsidR="00DB5B23" w:rsidRDefault="00DB5B23" w:rsidP="00DB5B23">
      <w:r>
        <w:t xml:space="preserve">URL:  </w:t>
      </w:r>
      <w:hyperlink r:id="rId14" w:history="1">
        <w:r w:rsidRPr="00DB219B">
          <w:rPr>
            <w:rStyle w:val="Hyperlink"/>
          </w:rPr>
          <w:t>http://validate.tbxinfo.net/dialects/TBX-Basic</w:t>
        </w:r>
      </w:hyperlink>
    </w:p>
    <w:p w14:paraId="52435DD8" w14:textId="0AFBC302" w:rsidR="00DB5B23" w:rsidRDefault="00807761" w:rsidP="00DB5B23">
      <w:pPr>
        <w:pStyle w:val="Heading4"/>
      </w:pPr>
      <w:r>
        <w:t xml:space="preserve">JSON </w:t>
      </w:r>
      <w:r w:rsidR="00DB5B23">
        <w:t>Response:</w:t>
      </w:r>
    </w:p>
    <w:p w14:paraId="7D7418D5" w14:textId="77777777" w:rsidR="00DB5B23" w:rsidRPr="00B26895" w:rsidRDefault="00DB5B23" w:rsidP="00DB5B23">
      <w:pPr>
        <w:pStyle w:val="NoSpacing"/>
        <w:rPr>
          <w:rFonts w:ascii="Courier New" w:hAnsi="Courier New" w:cs="Courier New"/>
          <w:sz w:val="20"/>
          <w:szCs w:val="20"/>
        </w:rPr>
      </w:pPr>
      <w:r w:rsidRPr="00B26895">
        <w:rPr>
          <w:rFonts w:ascii="Courier New" w:hAnsi="Courier New" w:cs="Courier New"/>
          <w:color w:val="960000"/>
        </w:rPr>
        <w:t>[{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"TBX-Basic"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"https://github.com/LTAC-Global/TBX-Basic_dialect/blob/master/TBX-Basic%20Definition.pdf"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dca_rng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"https://raw.githubusercontent.com/LTAC-Global/TBX-Basic_dialect/master/DCA/TBXcoreStructV03_TBX-Basic_integrated.rng"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dca_sch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"https://raw.githubusercontent.com/LTAC-Global/TBX-Basic_dialect/master/DCA/TBX-Basic_DCA.sch"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dct_nvdl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"https://raw.githubusercontent.com/LTAC-Global/TBX-Basic_dialect/master/DCT/TBX-Basic.nvdl"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dct_sch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"https://raw.githubusercontent.com/LTAC-Global/TBX-Basic_dialect/master/DCT/TBX-Basic_DCT.sch"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2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"modules"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960000"/>
        </w:rPr>
        <w:t>[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"Min"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"https://github.com/LTAC-Global/TBX_min_module/blob/master/Min%20Module%20Definition.pdf"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tbxmd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"https://raw.githubusercontent.com/LTAC-Global/TBX_min_module/master/Min.tbxmd"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1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"Basic"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"https://github.com/LTAC-Global/TBX_basic_module/blob/master/Basic%20Module%20Definition.pdf"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tbxmd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"https://raw.githubusercontent.com/LTAC-Global/TBX_basic_module/master/Basic.tbxmd"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2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</w:r>
      <w:r w:rsidRPr="00B26895">
        <w:rPr>
          <w:rFonts w:ascii="Courier New" w:hAnsi="Courier New" w:cs="Courier New"/>
          <w:color w:val="000000"/>
        </w:rPr>
        <w:lastRenderedPageBreak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"Core"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"https://raw.githubusercontent.com/LTAC-Global/TBX_Core_RNG/master/TBXcoreStructV03.rng"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tbxmd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4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960000"/>
        </w:rPr>
        <w:t>]</w:t>
      </w:r>
      <w:r w:rsidRPr="00B26895">
        <w:rPr>
          <w:rFonts w:ascii="Courier New" w:hAnsi="Courier New" w:cs="Courier New"/>
          <w:color w:val="000000"/>
        </w:rPr>
        <w:br/>
      </w:r>
      <w:r w:rsidRPr="00B26895">
        <w:rPr>
          <w:rFonts w:ascii="Courier New" w:hAnsi="Courier New" w:cs="Courier New"/>
          <w:color w:val="960000"/>
        </w:rPr>
        <w:t>}]</w:t>
      </w:r>
    </w:p>
    <w:p w14:paraId="69E99CC3" w14:textId="77777777" w:rsidR="00DB5B23" w:rsidRDefault="00DB5B23" w:rsidP="00DB5B23"/>
    <w:p w14:paraId="41163296" w14:textId="77777777" w:rsidR="00D14347" w:rsidRDefault="00D14347" w:rsidP="00DB5B23"/>
    <w:sectPr w:rsidR="00D14347" w:rsidSect="00D45656">
      <w:headerReference w:type="default" r:id="rId15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James Hayes" w:date="2017-12-08T15:15:00Z" w:initials="JH">
    <w:p w14:paraId="5593E28D" w14:textId="77777777" w:rsidR="00A638D6" w:rsidRDefault="00A638D6" w:rsidP="00A638D6">
      <w:pPr>
        <w:pStyle w:val="CommentText"/>
      </w:pPr>
      <w:r>
        <w:rPr>
          <w:rStyle w:val="CommentReference"/>
        </w:rPr>
        <w:annotationRef/>
      </w:r>
      <w:r>
        <w:t>According to their site, it is Oxygen when written out, but the stylized logo is &lt;</w:t>
      </w:r>
      <w:proofErr w:type="spellStart"/>
      <w:r>
        <w:t>oXygen</w:t>
      </w:r>
      <w:proofErr w:type="spellEnd"/>
      <w:r>
        <w:t>/&gt;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93E28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C5124" w14:textId="77777777" w:rsidR="00627224" w:rsidRDefault="00627224" w:rsidP="00B24685">
      <w:pPr>
        <w:spacing w:after="0" w:line="240" w:lineRule="auto"/>
      </w:pPr>
      <w:r>
        <w:separator/>
      </w:r>
    </w:p>
  </w:endnote>
  <w:endnote w:type="continuationSeparator" w:id="0">
    <w:p w14:paraId="3DD5C181" w14:textId="77777777" w:rsidR="00627224" w:rsidRDefault="00627224" w:rsidP="00B24685">
      <w:pPr>
        <w:spacing w:after="0" w:line="240" w:lineRule="auto"/>
      </w:pPr>
      <w:r>
        <w:continuationSeparator/>
      </w:r>
    </w:p>
  </w:endnote>
  <w:endnote w:type="continuationNotice" w:id="1">
    <w:p w14:paraId="17DB8B9E" w14:textId="77777777" w:rsidR="00627224" w:rsidRDefault="006272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DDFB1" w14:textId="77777777" w:rsidR="00627224" w:rsidRDefault="00627224" w:rsidP="00B24685">
      <w:pPr>
        <w:spacing w:after="0" w:line="240" w:lineRule="auto"/>
      </w:pPr>
      <w:r>
        <w:separator/>
      </w:r>
    </w:p>
  </w:footnote>
  <w:footnote w:type="continuationSeparator" w:id="0">
    <w:p w14:paraId="5DC5D9B8" w14:textId="77777777" w:rsidR="00627224" w:rsidRDefault="00627224" w:rsidP="00B24685">
      <w:pPr>
        <w:spacing w:after="0" w:line="240" w:lineRule="auto"/>
      </w:pPr>
      <w:r>
        <w:continuationSeparator/>
      </w:r>
    </w:p>
  </w:footnote>
  <w:footnote w:type="continuationNotice" w:id="1">
    <w:p w14:paraId="145BC65E" w14:textId="77777777" w:rsidR="00627224" w:rsidRDefault="00627224">
      <w:pPr>
        <w:spacing w:after="0" w:line="240" w:lineRule="auto"/>
      </w:pPr>
    </w:p>
  </w:footnote>
  <w:footnote w:id="2">
    <w:p w14:paraId="1DFFFCD6" w14:textId="77777777" w:rsidR="00337EFD" w:rsidRDefault="00337EFD" w:rsidP="00337E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62123">
          <w:rPr>
            <w:rStyle w:val="Hyperlink"/>
          </w:rPr>
          <w:t>http://www.tbxinfo.net/</w:t>
        </w:r>
      </w:hyperlink>
      <w:r>
        <w:t xml:space="preserve">  [</w:t>
      </w:r>
      <w:r w:rsidRPr="008F7FFA">
        <w:rPr>
          <w:highlight w:val="yellow"/>
        </w:rPr>
        <w:t>note: for now, consult the development website: http://tbxinfo-dev.byuling.net/]</w:t>
      </w:r>
    </w:p>
  </w:footnote>
  <w:footnote w:id="3">
    <w:p w14:paraId="79BD57C0" w14:textId="77777777" w:rsidR="00640422" w:rsidRDefault="00640422" w:rsidP="006404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C15B3">
          <w:rPr>
            <w:rStyle w:val="Hyperlink"/>
          </w:rPr>
          <w:t>https://raw.githubusercontent.com/LTAC-Global/TBX-Basic_dialect/master/DCA/TBXcoreStructV03_TBX-Basic_integrated.rng</w:t>
        </w:r>
      </w:hyperlink>
    </w:p>
  </w:footnote>
  <w:footnote w:id="4">
    <w:p w14:paraId="754C5947" w14:textId="77777777" w:rsidR="00640422" w:rsidRDefault="00640422" w:rsidP="006404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C15B3">
          <w:rPr>
            <w:rStyle w:val="Hyperlink"/>
          </w:rPr>
          <w:t>https://raw.githubusercontent.com/LTAC-Global/TBX-Basic_dialect/master/DCA/TBX-Basic_DCA.sch</w:t>
        </w:r>
      </w:hyperlink>
    </w:p>
  </w:footnote>
  <w:footnote w:id="5">
    <w:p w14:paraId="226FF617" w14:textId="77777777" w:rsidR="00663C72" w:rsidRDefault="00663C72" w:rsidP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662123">
          <w:rPr>
            <w:rStyle w:val="Hyperlink"/>
          </w:rPr>
          <w:t>https://raw.githubusercontent.com/LTAC-Global/TBX_Core_RNG/master/TBXcoreStructV03.rng</w:t>
        </w:r>
      </w:hyperlink>
      <w:r>
        <w:t xml:space="preserve"> </w:t>
      </w:r>
    </w:p>
  </w:footnote>
  <w:footnote w:id="6">
    <w:p w14:paraId="3C408747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662123">
          <w:rPr>
            <w:rStyle w:val="Hyperlink"/>
          </w:rPr>
          <w:t>https://raw.githubusercontent.com/LTAC-Global/TBX_min_module/master/Min.rng</w:t>
        </w:r>
      </w:hyperlink>
      <w:r>
        <w:t xml:space="preserve"> </w:t>
      </w:r>
    </w:p>
  </w:footnote>
  <w:footnote w:id="7">
    <w:p w14:paraId="12928E1B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662123">
          <w:rPr>
            <w:rStyle w:val="Hyperlink"/>
          </w:rPr>
          <w:t>https://raw.githubusercontent.com/LTAC-Global/TBX_min_module/master/Min.sch</w:t>
        </w:r>
      </w:hyperlink>
      <w:r>
        <w:t xml:space="preserve"> </w:t>
      </w:r>
    </w:p>
  </w:footnote>
  <w:footnote w:id="8">
    <w:p w14:paraId="1B625716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662123">
          <w:rPr>
            <w:rStyle w:val="Hyperlink"/>
          </w:rPr>
          <w:t>https://raw.githubusercontent.com/LTAC-Global/TBX_basic_module/master/Basic.rng</w:t>
        </w:r>
      </w:hyperlink>
      <w:r>
        <w:t xml:space="preserve"> </w:t>
      </w:r>
    </w:p>
  </w:footnote>
  <w:footnote w:id="9">
    <w:p w14:paraId="26B3A017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662123">
          <w:rPr>
            <w:rStyle w:val="Hyperlink"/>
          </w:rPr>
          <w:t>https://raw.githubusercontent.com/LTAC-Global/TBX_basic_module/master/Basic.sch</w:t>
        </w:r>
      </w:hyperlink>
      <w:r>
        <w:t xml:space="preserve"> </w:t>
      </w:r>
    </w:p>
  </w:footnote>
  <w:footnote w:id="10">
    <w:p w14:paraId="54115591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662123">
          <w:rPr>
            <w:rStyle w:val="Hyperlink"/>
          </w:rPr>
          <w:t>https://raw.githubusercontent.com/LTAC-Global/TBX-Basic_dialect/master/DCT/TBX-Basic_DCT.sch</w:t>
        </w:r>
      </w:hyperlink>
      <w:r>
        <w:t xml:space="preserve"> </w:t>
      </w:r>
    </w:p>
  </w:footnote>
  <w:footnote w:id="11">
    <w:p w14:paraId="380C72E5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662123">
          <w:rPr>
            <w:rStyle w:val="Hyperlink"/>
          </w:rPr>
          <w:t>https://raw.githubusercontent.com/LTAC-Global/TBX-Basic_dialect/master/DCT/TBX-Basic.nvdl</w:t>
        </w:r>
      </w:hyperlink>
      <w:r>
        <w:t xml:space="preserve"> </w:t>
      </w:r>
    </w:p>
  </w:footnote>
  <w:footnote w:id="12">
    <w:p w14:paraId="50A07F27" w14:textId="77777777" w:rsidR="00173166" w:rsidRDefault="001731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7F5696">
          <w:rPr>
            <w:rStyle w:val="Hyperlink"/>
          </w:rPr>
          <w:t>http://tbxinfo-dev.byuling.net/wp-content/uploads/2017/11/TBX%20Module%20Description.pdf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7B015" w14:textId="2057EF92" w:rsidR="00CB684B" w:rsidRDefault="004E56D1">
    <w:pPr>
      <w:pStyle w:val="Header"/>
    </w:pPr>
    <w:r>
      <w:t>2017/12/12</w:t>
    </w:r>
    <w:r w:rsidR="00D45656">
      <w:tab/>
    </w:r>
    <w:r w:rsidR="00D45656">
      <w:tab/>
    </w:r>
    <w:r w:rsidR="00B44654">
      <w:t xml:space="preserve">v </w:t>
    </w:r>
    <w:r w:rsidR="001E0F94">
      <w:t>2</w:t>
    </w:r>
    <w:r w:rsidR="00D45656"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2BB6"/>
    <w:multiLevelType w:val="hybridMultilevel"/>
    <w:tmpl w:val="423ECEDA"/>
    <w:lvl w:ilvl="0" w:tplc="3D9278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B4411"/>
    <w:multiLevelType w:val="hybridMultilevel"/>
    <w:tmpl w:val="F324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7A5D"/>
    <w:multiLevelType w:val="hybridMultilevel"/>
    <w:tmpl w:val="46D6CB64"/>
    <w:lvl w:ilvl="0" w:tplc="2E1A28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0925"/>
    <w:multiLevelType w:val="hybridMultilevel"/>
    <w:tmpl w:val="2010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07F72"/>
    <w:multiLevelType w:val="hybridMultilevel"/>
    <w:tmpl w:val="27CAC2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A59F7"/>
    <w:multiLevelType w:val="hybridMultilevel"/>
    <w:tmpl w:val="CF22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D6ED4"/>
    <w:multiLevelType w:val="hybridMultilevel"/>
    <w:tmpl w:val="3622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64DA2"/>
    <w:multiLevelType w:val="hybridMultilevel"/>
    <w:tmpl w:val="965CC7A6"/>
    <w:lvl w:ilvl="0" w:tplc="0F30F8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43AB2"/>
    <w:multiLevelType w:val="hybridMultilevel"/>
    <w:tmpl w:val="6174F6F8"/>
    <w:lvl w:ilvl="0" w:tplc="2E1A2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26A6"/>
    <w:multiLevelType w:val="hybridMultilevel"/>
    <w:tmpl w:val="B23E89A8"/>
    <w:lvl w:ilvl="0" w:tplc="FE8E175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76381"/>
    <w:multiLevelType w:val="hybridMultilevel"/>
    <w:tmpl w:val="0CCC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02E0E"/>
    <w:multiLevelType w:val="hybridMultilevel"/>
    <w:tmpl w:val="321A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A7732"/>
    <w:multiLevelType w:val="hybridMultilevel"/>
    <w:tmpl w:val="93C6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90EFC"/>
    <w:multiLevelType w:val="hybridMultilevel"/>
    <w:tmpl w:val="1BAE2E70"/>
    <w:lvl w:ilvl="0" w:tplc="7FE88E2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54968"/>
    <w:multiLevelType w:val="hybridMultilevel"/>
    <w:tmpl w:val="4EE03EE8"/>
    <w:lvl w:ilvl="0" w:tplc="CB78428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14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  <w:num w:numId="13">
    <w:abstractNumId w:val="2"/>
  </w:num>
  <w:num w:numId="14">
    <w:abstractNumId w:val="8"/>
  </w:num>
  <w:num w:numId="1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mes Hayes">
    <w15:presenceInfo w15:providerId="Windows Live" w15:userId="c458b36fb69ed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D3"/>
    <w:rsid w:val="00051BC2"/>
    <w:rsid w:val="000C3B26"/>
    <w:rsid w:val="001216D3"/>
    <w:rsid w:val="00137D3C"/>
    <w:rsid w:val="00147E46"/>
    <w:rsid w:val="001610E0"/>
    <w:rsid w:val="00173166"/>
    <w:rsid w:val="001A40A8"/>
    <w:rsid w:val="001E0F94"/>
    <w:rsid w:val="00210B2B"/>
    <w:rsid w:val="00247400"/>
    <w:rsid w:val="00286E4B"/>
    <w:rsid w:val="002920C6"/>
    <w:rsid w:val="002C5551"/>
    <w:rsid w:val="002D312E"/>
    <w:rsid w:val="002F737F"/>
    <w:rsid w:val="00337EFD"/>
    <w:rsid w:val="0036345F"/>
    <w:rsid w:val="004B15AB"/>
    <w:rsid w:val="004E1267"/>
    <w:rsid w:val="004E56D1"/>
    <w:rsid w:val="004E6A10"/>
    <w:rsid w:val="00514D11"/>
    <w:rsid w:val="00522FB7"/>
    <w:rsid w:val="005714DF"/>
    <w:rsid w:val="005B71E8"/>
    <w:rsid w:val="005D570F"/>
    <w:rsid w:val="00627224"/>
    <w:rsid w:val="00636D18"/>
    <w:rsid w:val="00640422"/>
    <w:rsid w:val="00641B01"/>
    <w:rsid w:val="00643143"/>
    <w:rsid w:val="00663C72"/>
    <w:rsid w:val="0068138F"/>
    <w:rsid w:val="00730DF9"/>
    <w:rsid w:val="007317EC"/>
    <w:rsid w:val="00797223"/>
    <w:rsid w:val="007F7C5C"/>
    <w:rsid w:val="00807761"/>
    <w:rsid w:val="0084768D"/>
    <w:rsid w:val="00854BC5"/>
    <w:rsid w:val="00893542"/>
    <w:rsid w:val="008B0658"/>
    <w:rsid w:val="008C2489"/>
    <w:rsid w:val="008E36FA"/>
    <w:rsid w:val="008E4170"/>
    <w:rsid w:val="008F7FFA"/>
    <w:rsid w:val="00914B81"/>
    <w:rsid w:val="00931AE2"/>
    <w:rsid w:val="00972C2E"/>
    <w:rsid w:val="009873A5"/>
    <w:rsid w:val="00A052D7"/>
    <w:rsid w:val="00A149C4"/>
    <w:rsid w:val="00A33FB0"/>
    <w:rsid w:val="00A438C9"/>
    <w:rsid w:val="00A638D6"/>
    <w:rsid w:val="00B01B09"/>
    <w:rsid w:val="00B24685"/>
    <w:rsid w:val="00B26895"/>
    <w:rsid w:val="00B44654"/>
    <w:rsid w:val="00B87F0A"/>
    <w:rsid w:val="00BB7FDB"/>
    <w:rsid w:val="00BD6A4E"/>
    <w:rsid w:val="00BD7067"/>
    <w:rsid w:val="00C468DE"/>
    <w:rsid w:val="00C77FFD"/>
    <w:rsid w:val="00CB43FD"/>
    <w:rsid w:val="00CB684B"/>
    <w:rsid w:val="00CD05E1"/>
    <w:rsid w:val="00D14347"/>
    <w:rsid w:val="00D34A23"/>
    <w:rsid w:val="00D36A0A"/>
    <w:rsid w:val="00D45656"/>
    <w:rsid w:val="00D6382A"/>
    <w:rsid w:val="00D6536D"/>
    <w:rsid w:val="00DB5B23"/>
    <w:rsid w:val="00DC15B3"/>
    <w:rsid w:val="00E00D53"/>
    <w:rsid w:val="00E23BEC"/>
    <w:rsid w:val="00E70199"/>
    <w:rsid w:val="00EC2562"/>
    <w:rsid w:val="00EE7F19"/>
    <w:rsid w:val="00F05DCA"/>
    <w:rsid w:val="00F41CA8"/>
    <w:rsid w:val="00F422C9"/>
    <w:rsid w:val="00F63FEF"/>
    <w:rsid w:val="00FB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8C6E"/>
  <w15:chartTrackingRefBased/>
  <w15:docId w15:val="{DEA273A3-D068-4DDF-947B-B8AD01EA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A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6D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16D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2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16D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246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46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468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1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5B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63C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6A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36A0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77FF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31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B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4B"/>
  </w:style>
  <w:style w:type="paragraph" w:styleId="Footer">
    <w:name w:val="footer"/>
    <w:basedOn w:val="Normal"/>
    <w:link w:val="FooterChar"/>
    <w:uiPriority w:val="99"/>
    <w:unhideWhenUsed/>
    <w:rsid w:val="00CB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4B"/>
  </w:style>
  <w:style w:type="paragraph" w:styleId="Revision">
    <w:name w:val="Revision"/>
    <w:hidden/>
    <w:uiPriority w:val="99"/>
    <w:semiHidden/>
    <w:rsid w:val="00EE7F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F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F19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3FE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3F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F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F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xinfo.net/ns/basic" TargetMode="External"/><Relationship Id="rId13" Type="http://schemas.openxmlformats.org/officeDocument/2006/relationships/hyperlink" Target="http://validate.tbxinfo.ne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tbxinfo.net/ns/bas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bxinfo.net/ns/basic" TargetMode="External"/><Relationship Id="rId14" Type="http://schemas.openxmlformats.org/officeDocument/2006/relationships/hyperlink" Target="http://validate.tbxinfo.net/dialects/TBX-Basic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TAC-Global/TBX_basic_module/master/Basic.sch" TargetMode="External"/><Relationship Id="rId3" Type="http://schemas.openxmlformats.org/officeDocument/2006/relationships/hyperlink" Target="https://raw.githubusercontent.com/LTAC-Global/TBX-Basic_dialect/master/DCA/TBX-Basic_DCA.sch" TargetMode="External"/><Relationship Id="rId7" Type="http://schemas.openxmlformats.org/officeDocument/2006/relationships/hyperlink" Target="https://raw.githubusercontent.com/LTAC-Global/TBX_basic_module/master/Basic.rng" TargetMode="External"/><Relationship Id="rId2" Type="http://schemas.openxmlformats.org/officeDocument/2006/relationships/hyperlink" Target="https://raw.githubusercontent.com/LTAC-Global/TBX-Basic_dialect/master/DCA/TBXcoreStructV03_TBX-Basic_integrated.rng" TargetMode="External"/><Relationship Id="rId1" Type="http://schemas.openxmlformats.org/officeDocument/2006/relationships/hyperlink" Target="http://www.tbxinfo.net/" TargetMode="External"/><Relationship Id="rId6" Type="http://schemas.openxmlformats.org/officeDocument/2006/relationships/hyperlink" Target="https://raw.githubusercontent.com/LTAC-Global/TBX_min_module/master/Min.sch" TargetMode="External"/><Relationship Id="rId11" Type="http://schemas.openxmlformats.org/officeDocument/2006/relationships/hyperlink" Target="http://tbxinfo-dev.byuling.net/wp-content/uploads/2017/11/TBX%20Module%20Description.pdf" TargetMode="External"/><Relationship Id="rId5" Type="http://schemas.openxmlformats.org/officeDocument/2006/relationships/hyperlink" Target="https://raw.githubusercontent.com/LTAC-Global/TBX_min_module/master/Min.rng" TargetMode="External"/><Relationship Id="rId10" Type="http://schemas.openxmlformats.org/officeDocument/2006/relationships/hyperlink" Target="https://raw.githubusercontent.com/LTAC-Global/TBX-Basic_dialect/master/DCT/TBX-Basic.nvdl" TargetMode="External"/><Relationship Id="rId4" Type="http://schemas.openxmlformats.org/officeDocument/2006/relationships/hyperlink" Target="https://raw.githubusercontent.com/LTAC-Global/TBX_Core_RNG/master/TBXcoreStructV03.rng" TargetMode="External"/><Relationship Id="rId9" Type="http://schemas.openxmlformats.org/officeDocument/2006/relationships/hyperlink" Target="https://raw.githubusercontent.com/LTAC-Global/TBX-Basic_dialect/master/DCT/TBX-Basic_DCT.s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7EB77-8DCB-4BCC-9423-5BF6DEA49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9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23</cp:revision>
  <cp:lastPrinted>2017-12-12T23:34:00Z</cp:lastPrinted>
  <dcterms:created xsi:type="dcterms:W3CDTF">2017-11-30T19:39:00Z</dcterms:created>
  <dcterms:modified xsi:type="dcterms:W3CDTF">2017-12-12T23:34:00Z</dcterms:modified>
</cp:coreProperties>
</file>