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ba4d48a8ac14fac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Quarterly report</w:t>
      </w:r>
    </w:p>
    <w:p>
      <w:pPr>
        <w:pStyle w:val="Heading1"/>
      </w:pPr>
      <w:r>
        <w:t xml:space="preserve">Summary</w:t>
      </w:r>
    </w:p>
    <w:p>
      <w:r>
        <w:t xml:space="preserve">Sales grew by </w:t>
      </w:r>
      <w:r>
        <w:rPr>
          <w:b/>
        </w:rPr>
        <w:t xml:space="preserve">twelve percent</w:t>
      </w:r>
      <w:r>
        <w:t xml:space="preserve"> while costs stayed </w:t>
      </w:r>
      <w:r>
        <w:rPr>
          <w:i/>
        </w:rPr>
        <w:t xml:space="preserve">flat</w:t>
      </w:r>
      <w:r>
        <w:t xml:space="preserve">, and the old forecast was </w:t>
      </w:r>
      <w:r>
        <w:rPr>
          <w:strike/>
        </w:rPr>
        <w:t xml:space="preserve">dropped</w:t>
      </w:r>
      <w:r>
        <w:t xml:space="preserve">. See the </w:t>
      </w:r>
      <w:hyperlink xmlns:r="http://schemas.openxmlformats.org/officeDocument/2006/relationships" r:id="R5ca187b5c7f14508">
        <w:r>
          <w:t xml:space="preserve">handbook</w:t>
        </w:r>
      </w:hyperlink>
      <w:r>
        <w:t xml:space="preserve"> for the method.</w:t>
      </w:r>
      <w:r>
        <w:footnoteReference w:id="1"/>
      </w:r>
    </w:p>
    <w:p>
      <w:pPr>
        <w:pStyle w:val="Heading2"/>
      </w:pPr>
      <w:r>
        <w:t xml:space="preserve">Priorities</w:t>
      </w:r>
    </w:p>
    <w:p>
      <w:pPr>
        <w:pStyle w:val="ListParagraph"/>
        <w:numPr>
          <w:ilvl w:val="0"/>
          <w:numId w:val="1"/>
        </w:numPr>
      </w:pPr>
      <w:r>
        <w:t xml:space="preserve">Renew the three largest contracts</w:t>
      </w:r>
    </w:p>
    <w:p>
      <w:pPr>
        <w:pStyle w:val="ListParagraph"/>
        <w:numPr>
          <w:ilvl w:val="1"/>
          <w:numId w:val="1"/>
        </w:numPr>
      </w:pPr>
      <w:r>
        <w:t xml:space="preserve">Start with the one that expires in March</w:t>
      </w:r>
    </w:p>
    <w:p>
      <w:pPr>
        <w:pStyle w:val="ListParagraph"/>
        <w:numPr>
          <w:ilvl w:val="0"/>
          <w:numId w:val="1"/>
        </w:numPr>
      </w:pPr>
      <w:r>
        <w:t xml:space="preserve">Hire a second analyst</w:t>
      </w:r>
    </w:p>
    <w:p>
      <w:pPr>
        <w:pStyle w:val="ListParagraph"/>
        <w:numPr>
          <w:ilvl w:val="0"/>
          <w:numId w:val="2"/>
        </w:numPr>
      </w:pPr>
      <w:r>
        <w:t xml:space="preserve">Collect the figures</w:t>
      </w:r>
    </w:p>
    <w:p>
      <w:pPr>
        <w:pStyle w:val="ListParagraph"/>
        <w:numPr>
          <w:ilvl w:val="0"/>
          <w:numId w:val="2"/>
        </w:numPr>
      </w:pPr>
      <w:r>
        <w:t xml:space="preserve">Check them against the ledger</w:t>
      </w:r>
    </w:p>
    <w:p>
      <w:pPr>
        <w:pStyle w:val="ListParagraph"/>
        <w:numPr>
          <w:ilvl w:val="0"/>
          <w:numId w:val="2"/>
        </w:numPr>
      </w:pPr>
      <w:r>
        <w:t xml:space="preserve">Publish the report</w:t>
      </w:r>
    </w:p>
    <w:p>
      <w:pPr>
        <w:pStyle w:val="Heading3"/>
      </w:pPr>
      <w:r>
        <w:t xml:space="preserve">Regions</w:t>
      </w:r>
    </w:p>
    <w:tbl>
      <w:tblPr>
        <w:tblStyle w:val="TableGrid"/>
      </w:tblPr>
      <w:tblGrid>
        <w:gridCol w:w="2400"/>
        <w:gridCol w:w="2400"/>
        <w:gridCol w:w="2400"/>
      </w:tblGrid>
      <w:tr>
        <w:tc>
          <w:tcPr/>
          <w:p>
            <w:r>
              <w:t xml:space="preserve">Region</w:t>
            </w:r>
          </w:p>
        </w:tc>
        <w:tc>
          <w:tcPr/>
          <w:p>
            <w:r>
              <w:t xml:space="preserve">Sales</w:t>
            </w:r>
          </w:p>
        </w:tc>
        <w:tc>
          <w:tcPr/>
          <w:p>
            <w:r>
              <w:t xml:space="preserve">Change</w:t>
            </w:r>
          </w:p>
        </w:tc>
      </w:tr>
      <w:tr>
        <w:tc>
          <w:tcPr/>
          <w:p>
            <w:r>
              <w:t xml:space="preserve">North</w:t>
            </w:r>
          </w:p>
        </w:tc>
        <w:tc>
          <w:tcPr/>
          <w:p>
            <w:r>
              <w:t xml:space="preserve">1,200</w:t>
            </w:r>
          </w:p>
        </w:tc>
        <w:tc>
          <w:tcPr/>
          <w:p>
            <w:r>
              <w:t xml:space="preserve">+12%</w:t>
            </w:r>
          </w:p>
        </w:tc>
      </w:tr>
      <w:tr>
        <w:tc>
          <w:tcPr/>
          <w:p>
            <w:r>
              <w:t xml:space="preserve">South | East</w:t>
            </w:r>
          </w:p>
        </w:tc>
        <w:tc>
          <w:tcPr/>
          <w:p>
            <w:r>
              <w:t xml:space="preserve">900</w:t>
            </w:r>
          </w:p>
        </w:tc>
        <w:tc>
          <w:tcPr/>
          <w:p>
            <w:r>
              <w:t xml:space="preserve">-3%</w:t>
            </w:r>
          </w:p>
        </w:tc>
      </w:tr>
      <w:tr>
        <w:tc>
          <w:tcPr>
            <w:gridSpan w:val="2"/>
          </w:tcPr>
          <w:p>
            <w:r>
              <w:t xml:space="preserve">Total for all regions</w:t>
            </w:r>
          </w:p>
        </w:tc>
        <w:tc>
          <w:tcPr/>
          <w:p>
            <w:r>
              <w:t xml:space="preserve">+5%</w:t>
            </w:r>
          </w:p>
        </w:tc>
      </w:tr>
    </w:tbl>
    <w:p>
      <w:pPr>
        <w:pStyle w:val="Quote"/>
      </w:pPr>
      <w:r>
        <w:t xml:space="preserve">Measure twice, cut once.</w:t>
      </w:r>
    </w:p>
    <w:p>
      <w:r>
        <w:t xml:space="preserve">Run the export with:</w:t>
      </w:r>
    </w:p>
    <w:p>
      <w:r>
        <w:rPr>
          <w:rFonts w:ascii="Consolas" w:hAnsi="Consolas"/>
        </w:rPr>
        <w:t xml:space="preserve">report --format md</w:t>
      </w:r>
    </w:p>
    <w:p>
      <w:r>
        <w:rPr>
          <w:rFonts w:ascii="Consolas" w:hAnsi="Consolas"/>
        </w:rPr>
        <w:t xml:space="preserve">report --images ./img</w:t>
      </w:r>
    </w:p>
    <w:p>
      <w:r>
        <w:t xml:space="preserve">Special characters: 1 * 2 = 2, snake_case_name, # not a heading, [not a link], &lt;tag&gt;.</w:t>
      </w:r>
    </w:p>
    <w:p>
      <w:r>
        <w:drawing>
          <wp:inline xmlns:wp="http://schemas.openxmlformats.org/drawingml/2006/wordprocessingDrawing">
            <wp:extent cx="476250" cy="476250"/>
            <wp:docPr id="1" name="Picture 1" descr="A small red squa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.png"/>
                    <pic:cNvPicPr/>
                  </pic:nvPicPr>
                  <pic:blipFill>
                    <a:blip xmlns:r="http://schemas.openxmlformats.org/officeDocument/2006/relationships" r:embed="R508adb92672446a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End of the report.</w:t>
      </w:r>
    </w:p>
  </w:body>
</w:document>
</file>

<file path=word/footnotes.xml><?xml version="1.0" encoding="utf-8"?>
<w:footnotes xmlns:w="http://schemas.openxmlformats.org/wordprocessingml/2006/main">
  <w:footnote w:id="1">
    <w:p>
      <w:r>
        <w:t>Figures are rounded to the nearest thousand.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lvl w:ilvl="1">
      <w:start w:val="1"/>
      <w:numFmt w:val="bullet"/>
      <w:lvlText w:val="o"/>
    </w:lvl>
  </w:abstractNum>
  <w:abstractNum w:abstractNumId="1"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Quote">
    <w:name w:val="Quote"/>
  </w:style>
  <w:style w:type="paragraph" w:styleId="Code">
    <w:name w:val="Code"/>
  </w:style>
  <w:style w:type="paragraph" w:styleId="ListParagraph">
    <w:name w:val="List Paragraph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d2c8b9e635e4a8c" /><Relationship Type="http://schemas.openxmlformats.org/officeDocument/2006/relationships/numbering" Target="/word/numbering.xml" Id="R1640d1030cfb4de5" /><Relationship Type="http://schemas.openxmlformats.org/officeDocument/2006/relationships/hyperlink" Target="https://example.com/handbook" TargetMode="External" Id="R5ca187b5c7f14508" /><Relationship Type="http://schemas.openxmlformats.org/officeDocument/2006/relationships/image" Target="/media/image.png" Id="R508adb92672446a2" /><Relationship Type="http://schemas.openxmlformats.org/officeDocument/2006/relationships/footnotes" Target="/word/footnotes.xml" Id="Rc173f5c443b7444f" /></Relationships>
</file>