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CA557F" w14:textId="77777777" w:rsidR="00C83319" w:rsidRDefault="00000000">
      <w:pPr>
        <w:pStyle w:val="aff3"/>
        <w:rPr>
          <w:rFonts w:hint="default"/>
        </w:rPr>
      </w:pPr>
      <w:r>
        <w:t>基于分数阶微分和多维光谱指数的无人机高光谱土壤盐分反演研究</w:t>
      </w:r>
    </w:p>
    <w:p w14:paraId="0EA15E0E" w14:textId="2BE4C35C" w:rsidR="006C4435" w:rsidRDefault="00000000" w:rsidP="006C4435">
      <w:pPr>
        <w:jc w:val="center"/>
        <w:rPr>
          <w:rFonts w:ascii="Times New Roman" w:eastAsia="仿宋" w:hAnsi="Times New Roman"/>
          <w:position w:val="13"/>
          <w:szCs w:val="21"/>
        </w:rPr>
      </w:pPr>
      <w:proofErr w:type="gramStart"/>
      <w:r>
        <w:rPr>
          <w:rFonts w:ascii="Times New Roman" w:eastAsia="仿宋" w:hAnsi="Times New Roman" w:hint="eastAsia"/>
          <w:sz w:val="28"/>
          <w:szCs w:val="21"/>
        </w:rPr>
        <w:t>牛铜</w:t>
      </w:r>
      <w:proofErr w:type="gramEnd"/>
      <w:r>
        <w:rPr>
          <w:rFonts w:ascii="Times New Roman" w:eastAsia="仿宋" w:hAnsi="Times New Roman"/>
          <w:spacing w:val="-70"/>
          <w:szCs w:val="21"/>
        </w:rPr>
        <w:t xml:space="preserve">  </w:t>
      </w:r>
      <w:r>
        <w:rPr>
          <w:rFonts w:ascii="Times New Roman" w:eastAsia="仿宋" w:hAnsi="Times New Roman"/>
          <w:position w:val="13"/>
          <w:szCs w:val="21"/>
        </w:rPr>
        <w:t xml:space="preserve">1 </w:t>
      </w:r>
      <w:bookmarkStart w:id="0" w:name="_Hlk177674191"/>
      <w:r>
        <w:rPr>
          <w:rFonts w:ascii="Times New Roman" w:eastAsia="仿宋" w:hAnsi="Times New Roman" w:hint="eastAsia"/>
          <w:sz w:val="28"/>
          <w:szCs w:val="21"/>
        </w:rPr>
        <w:t>张杰</w:t>
      </w:r>
      <w:r>
        <w:rPr>
          <w:rFonts w:ascii="Times New Roman" w:eastAsia="仿宋" w:hAnsi="Times New Roman"/>
          <w:spacing w:val="-70"/>
          <w:szCs w:val="21"/>
        </w:rPr>
        <w:t xml:space="preserve">  </w:t>
      </w:r>
      <w:r>
        <w:rPr>
          <w:rFonts w:ascii="Times New Roman" w:eastAsia="仿宋" w:hAnsi="Times New Roman"/>
          <w:position w:val="13"/>
          <w:szCs w:val="21"/>
        </w:rPr>
        <w:t>1</w:t>
      </w:r>
      <w:bookmarkEnd w:id="0"/>
      <w:r>
        <w:rPr>
          <w:rFonts w:ascii="Times New Roman" w:eastAsia="仿宋" w:hAnsi="Times New Roman"/>
          <w:position w:val="13"/>
          <w:szCs w:val="21"/>
        </w:rPr>
        <w:t xml:space="preserve"> </w:t>
      </w:r>
      <w:r>
        <w:rPr>
          <w:rFonts w:ascii="Times New Roman" w:eastAsia="仿宋" w:hAnsi="Times New Roman" w:hint="eastAsia"/>
          <w:sz w:val="28"/>
          <w:szCs w:val="21"/>
        </w:rPr>
        <w:t>汪雨琦</w:t>
      </w:r>
      <w:bookmarkStart w:id="1" w:name="_Hlk212487739"/>
      <w:r>
        <w:rPr>
          <w:rFonts w:ascii="Times New Roman" w:eastAsia="仿宋" w:hAnsi="Times New Roman"/>
          <w:spacing w:val="-70"/>
          <w:szCs w:val="21"/>
        </w:rPr>
        <w:t xml:space="preserve">  </w:t>
      </w:r>
      <w:r>
        <w:rPr>
          <w:rFonts w:ascii="Times New Roman" w:eastAsia="仿宋" w:hAnsi="Times New Roman"/>
          <w:position w:val="13"/>
          <w:szCs w:val="21"/>
        </w:rPr>
        <w:t>1</w:t>
      </w:r>
      <w:bookmarkEnd w:id="1"/>
      <w:r>
        <w:rPr>
          <w:rFonts w:ascii="Times New Roman" w:eastAsia="仿宋" w:hAnsi="Times New Roman"/>
          <w:position w:val="13"/>
          <w:szCs w:val="21"/>
        </w:rPr>
        <w:t xml:space="preserve"> </w:t>
      </w:r>
      <w:r>
        <w:rPr>
          <w:rFonts w:ascii="Times New Roman" w:eastAsia="仿宋" w:hAnsi="Times New Roman" w:hint="eastAsia"/>
          <w:sz w:val="28"/>
          <w:szCs w:val="21"/>
        </w:rPr>
        <w:t>白</w:t>
      </w:r>
      <w:r>
        <w:rPr>
          <w:rFonts w:ascii="仿宋" w:eastAsia="仿宋" w:hAnsi="仿宋" w:cs="仿宋" w:hint="eastAsia"/>
          <w:sz w:val="28"/>
          <w:szCs w:val="28"/>
        </w:rPr>
        <w:t>雪源</w:t>
      </w:r>
      <w:r>
        <w:rPr>
          <w:rFonts w:ascii="Times New Roman" w:eastAsia="仿宋" w:hAnsi="Times New Roman"/>
          <w:spacing w:val="-70"/>
          <w:szCs w:val="21"/>
        </w:rPr>
        <w:t xml:space="preserve">  </w:t>
      </w:r>
      <w:r>
        <w:rPr>
          <w:rFonts w:ascii="Times New Roman" w:eastAsia="仿宋" w:hAnsi="Times New Roman" w:hint="eastAsia"/>
          <w:position w:val="13"/>
          <w:szCs w:val="21"/>
        </w:rPr>
        <w:t xml:space="preserve">2 </w:t>
      </w:r>
      <w:r>
        <w:rPr>
          <w:rFonts w:ascii="仿宋" w:eastAsia="仿宋" w:hAnsi="仿宋" w:cs="仿宋" w:hint="eastAsia"/>
          <w:sz w:val="28"/>
          <w:szCs w:val="28"/>
        </w:rPr>
        <w:t>吕玉娇</w:t>
      </w:r>
      <w:r>
        <w:rPr>
          <w:rFonts w:ascii="Times New Roman" w:eastAsia="仿宋" w:hAnsi="Times New Roman"/>
          <w:spacing w:val="-70"/>
          <w:szCs w:val="21"/>
        </w:rPr>
        <w:t xml:space="preserve">  </w:t>
      </w:r>
      <w:r>
        <w:rPr>
          <w:rFonts w:ascii="Times New Roman" w:eastAsia="仿宋" w:hAnsi="Times New Roman"/>
          <w:position w:val="13"/>
          <w:szCs w:val="21"/>
        </w:rPr>
        <w:t>1</w:t>
      </w:r>
      <w:r>
        <w:rPr>
          <w:rFonts w:ascii="Times New Roman" w:eastAsia="仿宋" w:hAnsi="Times New Roman" w:hint="eastAsia"/>
          <w:position w:val="13"/>
          <w:szCs w:val="21"/>
        </w:rPr>
        <w:t xml:space="preserve"> </w:t>
      </w:r>
      <w:r>
        <w:rPr>
          <w:rFonts w:ascii="仿宋" w:eastAsia="仿宋" w:hAnsi="仿宋" w:cs="仿宋" w:hint="eastAsia"/>
          <w:sz w:val="28"/>
          <w:szCs w:val="28"/>
        </w:rPr>
        <w:t>陶欢</w:t>
      </w:r>
      <w:r>
        <w:rPr>
          <w:rFonts w:ascii="Times New Roman" w:eastAsia="仿宋" w:hAnsi="Times New Roman"/>
          <w:spacing w:val="-70"/>
          <w:szCs w:val="21"/>
        </w:rPr>
        <w:t xml:space="preserve">  </w:t>
      </w:r>
      <w:r>
        <w:rPr>
          <w:rFonts w:ascii="Times New Roman" w:eastAsia="仿宋" w:hAnsi="Times New Roman" w:hint="eastAsia"/>
          <w:position w:val="13"/>
          <w:szCs w:val="21"/>
        </w:rPr>
        <w:t xml:space="preserve">3 </w:t>
      </w:r>
      <w:r>
        <w:rPr>
          <w:rFonts w:ascii="仿宋" w:eastAsia="仿宋" w:hAnsi="仿宋" w:cs="仿宋" w:hint="eastAsia"/>
          <w:sz w:val="28"/>
          <w:szCs w:val="28"/>
        </w:rPr>
        <w:t>王敬哲</w:t>
      </w:r>
      <w:r>
        <w:rPr>
          <w:rFonts w:ascii="Times New Roman" w:eastAsia="仿宋" w:hAnsi="Times New Roman"/>
          <w:spacing w:val="-70"/>
          <w:szCs w:val="21"/>
        </w:rPr>
        <w:t xml:space="preserve">    </w:t>
      </w:r>
      <w:r>
        <w:rPr>
          <w:rFonts w:ascii="Times New Roman" w:eastAsia="仿宋" w:hAnsi="Times New Roman" w:hint="eastAsia"/>
          <w:position w:val="13"/>
          <w:szCs w:val="21"/>
        </w:rPr>
        <w:t>4</w:t>
      </w:r>
    </w:p>
    <w:p w14:paraId="7D1A6551" w14:textId="61F4BAB7" w:rsidR="00C83319" w:rsidRPr="006C4435" w:rsidRDefault="00000000" w:rsidP="006C4435">
      <w:pPr>
        <w:jc w:val="center"/>
        <w:rPr>
          <w:rFonts w:ascii="Times New Roman" w:eastAsia="仿宋" w:hAnsi="Times New Roman"/>
          <w:sz w:val="28"/>
          <w:szCs w:val="21"/>
        </w:rPr>
      </w:pPr>
      <w:r>
        <w:rPr>
          <w:rFonts w:ascii="仿宋" w:eastAsia="仿宋" w:hAnsi="仿宋" w:cs="仿宋" w:hint="eastAsia"/>
          <w:sz w:val="28"/>
          <w:szCs w:val="28"/>
        </w:rPr>
        <w:t>武乐</w:t>
      </w:r>
      <w:r>
        <w:rPr>
          <w:rFonts w:ascii="Times New Roman" w:eastAsia="仿宋" w:hAnsi="Times New Roman"/>
          <w:spacing w:val="-70"/>
          <w:szCs w:val="21"/>
        </w:rPr>
        <w:t xml:space="preserve">    </w:t>
      </w:r>
      <w:r>
        <w:rPr>
          <w:rFonts w:ascii="Times New Roman" w:eastAsia="仿宋" w:hAnsi="Times New Roman" w:hint="eastAsia"/>
          <w:position w:val="13"/>
          <w:szCs w:val="21"/>
        </w:rPr>
        <w:t xml:space="preserve">2 </w:t>
      </w:r>
      <w:r>
        <w:rPr>
          <w:rFonts w:ascii="仿宋" w:eastAsia="仿宋" w:hAnsi="仿宋" w:cs="仿宋" w:hint="eastAsia"/>
          <w:sz w:val="28"/>
          <w:szCs w:val="28"/>
        </w:rPr>
        <w:t>刘学军</w:t>
      </w:r>
      <w:r>
        <w:rPr>
          <w:rFonts w:ascii="Times New Roman" w:eastAsia="仿宋" w:hAnsi="Times New Roman"/>
          <w:spacing w:val="-70"/>
          <w:szCs w:val="21"/>
        </w:rPr>
        <w:t xml:space="preserve">    </w:t>
      </w:r>
      <w:r>
        <w:rPr>
          <w:rFonts w:ascii="Times New Roman" w:eastAsia="仿宋" w:hAnsi="Times New Roman" w:hint="eastAsia"/>
          <w:position w:val="13"/>
          <w:szCs w:val="21"/>
        </w:rPr>
        <w:t>2</w:t>
      </w:r>
    </w:p>
    <w:p w14:paraId="66930806" w14:textId="32AF5372" w:rsidR="001624B3" w:rsidRDefault="00000000" w:rsidP="001624B3">
      <w:pPr>
        <w:pStyle w:val="aff4"/>
        <w:rPr>
          <w:rFonts w:hint="default"/>
        </w:rPr>
      </w:pPr>
      <w:r>
        <w:t>（</w:t>
      </w:r>
      <w:r>
        <w:t>1.</w:t>
      </w:r>
      <w:r>
        <w:t>中国农业大学信息与电气工程学院，北京</w:t>
      </w:r>
      <w:r w:rsidR="00E47960">
        <w:t xml:space="preserve"> </w:t>
      </w:r>
      <w:r>
        <w:t>100083</w:t>
      </w:r>
      <w:r>
        <w:t>；</w:t>
      </w:r>
      <w:r>
        <w:t>2.</w:t>
      </w:r>
      <w:r>
        <w:t>中国农业大学资源与环境学院，北京</w:t>
      </w:r>
      <w:r w:rsidR="00E47960">
        <w:t xml:space="preserve"> </w:t>
      </w:r>
      <w:r>
        <w:t>100193</w:t>
      </w:r>
      <w:r>
        <w:t>；</w:t>
      </w:r>
      <w:r>
        <w:t>3.</w:t>
      </w:r>
      <w:r>
        <w:t>中国科学院地理科学与资源研究所，北京</w:t>
      </w:r>
      <w:r w:rsidR="00E47960">
        <w:t xml:space="preserve"> </w:t>
      </w:r>
      <w:r>
        <w:t>100101</w:t>
      </w:r>
      <w:r>
        <w:t>；</w:t>
      </w:r>
    </w:p>
    <w:p w14:paraId="338B3D05" w14:textId="0B20FF1B" w:rsidR="00C83319" w:rsidRDefault="00000000" w:rsidP="001624B3">
      <w:pPr>
        <w:pStyle w:val="aff4"/>
        <w:rPr>
          <w:rFonts w:hint="default"/>
        </w:rPr>
      </w:pPr>
      <w:r>
        <w:t>4.</w:t>
      </w:r>
      <w:r>
        <w:t>深圳职业技术大学人工智能学院，深圳</w:t>
      </w:r>
      <w:r w:rsidR="00E47960">
        <w:t xml:space="preserve"> </w:t>
      </w:r>
      <w:r>
        <w:t>518055</w:t>
      </w:r>
      <w:r>
        <w:t>）</w:t>
      </w:r>
    </w:p>
    <w:p w14:paraId="6E9F5092" w14:textId="77777777" w:rsidR="001624B3" w:rsidRPr="00E47960" w:rsidRDefault="001624B3" w:rsidP="001624B3">
      <w:pPr>
        <w:pStyle w:val="a1"/>
        <w:rPr>
          <w:rFonts w:hint="eastAsia"/>
        </w:rPr>
      </w:pPr>
    </w:p>
    <w:p w14:paraId="7FB0C473" w14:textId="61F00CA9" w:rsidR="00C83319" w:rsidRDefault="00000000">
      <w:pPr>
        <w:outlineLvl w:val="0"/>
        <w:rPr>
          <w:rFonts w:ascii="Times New Roman" w:hAnsi="Times New Roman"/>
          <w:szCs w:val="21"/>
        </w:rPr>
      </w:pPr>
      <w:r>
        <w:rPr>
          <w:rFonts w:ascii="Times New Roman" w:eastAsia="黑体" w:hAnsi="Times New Roman"/>
          <w:szCs w:val="21"/>
        </w:rPr>
        <w:t>摘要</w:t>
      </w:r>
      <w:r>
        <w:rPr>
          <w:rFonts w:ascii="Times New Roman" w:hAnsi="Times New Roman"/>
          <w:szCs w:val="21"/>
        </w:rPr>
        <w:t>：</w:t>
      </w:r>
      <w:r>
        <w:rPr>
          <w:rFonts w:ascii="Times New Roman" w:hAnsi="Times New Roman" w:hint="eastAsia"/>
          <w:szCs w:val="21"/>
        </w:rPr>
        <w:t>我国干旱与半干旱地区土壤盐渍化突出，严重制约农业可持续发展。卫星遥感技术受限于空间与光谱</w:t>
      </w:r>
      <w:r>
        <w:rPr>
          <w:rFonts w:ascii="Times New Roman" w:hAnsi="Times New Roman" w:hint="eastAsia"/>
          <w:szCs w:val="21"/>
        </w:rPr>
        <w:t xml:space="preserve"> </w:t>
      </w:r>
      <w:r>
        <w:rPr>
          <w:rFonts w:ascii="Times New Roman" w:hAnsi="Times New Roman" w:hint="eastAsia"/>
          <w:szCs w:val="21"/>
        </w:rPr>
        <w:t>分辨率不足，难以实现田块尺度土壤盐分的精准监测，是当前盐渍化监测面临的关键挑战。为提高土壤盐分含量遥感反演精度，本研究以新疆和田县典型盐渍化农田为研究区，采集</w:t>
      </w:r>
      <w:r>
        <w:rPr>
          <w:rFonts w:ascii="Times New Roman" w:hAnsi="Times New Roman" w:hint="eastAsia"/>
          <w:szCs w:val="21"/>
        </w:rPr>
        <w:t>0</w:t>
      </w:r>
      <m:oMath>
        <m:r>
          <m:rPr>
            <m:sty m:val="p"/>
          </m:rPr>
          <w:rPr>
            <w:rFonts w:ascii="Times New Roman" w:hAnsi="Times New Roman" w:hint="eastAsia"/>
            <w:szCs w:val="21"/>
          </w:rPr>
          <m:t>∼</m:t>
        </m:r>
      </m:oMath>
      <w:r>
        <w:rPr>
          <w:rFonts w:ascii="Times New Roman" w:hAnsi="Times New Roman" w:hint="eastAsia"/>
          <w:szCs w:val="21"/>
        </w:rPr>
        <w:t>20 cm</w:t>
      </w:r>
      <w:r>
        <w:rPr>
          <w:rFonts w:ascii="Times New Roman" w:hAnsi="Times New Roman" w:hint="eastAsia"/>
          <w:szCs w:val="21"/>
        </w:rPr>
        <w:t>表层土壤样品</w:t>
      </w:r>
      <w:r>
        <w:rPr>
          <w:rFonts w:ascii="Times New Roman" w:hAnsi="Times New Roman" w:hint="eastAsia"/>
          <w:szCs w:val="21"/>
        </w:rPr>
        <w:t>68</w:t>
      </w:r>
      <w:r>
        <w:rPr>
          <w:rFonts w:ascii="Times New Roman" w:hAnsi="Times New Roman" w:hint="eastAsia"/>
          <w:szCs w:val="21"/>
        </w:rPr>
        <w:t>份，并同步获取无人机高光谱影像。在原始光谱数据经</w:t>
      </w:r>
      <w:r>
        <w:rPr>
          <w:rFonts w:ascii="Times New Roman" w:hAnsi="Times New Roman" w:hint="eastAsia"/>
          <w:szCs w:val="21"/>
        </w:rPr>
        <w:t>Savitzky-Golay</w:t>
      </w:r>
      <w:r>
        <w:rPr>
          <w:rFonts w:ascii="Times New Roman" w:hAnsi="Times New Roman" w:hint="eastAsia"/>
          <w:szCs w:val="21"/>
        </w:rPr>
        <w:t>滤波预处理的基础上，以</w:t>
      </w:r>
      <w:r>
        <w:rPr>
          <w:rFonts w:ascii="Times New Roman" w:hAnsi="Times New Roman" w:hint="eastAsia"/>
          <w:szCs w:val="21"/>
        </w:rPr>
        <w:t>0.2</w:t>
      </w:r>
      <w:r>
        <w:rPr>
          <w:rFonts w:ascii="Times New Roman" w:hAnsi="Times New Roman" w:hint="eastAsia"/>
          <w:szCs w:val="21"/>
        </w:rPr>
        <w:t>阶为步长计算</w:t>
      </w:r>
      <w:r>
        <w:rPr>
          <w:rFonts w:ascii="Times New Roman" w:hAnsi="Times New Roman" w:hint="eastAsia"/>
          <w:szCs w:val="21"/>
        </w:rPr>
        <w:t>0.2</w:t>
      </w:r>
      <m:oMath>
        <m:r>
          <m:rPr>
            <m:sty m:val="p"/>
          </m:rPr>
          <w:rPr>
            <w:rFonts w:ascii="Times New Roman" w:hAnsi="Times New Roman" w:hint="eastAsia"/>
            <w:szCs w:val="21"/>
          </w:rPr>
          <m:t>∼</m:t>
        </m:r>
      </m:oMath>
      <w:r>
        <w:rPr>
          <w:rFonts w:ascii="Times New Roman" w:hAnsi="Times New Roman" w:hint="eastAsia"/>
          <w:szCs w:val="21"/>
        </w:rPr>
        <w:t>2.0</w:t>
      </w:r>
      <w:r>
        <w:rPr>
          <w:rFonts w:ascii="Times New Roman" w:hAnsi="Times New Roman" w:hint="eastAsia"/>
          <w:szCs w:val="21"/>
        </w:rPr>
        <w:t>阶的分数阶微分变换，增强光谱对盐分响应的敏感特征。之后进一步构建</w:t>
      </w:r>
      <w:r>
        <w:rPr>
          <w:rFonts w:ascii="Times New Roman" w:hAnsi="Times New Roman" w:hint="eastAsia"/>
          <w:szCs w:val="21"/>
        </w:rPr>
        <w:t>3</w:t>
      </w:r>
      <w:r>
        <w:rPr>
          <w:rFonts w:ascii="Times New Roman" w:hAnsi="Times New Roman" w:hint="eastAsia"/>
          <w:szCs w:val="21"/>
        </w:rPr>
        <w:t>类二维光谱指数和</w:t>
      </w:r>
      <w:r>
        <w:rPr>
          <w:rFonts w:ascii="Times New Roman" w:hAnsi="Times New Roman" w:hint="eastAsia"/>
          <w:szCs w:val="21"/>
        </w:rPr>
        <w:t>6</w:t>
      </w:r>
      <w:r>
        <w:rPr>
          <w:rFonts w:ascii="Times New Roman" w:hAnsi="Times New Roman" w:hint="eastAsia"/>
          <w:szCs w:val="21"/>
        </w:rPr>
        <w:t>类三维光谱指数，通过</w:t>
      </w:r>
      <w:r>
        <w:rPr>
          <w:rFonts w:ascii="Times New Roman" w:hAnsi="Times New Roman" w:hint="eastAsia"/>
          <w:szCs w:val="21"/>
        </w:rPr>
        <w:t>Pearson</w:t>
      </w:r>
      <w:r>
        <w:rPr>
          <w:rFonts w:ascii="Times New Roman" w:hAnsi="Times New Roman" w:hint="eastAsia"/>
          <w:szCs w:val="21"/>
        </w:rPr>
        <w:t>相关性分析筛选最优光谱指数，并采用偏最小二乘回归（</w:t>
      </w:r>
      <w:r>
        <w:rPr>
          <w:rFonts w:ascii="Times New Roman" w:hAnsi="Times New Roman" w:hint="eastAsia"/>
          <w:szCs w:val="21"/>
        </w:rPr>
        <w:t>partial least squares regression</w:t>
      </w:r>
      <w:r>
        <w:rPr>
          <w:rFonts w:ascii="Times New Roman" w:hAnsi="Times New Roman" w:hint="eastAsia"/>
          <w:szCs w:val="21"/>
        </w:rPr>
        <w:t>，</w:t>
      </w:r>
      <w:r>
        <w:rPr>
          <w:rFonts w:ascii="Times New Roman" w:hAnsi="Times New Roman" w:hint="eastAsia"/>
          <w:szCs w:val="21"/>
        </w:rPr>
        <w:t>PLSR</w:t>
      </w:r>
      <w:r>
        <w:rPr>
          <w:rFonts w:ascii="Times New Roman" w:hAnsi="Times New Roman" w:hint="eastAsia"/>
          <w:szCs w:val="21"/>
        </w:rPr>
        <w:t>）、支持向量机（</w:t>
      </w:r>
      <w:r>
        <w:rPr>
          <w:rFonts w:ascii="Times New Roman" w:hAnsi="Times New Roman" w:hint="eastAsia"/>
          <w:szCs w:val="21"/>
        </w:rPr>
        <w:t>support vector machine</w:t>
      </w:r>
      <w:r>
        <w:rPr>
          <w:rFonts w:ascii="Times New Roman" w:hAnsi="Times New Roman" w:hint="eastAsia"/>
          <w:szCs w:val="21"/>
        </w:rPr>
        <w:t>，</w:t>
      </w:r>
      <w:r>
        <w:rPr>
          <w:rFonts w:ascii="Times New Roman" w:hAnsi="Times New Roman" w:hint="eastAsia"/>
          <w:szCs w:val="21"/>
        </w:rPr>
        <w:t>SVM</w:t>
      </w:r>
      <w:r>
        <w:rPr>
          <w:rFonts w:ascii="Times New Roman" w:hAnsi="Times New Roman" w:hint="eastAsia"/>
          <w:szCs w:val="21"/>
        </w:rPr>
        <w:t>）、随机森林（</w:t>
      </w:r>
      <w:r>
        <w:rPr>
          <w:rFonts w:ascii="Times New Roman" w:hAnsi="Times New Roman" w:hint="eastAsia"/>
          <w:szCs w:val="21"/>
        </w:rPr>
        <w:t>random forest</w:t>
      </w:r>
      <w:r>
        <w:rPr>
          <w:rFonts w:ascii="Times New Roman" w:hAnsi="Times New Roman" w:hint="eastAsia"/>
          <w:szCs w:val="21"/>
        </w:rPr>
        <w:t>，</w:t>
      </w:r>
      <w:r>
        <w:rPr>
          <w:rFonts w:ascii="Times New Roman" w:hAnsi="Times New Roman" w:hint="eastAsia"/>
          <w:szCs w:val="21"/>
        </w:rPr>
        <w:t>RF</w:t>
      </w:r>
      <w:r>
        <w:rPr>
          <w:rFonts w:ascii="Times New Roman" w:hAnsi="Times New Roman" w:hint="eastAsia"/>
          <w:szCs w:val="21"/>
        </w:rPr>
        <w:t>）和极端梯度提升（</w:t>
      </w:r>
      <w:r>
        <w:rPr>
          <w:rFonts w:ascii="Times New Roman" w:hAnsi="Times New Roman" w:hint="eastAsia"/>
          <w:szCs w:val="21"/>
        </w:rPr>
        <w:t>extreme gradient boosting</w:t>
      </w:r>
      <w:r>
        <w:rPr>
          <w:rFonts w:ascii="Times New Roman" w:hAnsi="Times New Roman" w:hint="eastAsia"/>
          <w:szCs w:val="21"/>
        </w:rPr>
        <w:t>，</w:t>
      </w:r>
      <w:r>
        <w:rPr>
          <w:rFonts w:ascii="Times New Roman" w:hAnsi="Times New Roman" w:hint="eastAsia"/>
          <w:szCs w:val="21"/>
        </w:rPr>
        <w:t>XGBoost</w:t>
      </w:r>
      <w:r>
        <w:rPr>
          <w:rFonts w:ascii="Times New Roman" w:hAnsi="Times New Roman" w:hint="eastAsia"/>
          <w:szCs w:val="21"/>
        </w:rPr>
        <w:t>）</w:t>
      </w:r>
      <w:r>
        <w:rPr>
          <w:rFonts w:ascii="Times New Roman" w:hAnsi="Times New Roman" w:hint="eastAsia"/>
          <w:szCs w:val="21"/>
        </w:rPr>
        <w:t>4</w:t>
      </w:r>
      <w:r>
        <w:rPr>
          <w:rFonts w:ascii="Times New Roman" w:hAnsi="Times New Roman" w:hint="eastAsia"/>
          <w:szCs w:val="21"/>
        </w:rPr>
        <w:t>种机器学习算法构建土壤盐分反演模型，并验证多阶次</w:t>
      </w:r>
      <w:r>
        <w:rPr>
          <w:rFonts w:ascii="Times New Roman" w:hAnsi="Times New Roman" w:hint="eastAsia"/>
          <w:szCs w:val="21"/>
        </w:rPr>
        <w:t>FOD</w:t>
      </w:r>
      <w:r>
        <w:rPr>
          <w:rFonts w:ascii="Times New Roman" w:hAnsi="Times New Roman" w:hint="eastAsia"/>
          <w:szCs w:val="21"/>
        </w:rPr>
        <w:t>光谱指数组合建模的适用性，基于最优模型生成研究区土壤盐分空间分布图。结果表明：（</w:t>
      </w:r>
      <w:r>
        <w:rPr>
          <w:rFonts w:ascii="Times New Roman" w:hAnsi="Times New Roman" w:hint="eastAsia"/>
          <w:szCs w:val="21"/>
        </w:rPr>
        <w:t>1</w:t>
      </w:r>
      <w:r>
        <w:rPr>
          <w:rFonts w:ascii="Times New Roman" w:hAnsi="Times New Roman" w:hint="eastAsia"/>
          <w:szCs w:val="21"/>
        </w:rPr>
        <w:t>）</w:t>
      </w:r>
      <w:r>
        <w:rPr>
          <w:rFonts w:ascii="Times New Roman" w:hAnsi="Times New Roman" w:hint="eastAsia"/>
          <w:szCs w:val="21"/>
        </w:rPr>
        <w:t>FOD</w:t>
      </w:r>
      <w:r>
        <w:rPr>
          <w:rFonts w:ascii="Times New Roman" w:hAnsi="Times New Roman" w:hint="eastAsia"/>
          <w:szCs w:val="21"/>
        </w:rPr>
        <w:t>能有效增强光谱对土壤盐分的敏感特征，三维光谱指数与土壤盐分的相关性普遍优于二维指数，其中</w:t>
      </w:r>
      <w:r>
        <w:rPr>
          <w:rFonts w:ascii="Times New Roman" w:hAnsi="Times New Roman" w:hint="eastAsia"/>
          <w:szCs w:val="21"/>
        </w:rPr>
        <w:t>TBI6</w:t>
      </w:r>
      <w:r>
        <w:rPr>
          <w:rFonts w:ascii="Times New Roman" w:hAnsi="Times New Roman" w:hint="eastAsia"/>
          <w:szCs w:val="21"/>
        </w:rPr>
        <w:t>在</w:t>
      </w:r>
      <w:r>
        <w:rPr>
          <w:rFonts w:ascii="Times New Roman" w:hAnsi="Times New Roman" w:hint="eastAsia"/>
          <w:szCs w:val="21"/>
        </w:rPr>
        <w:t>1.0</w:t>
      </w:r>
      <w:r>
        <w:rPr>
          <w:rFonts w:ascii="Times New Roman" w:hAnsi="Times New Roman" w:hint="eastAsia"/>
          <w:szCs w:val="21"/>
        </w:rPr>
        <w:t>阶微分时相关系数最高，达</w:t>
      </w:r>
      <w:r>
        <w:rPr>
          <w:rFonts w:ascii="Times New Roman" w:hAnsi="Times New Roman" w:hint="eastAsia"/>
          <w:szCs w:val="21"/>
        </w:rPr>
        <w:t>0.84</w:t>
      </w:r>
      <w:r>
        <w:rPr>
          <w:rFonts w:ascii="Times New Roman" w:hAnsi="Times New Roman" w:hint="eastAsia"/>
          <w:szCs w:val="21"/>
        </w:rPr>
        <w:t>；（</w:t>
      </w:r>
      <w:r>
        <w:rPr>
          <w:rFonts w:ascii="Times New Roman" w:hAnsi="Times New Roman" w:hint="eastAsia"/>
          <w:szCs w:val="21"/>
        </w:rPr>
        <w:t>2</w:t>
      </w:r>
      <w:r>
        <w:rPr>
          <w:rFonts w:ascii="Times New Roman" w:hAnsi="Times New Roman" w:hint="eastAsia"/>
          <w:szCs w:val="21"/>
        </w:rPr>
        <w:t>）在</w:t>
      </w:r>
      <w:r>
        <w:rPr>
          <w:rFonts w:ascii="Times New Roman" w:hAnsi="Times New Roman" w:hint="eastAsia"/>
          <w:szCs w:val="21"/>
        </w:rPr>
        <w:t>4</w:t>
      </w:r>
      <w:r>
        <w:rPr>
          <w:rFonts w:ascii="Times New Roman" w:hAnsi="Times New Roman" w:hint="eastAsia"/>
          <w:szCs w:val="21"/>
        </w:rPr>
        <w:t>种机器学习模型中，采用</w:t>
      </w:r>
      <w:r>
        <w:rPr>
          <w:rFonts w:ascii="Times New Roman" w:hAnsi="Times New Roman" w:hint="eastAsia"/>
          <w:szCs w:val="21"/>
        </w:rPr>
        <w:t>1.8</w:t>
      </w:r>
      <w:r>
        <w:rPr>
          <w:rFonts w:ascii="Times New Roman" w:hAnsi="Times New Roman" w:hint="eastAsia"/>
          <w:szCs w:val="21"/>
        </w:rPr>
        <w:t>阶微分变换的</w:t>
      </w:r>
      <w:r>
        <w:rPr>
          <w:rFonts w:ascii="Times New Roman" w:hAnsi="Times New Roman" w:hint="eastAsia"/>
          <w:szCs w:val="21"/>
        </w:rPr>
        <w:t>RF</w:t>
      </w:r>
      <w:r>
        <w:rPr>
          <w:rFonts w:ascii="Times New Roman" w:hAnsi="Times New Roman" w:hint="eastAsia"/>
          <w:szCs w:val="21"/>
        </w:rPr>
        <w:t>模型反演精度最优，测试集</w:t>
      </w:r>
      <w:r w:rsidR="00E47960">
        <w:rPr>
          <w:rFonts w:ascii="Times New Roman" w:hAnsi="Times New Roman" w:hint="eastAsia"/>
          <w:szCs w:val="21"/>
        </w:rPr>
        <w:t>R</w:t>
      </w:r>
      <w:r w:rsidR="00E47960" w:rsidRPr="00E47960">
        <w:rPr>
          <w:rFonts w:ascii="Times New Roman" w:hAnsi="Times New Roman" w:hint="eastAsia"/>
          <w:szCs w:val="21"/>
          <w:vertAlign w:val="superscript"/>
        </w:rPr>
        <w:t>2</w:t>
      </w:r>
      <w:r>
        <w:rPr>
          <w:rFonts w:ascii="Times New Roman" w:hAnsi="Times New Roman" w:hint="eastAsia"/>
          <w:szCs w:val="21"/>
        </w:rPr>
        <w:t>为</w:t>
      </w:r>
      <w:r>
        <w:rPr>
          <w:rFonts w:ascii="Times New Roman" w:hAnsi="Times New Roman" w:hint="eastAsia"/>
          <w:szCs w:val="21"/>
        </w:rPr>
        <w:t>0.74</w:t>
      </w:r>
      <w:r>
        <w:rPr>
          <w:rFonts w:ascii="Times New Roman" w:hAnsi="Times New Roman" w:hint="eastAsia"/>
          <w:szCs w:val="21"/>
        </w:rPr>
        <w:t>，</w:t>
      </w:r>
      <w:r>
        <w:rPr>
          <w:rFonts w:ascii="Times New Roman" w:hAnsi="Times New Roman" w:hint="eastAsia"/>
          <w:szCs w:val="21"/>
        </w:rPr>
        <w:t>RMSE</w:t>
      </w:r>
      <w:r>
        <w:rPr>
          <w:rFonts w:ascii="Times New Roman" w:hAnsi="Times New Roman" w:hint="eastAsia"/>
          <w:szCs w:val="21"/>
        </w:rPr>
        <w:t>为</w:t>
      </w:r>
      <w:r>
        <w:rPr>
          <w:rFonts w:ascii="Times New Roman" w:hAnsi="Times New Roman" w:hint="eastAsia"/>
          <w:szCs w:val="21"/>
        </w:rPr>
        <w:t>1.55 g/kg</w:t>
      </w:r>
      <w:r>
        <w:rPr>
          <w:rFonts w:ascii="Times New Roman" w:hAnsi="Times New Roman" w:hint="eastAsia"/>
          <w:szCs w:val="21"/>
        </w:rPr>
        <w:t>，</w:t>
      </w:r>
      <w:r>
        <w:rPr>
          <w:rFonts w:ascii="Times New Roman" w:hAnsi="Times New Roman" w:hint="eastAsia"/>
          <w:szCs w:val="21"/>
        </w:rPr>
        <w:t>RPD</w:t>
      </w:r>
      <w:r>
        <w:rPr>
          <w:rFonts w:ascii="Times New Roman" w:hAnsi="Times New Roman" w:hint="eastAsia"/>
          <w:szCs w:val="21"/>
        </w:rPr>
        <w:t>为</w:t>
      </w:r>
      <w:r>
        <w:rPr>
          <w:rFonts w:ascii="Times New Roman" w:hAnsi="Times New Roman" w:hint="eastAsia"/>
          <w:szCs w:val="21"/>
        </w:rPr>
        <w:t>1.94</w:t>
      </w:r>
      <w:r>
        <w:rPr>
          <w:rFonts w:ascii="Times New Roman" w:hAnsi="Times New Roman" w:hint="eastAsia"/>
          <w:szCs w:val="21"/>
        </w:rPr>
        <w:t>，优于</w:t>
      </w:r>
      <w:r>
        <w:rPr>
          <w:rFonts w:ascii="Times New Roman" w:hAnsi="Times New Roman" w:hint="eastAsia"/>
          <w:szCs w:val="21"/>
        </w:rPr>
        <w:t>PLSR</w:t>
      </w:r>
      <w:r>
        <w:rPr>
          <w:rFonts w:ascii="Times New Roman" w:hAnsi="Times New Roman" w:hint="eastAsia"/>
          <w:szCs w:val="21"/>
        </w:rPr>
        <w:t>、</w:t>
      </w:r>
      <w:r>
        <w:rPr>
          <w:rFonts w:ascii="Times New Roman" w:hAnsi="Times New Roman" w:hint="eastAsia"/>
          <w:szCs w:val="21"/>
        </w:rPr>
        <w:t>SVM</w:t>
      </w:r>
      <w:r>
        <w:rPr>
          <w:rFonts w:ascii="Times New Roman" w:hAnsi="Times New Roman" w:hint="eastAsia"/>
          <w:szCs w:val="21"/>
        </w:rPr>
        <w:t>和</w:t>
      </w:r>
      <w:r>
        <w:rPr>
          <w:rFonts w:ascii="Times New Roman" w:hAnsi="Times New Roman" w:hint="eastAsia"/>
          <w:szCs w:val="21"/>
        </w:rPr>
        <w:t>XGBoost</w:t>
      </w:r>
      <w:r>
        <w:rPr>
          <w:rFonts w:ascii="Times New Roman" w:hAnsi="Times New Roman" w:hint="eastAsia"/>
          <w:szCs w:val="21"/>
        </w:rPr>
        <w:t>模型；（</w:t>
      </w:r>
      <w:r>
        <w:rPr>
          <w:rFonts w:ascii="Times New Roman" w:hAnsi="Times New Roman" w:hint="eastAsia"/>
          <w:szCs w:val="21"/>
        </w:rPr>
        <w:t>3</w:t>
      </w:r>
      <w:r>
        <w:rPr>
          <w:rFonts w:ascii="Times New Roman" w:hAnsi="Times New Roman" w:hint="eastAsia"/>
          <w:szCs w:val="21"/>
        </w:rPr>
        <w:t>）多阶次</w:t>
      </w:r>
      <w:r>
        <w:rPr>
          <w:rFonts w:ascii="Times New Roman" w:hAnsi="Times New Roman" w:hint="eastAsia"/>
          <w:szCs w:val="21"/>
        </w:rPr>
        <w:t>FOD</w:t>
      </w:r>
      <w:r>
        <w:rPr>
          <w:rFonts w:ascii="Times New Roman" w:hAnsi="Times New Roman" w:hint="eastAsia"/>
          <w:szCs w:val="21"/>
        </w:rPr>
        <w:t>光谱指数组合建模能够进一步提升反演精度，最优</w:t>
      </w:r>
      <w:r>
        <w:rPr>
          <w:rFonts w:ascii="Times New Roman" w:hAnsi="Times New Roman" w:hint="eastAsia"/>
          <w:szCs w:val="21"/>
        </w:rPr>
        <w:t>5</w:t>
      </w:r>
      <w:r>
        <w:rPr>
          <w:rFonts w:ascii="Times New Roman" w:hAnsi="Times New Roman" w:hint="eastAsia"/>
          <w:szCs w:val="21"/>
        </w:rPr>
        <w:t>阶组合（</w:t>
      </w:r>
      <w:r>
        <w:rPr>
          <w:rFonts w:ascii="Times New Roman" w:hAnsi="Times New Roman" w:hint="eastAsia"/>
          <w:szCs w:val="21"/>
        </w:rPr>
        <w:t>0.4+0.6+1.0+1.6+2.0</w:t>
      </w:r>
      <w:r>
        <w:rPr>
          <w:rFonts w:ascii="Times New Roman" w:hAnsi="Times New Roman" w:hint="eastAsia"/>
          <w:szCs w:val="21"/>
        </w:rPr>
        <w:t>阶）的</w:t>
      </w:r>
      <w:r>
        <w:rPr>
          <w:rFonts w:ascii="Times New Roman" w:hAnsi="Times New Roman" w:hint="eastAsia"/>
          <w:szCs w:val="21"/>
        </w:rPr>
        <w:t>RF</w:t>
      </w:r>
      <w:r>
        <w:rPr>
          <w:rFonts w:ascii="Times New Roman" w:hAnsi="Times New Roman" w:hint="eastAsia"/>
          <w:szCs w:val="21"/>
        </w:rPr>
        <w:t>模型测试集</w:t>
      </w:r>
      <m:oMath>
        <m:sSup>
          <m:sSupPr>
            <m:ctrlPr>
              <w:rPr>
                <w:rFonts w:ascii="Cambria Math" w:hAnsi="Cambria Math" w:hint="eastAsia"/>
                <w:szCs w:val="21"/>
              </w:rPr>
            </m:ctrlPr>
          </m:sSupPr>
          <m:e>
            <m:r>
              <m:rPr>
                <m:sty m:val="p"/>
              </m:rPr>
              <w:rPr>
                <w:rFonts w:ascii="Times New Roman" w:hAnsi="Times New Roman" w:hint="eastAsia"/>
                <w:szCs w:val="21"/>
              </w:rPr>
              <m:t>R</m:t>
            </m:r>
          </m:e>
          <m:sup>
            <m:r>
              <m:rPr>
                <m:sty m:val="p"/>
              </m:rPr>
              <w:rPr>
                <w:rFonts w:ascii="Times New Roman" w:hAnsi="Times New Roman" w:hint="eastAsia"/>
                <w:szCs w:val="21"/>
              </w:rPr>
              <m:t>2</m:t>
            </m:r>
          </m:sup>
        </m:sSup>
      </m:oMath>
      <w:r>
        <w:rPr>
          <w:rFonts w:ascii="Times New Roman" w:hAnsi="Times New Roman" w:hint="eastAsia"/>
          <w:szCs w:val="21"/>
        </w:rPr>
        <w:t>为</w:t>
      </w:r>
      <w:r>
        <w:rPr>
          <w:rFonts w:ascii="Times New Roman" w:hAnsi="Times New Roman" w:hint="eastAsia"/>
          <w:szCs w:val="21"/>
        </w:rPr>
        <w:t>0.81</w:t>
      </w:r>
      <w:r>
        <w:rPr>
          <w:rFonts w:ascii="Times New Roman" w:hAnsi="Times New Roman" w:hint="eastAsia"/>
          <w:szCs w:val="21"/>
        </w:rPr>
        <w:t>，</w:t>
      </w:r>
      <w:r>
        <w:rPr>
          <w:rFonts w:ascii="Times New Roman" w:hAnsi="Times New Roman" w:hint="eastAsia"/>
          <w:szCs w:val="21"/>
        </w:rPr>
        <w:t>RMSE</w:t>
      </w:r>
      <w:r>
        <w:rPr>
          <w:rFonts w:ascii="Times New Roman" w:hAnsi="Times New Roman" w:hint="eastAsia"/>
          <w:szCs w:val="21"/>
        </w:rPr>
        <w:t>为</w:t>
      </w:r>
      <w:r>
        <w:rPr>
          <w:rFonts w:ascii="Times New Roman" w:hAnsi="Times New Roman" w:hint="eastAsia"/>
          <w:szCs w:val="21"/>
        </w:rPr>
        <w:t>1.28 g/kg</w:t>
      </w:r>
      <w:r>
        <w:rPr>
          <w:rFonts w:ascii="Times New Roman" w:hAnsi="Times New Roman" w:hint="eastAsia"/>
          <w:szCs w:val="21"/>
        </w:rPr>
        <w:t>，</w:t>
      </w:r>
      <w:r>
        <w:rPr>
          <w:rFonts w:ascii="Times New Roman" w:hAnsi="Times New Roman" w:hint="eastAsia"/>
          <w:szCs w:val="21"/>
        </w:rPr>
        <w:t>RPD</w:t>
      </w:r>
      <w:r>
        <w:rPr>
          <w:rFonts w:ascii="Times New Roman" w:hAnsi="Times New Roman" w:hint="eastAsia"/>
          <w:szCs w:val="21"/>
        </w:rPr>
        <w:t>为</w:t>
      </w:r>
      <w:r>
        <w:rPr>
          <w:rFonts w:ascii="Times New Roman" w:hAnsi="Times New Roman" w:hint="eastAsia"/>
          <w:szCs w:val="21"/>
        </w:rPr>
        <w:t>2.34</w:t>
      </w:r>
      <w:r>
        <w:rPr>
          <w:rFonts w:ascii="Times New Roman" w:hAnsi="Times New Roman" w:hint="eastAsia"/>
          <w:szCs w:val="21"/>
        </w:rPr>
        <w:t>，</w:t>
      </w:r>
      <w:r>
        <w:rPr>
          <w:rFonts w:ascii="Times New Roman" w:hAnsi="Times New Roman" w:hint="eastAsia"/>
          <w:szCs w:val="21"/>
        </w:rPr>
        <w:t>RPD</w:t>
      </w:r>
      <w:r>
        <w:rPr>
          <w:rFonts w:ascii="Times New Roman" w:hAnsi="Times New Roman" w:hint="eastAsia"/>
          <w:szCs w:val="21"/>
        </w:rPr>
        <w:t>超过</w:t>
      </w:r>
      <w:r>
        <w:rPr>
          <w:rFonts w:ascii="Times New Roman" w:hAnsi="Times New Roman" w:hint="eastAsia"/>
          <w:szCs w:val="21"/>
        </w:rPr>
        <w:t>2.0</w:t>
      </w:r>
      <w:r>
        <w:rPr>
          <w:rFonts w:ascii="Times New Roman" w:hAnsi="Times New Roman" w:hint="eastAsia"/>
          <w:szCs w:val="21"/>
        </w:rPr>
        <w:t>，表明模型具备较好的反演能力；（</w:t>
      </w:r>
      <w:r>
        <w:rPr>
          <w:rFonts w:ascii="Times New Roman" w:hAnsi="Times New Roman" w:hint="eastAsia"/>
          <w:szCs w:val="21"/>
        </w:rPr>
        <w:t>4</w:t>
      </w:r>
      <w:r>
        <w:rPr>
          <w:rFonts w:ascii="Times New Roman" w:hAnsi="Times New Roman" w:hint="eastAsia"/>
          <w:szCs w:val="21"/>
        </w:rPr>
        <w:t>）基于最优模型生成的土壤盐分空间分布图显示，研究区盐分整体呈由西南向东北逐渐增高的趋势，与地表泛白盐渍斑块的分布基本一致。本研究可为无人机高光谱遥感技术在田块尺度土壤盐分反演中的应用提供科学依据与技术支撑。</w:t>
      </w:r>
    </w:p>
    <w:p w14:paraId="3B6D759A" w14:textId="77777777" w:rsidR="00C83319" w:rsidRDefault="00000000">
      <w:pPr>
        <w:outlineLvl w:val="0"/>
        <w:rPr>
          <w:rFonts w:ascii="Times New Roman" w:hAnsi="Times New Roman"/>
          <w:szCs w:val="21"/>
        </w:rPr>
      </w:pPr>
      <w:r>
        <w:rPr>
          <w:rFonts w:ascii="Times New Roman" w:eastAsia="黑体" w:hAnsi="Times New Roman"/>
          <w:szCs w:val="21"/>
        </w:rPr>
        <w:t>关键词</w:t>
      </w:r>
      <w:r>
        <w:rPr>
          <w:rFonts w:ascii="Times New Roman" w:hAnsi="Times New Roman"/>
          <w:szCs w:val="21"/>
        </w:rPr>
        <w:t>：</w:t>
      </w:r>
      <w:r>
        <w:rPr>
          <w:rFonts w:ascii="Times New Roman" w:hAnsi="Times New Roman" w:hint="eastAsia"/>
          <w:szCs w:val="21"/>
        </w:rPr>
        <w:t>土壤盐分；无人机；高光谱影像；分数阶微分；光谱指数；机器学习</w:t>
      </w:r>
    </w:p>
    <w:p w14:paraId="53F39E4C" w14:textId="77777777" w:rsidR="009748C9" w:rsidRDefault="0073299E" w:rsidP="0073299E">
      <w:pPr>
        <w:rPr>
          <w:rFonts w:ascii="Times New Roman" w:eastAsia="黑体" w:hAnsi="Times New Roman"/>
          <w:spacing w:val="-2"/>
          <w:szCs w:val="21"/>
        </w:rPr>
        <w:sectPr w:rsidR="009748C9" w:rsidSect="00B263F1">
          <w:type w:val="continuous"/>
          <w:pgSz w:w="11906" w:h="16838"/>
          <w:pgMar w:top="1440" w:right="1800" w:bottom="1440" w:left="1800" w:header="851" w:footer="992" w:gutter="0"/>
          <w:cols w:space="425"/>
          <w:docGrid w:type="lines" w:linePitch="312"/>
        </w:sectPr>
      </w:pPr>
      <w:r w:rsidRPr="00D3574F">
        <w:rPr>
          <w:rFonts w:ascii="Times New Roman" w:eastAsia="黑体" w:hAnsi="Times New Roman"/>
          <w:szCs w:val="21"/>
        </w:rPr>
        <w:t>中图分类号：</w:t>
      </w:r>
      <w:r w:rsidRPr="00D3574F">
        <w:rPr>
          <w:rFonts w:ascii="Times New Roman" w:eastAsia="黑体" w:hAnsi="Times New Roman" w:hint="eastAsia"/>
          <w:szCs w:val="21"/>
        </w:rPr>
        <w:t>TP79</w:t>
      </w:r>
      <w:r w:rsidRPr="00D3574F">
        <w:rPr>
          <w:rFonts w:ascii="Times New Roman" w:eastAsia="黑体" w:hAnsi="Times New Roman"/>
          <w:szCs w:val="21"/>
        </w:rPr>
        <w:t xml:space="preserve">    </w:t>
      </w:r>
      <w:r w:rsidRPr="00D3574F">
        <w:rPr>
          <w:rFonts w:ascii="Times New Roman" w:eastAsia="黑体" w:hAnsi="Times New Roman"/>
          <w:spacing w:val="-2"/>
          <w:szCs w:val="21"/>
        </w:rPr>
        <w:t>文献标识码：</w:t>
      </w:r>
      <w:r w:rsidRPr="00D3574F">
        <w:rPr>
          <w:rFonts w:ascii="Times New Roman" w:eastAsia="黑体" w:hAnsi="Times New Roman" w:hint="eastAsia"/>
          <w:spacing w:val="-2"/>
          <w:szCs w:val="21"/>
        </w:rPr>
        <w:t>A</w:t>
      </w:r>
    </w:p>
    <w:p w14:paraId="0C598D7E" w14:textId="5E1A9080" w:rsidR="00C83319" w:rsidRPr="002B781A" w:rsidRDefault="002B781A" w:rsidP="002B781A">
      <w:pPr>
        <w:jc w:val="center"/>
        <w:rPr>
          <w:rFonts w:ascii="Times New Roman" w:eastAsia="黑体" w:hAnsi="Times New Roman"/>
          <w:spacing w:val="-2"/>
          <w:szCs w:val="21"/>
        </w:rPr>
      </w:pPr>
      <w:r w:rsidRPr="002B781A">
        <w:rPr>
          <w:rStyle w:val="afd"/>
          <w:rFonts w:ascii="Times New Roman" w:eastAsia="黑体" w:hAnsi="Times New Roman"/>
          <w:spacing w:val="-2"/>
          <w:szCs w:val="21"/>
        </w:rPr>
        <w:footnoteReference w:customMarkFollows="1" w:id="1"/>
        <w:sym w:font="Symbol" w:char="F020"/>
      </w:r>
      <w:r w:rsidRPr="002B781A">
        <w:rPr>
          <w:rStyle w:val="afd"/>
          <w:rFonts w:ascii="Times New Roman" w:eastAsia="黑体" w:hAnsi="Times New Roman"/>
          <w:spacing w:val="-2"/>
          <w:szCs w:val="21"/>
        </w:rPr>
        <w:sym w:font="Symbol" w:char="F020"/>
      </w:r>
      <w:r w:rsidR="00EB1A42" w:rsidRPr="00EB1A42">
        <w:rPr>
          <w:rStyle w:val="citation-424"/>
          <w:rFonts w:ascii="Times New Roman" w:hAnsi="Times New Roman"/>
          <w:b/>
          <w:bCs/>
          <w:sz w:val="32"/>
          <w:szCs w:val="32"/>
        </w:rPr>
        <w:t>UAV hyperspectral soil salinity inversion based on fractional-order differentiation and multi-dimensional spectral index</w:t>
      </w:r>
    </w:p>
    <w:p w14:paraId="374710E1" w14:textId="37ADDF0C" w:rsidR="00C83319" w:rsidRDefault="00000000" w:rsidP="002B781A">
      <w:pPr>
        <w:spacing w:beforeLines="100" w:before="312"/>
        <w:jc w:val="center"/>
        <w:rPr>
          <w:rFonts w:ascii="Times New Roman" w:hAnsi="Times New Roman"/>
          <w:szCs w:val="21"/>
        </w:rPr>
      </w:pPr>
      <w:r>
        <w:rPr>
          <w:rFonts w:ascii="Times New Roman" w:hAnsi="Times New Roman" w:hint="eastAsia"/>
          <w:szCs w:val="21"/>
        </w:rPr>
        <w:lastRenderedPageBreak/>
        <w:t>N</w:t>
      </w:r>
      <w:r w:rsidR="00BE79E3">
        <w:rPr>
          <w:rFonts w:ascii="Times New Roman" w:hAnsi="Times New Roman" w:hint="eastAsia"/>
          <w:szCs w:val="21"/>
        </w:rPr>
        <w:t>iu</w:t>
      </w:r>
      <w:r>
        <w:rPr>
          <w:rFonts w:ascii="Times New Roman" w:hAnsi="Times New Roman" w:hint="eastAsia"/>
          <w:szCs w:val="21"/>
        </w:rPr>
        <w:t xml:space="preserve"> Tong</w:t>
      </w:r>
      <w:r>
        <w:rPr>
          <w:rFonts w:ascii="Times New Roman" w:hAnsi="Times New Roman"/>
          <w:szCs w:val="21"/>
          <w:vertAlign w:val="superscript"/>
        </w:rPr>
        <w:t>1</w:t>
      </w:r>
      <w:r>
        <w:rPr>
          <w:rFonts w:ascii="Times New Roman" w:hAnsi="Times New Roman"/>
          <w:szCs w:val="21"/>
        </w:rPr>
        <w:t xml:space="preserve"> </w:t>
      </w:r>
      <w:r>
        <w:rPr>
          <w:rFonts w:ascii="Times New Roman" w:hAnsi="Times New Roman" w:hint="eastAsia"/>
          <w:szCs w:val="21"/>
        </w:rPr>
        <w:t>Z</w:t>
      </w:r>
      <w:r w:rsidR="00BE79E3">
        <w:rPr>
          <w:rFonts w:ascii="Times New Roman" w:hAnsi="Times New Roman" w:hint="eastAsia"/>
          <w:szCs w:val="21"/>
        </w:rPr>
        <w:t>hang</w:t>
      </w:r>
      <w:r>
        <w:rPr>
          <w:rFonts w:ascii="Times New Roman" w:hAnsi="Times New Roman" w:hint="eastAsia"/>
          <w:szCs w:val="21"/>
        </w:rPr>
        <w:t xml:space="preserve"> J</w:t>
      </w:r>
      <w:r>
        <w:rPr>
          <w:rFonts w:ascii="Times New Roman" w:hAnsi="Times New Roman"/>
          <w:szCs w:val="21"/>
        </w:rPr>
        <w:t>i</w:t>
      </w:r>
      <w:r>
        <w:rPr>
          <w:rFonts w:ascii="Times New Roman" w:hAnsi="Times New Roman" w:hint="eastAsia"/>
          <w:szCs w:val="21"/>
        </w:rPr>
        <w:t>e</w:t>
      </w:r>
      <w:r>
        <w:rPr>
          <w:rFonts w:ascii="Times New Roman" w:hAnsi="Times New Roman"/>
          <w:szCs w:val="21"/>
          <w:vertAlign w:val="superscript"/>
        </w:rPr>
        <w:t>1</w:t>
      </w:r>
      <w:r>
        <w:rPr>
          <w:rFonts w:ascii="Times New Roman" w:hAnsi="Times New Roman" w:hint="eastAsia"/>
          <w:szCs w:val="21"/>
          <w:vertAlign w:val="superscript"/>
        </w:rPr>
        <w:t>*</w:t>
      </w:r>
      <w:r>
        <w:rPr>
          <w:rFonts w:ascii="Times New Roman" w:hAnsi="Times New Roman"/>
          <w:szCs w:val="21"/>
        </w:rPr>
        <w:t xml:space="preserve"> </w:t>
      </w:r>
      <w:r>
        <w:rPr>
          <w:rFonts w:ascii="Times New Roman" w:hAnsi="Times New Roman" w:hint="eastAsia"/>
          <w:szCs w:val="21"/>
        </w:rPr>
        <w:t>W</w:t>
      </w:r>
      <w:r w:rsidR="00BE79E3">
        <w:rPr>
          <w:rFonts w:ascii="Times New Roman" w:hAnsi="Times New Roman" w:hint="eastAsia"/>
          <w:szCs w:val="21"/>
        </w:rPr>
        <w:t>ang</w:t>
      </w:r>
      <w:r>
        <w:rPr>
          <w:rFonts w:ascii="Times New Roman" w:hAnsi="Times New Roman" w:hint="eastAsia"/>
          <w:szCs w:val="21"/>
        </w:rPr>
        <w:t xml:space="preserve"> Yuqi</w:t>
      </w:r>
      <w:r>
        <w:rPr>
          <w:rFonts w:ascii="Times New Roman" w:hAnsi="Times New Roman"/>
          <w:szCs w:val="21"/>
          <w:vertAlign w:val="superscript"/>
        </w:rPr>
        <w:t>1</w:t>
      </w:r>
      <w:r>
        <w:rPr>
          <w:rFonts w:ascii="Times New Roman" w:hAnsi="Times New Roman"/>
          <w:szCs w:val="21"/>
        </w:rPr>
        <w:t xml:space="preserve"> </w:t>
      </w:r>
      <w:bookmarkStart w:id="3" w:name="_Hlk212488282"/>
      <w:r>
        <w:rPr>
          <w:rFonts w:ascii="Times New Roman" w:hAnsi="Times New Roman"/>
          <w:szCs w:val="21"/>
        </w:rPr>
        <w:t>B</w:t>
      </w:r>
      <w:r w:rsidR="00BE79E3">
        <w:rPr>
          <w:rFonts w:ascii="Times New Roman" w:hAnsi="Times New Roman" w:hint="eastAsia"/>
          <w:szCs w:val="21"/>
        </w:rPr>
        <w:t>ai</w:t>
      </w:r>
      <w:r>
        <w:rPr>
          <w:rFonts w:ascii="Times New Roman" w:hAnsi="Times New Roman"/>
          <w:szCs w:val="21"/>
        </w:rPr>
        <w:t xml:space="preserve"> Xueyuan</w:t>
      </w:r>
      <w:r>
        <w:rPr>
          <w:rFonts w:ascii="Times New Roman" w:hAnsi="Times New Roman"/>
          <w:szCs w:val="21"/>
          <w:vertAlign w:val="superscript"/>
        </w:rPr>
        <w:t>2</w:t>
      </w:r>
      <w:r>
        <w:rPr>
          <w:rFonts w:ascii="Times New Roman" w:hAnsi="Times New Roman"/>
          <w:szCs w:val="21"/>
        </w:rPr>
        <w:t xml:space="preserve"> </w:t>
      </w:r>
      <w:bookmarkEnd w:id="3"/>
      <w:r>
        <w:rPr>
          <w:rFonts w:ascii="Times New Roman" w:hAnsi="Times New Roman"/>
          <w:szCs w:val="21"/>
        </w:rPr>
        <w:t>L</w:t>
      </w:r>
      <w:r w:rsidR="00BE79E3">
        <w:rPr>
          <w:rFonts w:ascii="Times New Roman" w:hAnsi="Times New Roman" w:hint="eastAsia"/>
          <w:szCs w:val="21"/>
        </w:rPr>
        <w:t>yu</w:t>
      </w:r>
      <w:r>
        <w:rPr>
          <w:rFonts w:ascii="Times New Roman" w:hAnsi="Times New Roman"/>
          <w:szCs w:val="21"/>
        </w:rPr>
        <w:t xml:space="preserve"> Yujiao</w:t>
      </w:r>
      <w:r>
        <w:rPr>
          <w:rFonts w:ascii="Times New Roman" w:hAnsi="Times New Roman"/>
          <w:szCs w:val="21"/>
          <w:vertAlign w:val="superscript"/>
        </w:rPr>
        <w:t>1</w:t>
      </w:r>
      <w:r>
        <w:rPr>
          <w:rFonts w:ascii="Times New Roman" w:hAnsi="Times New Roman"/>
          <w:szCs w:val="21"/>
        </w:rPr>
        <w:t xml:space="preserve"> T</w:t>
      </w:r>
      <w:r w:rsidR="00BE79E3">
        <w:rPr>
          <w:rFonts w:ascii="Times New Roman" w:hAnsi="Times New Roman" w:hint="eastAsia"/>
          <w:szCs w:val="21"/>
        </w:rPr>
        <w:t>ao</w:t>
      </w:r>
      <w:r>
        <w:rPr>
          <w:rFonts w:ascii="Times New Roman" w:hAnsi="Times New Roman"/>
          <w:szCs w:val="21"/>
        </w:rPr>
        <w:t xml:space="preserve"> Huan</w:t>
      </w:r>
      <w:r>
        <w:rPr>
          <w:rFonts w:ascii="Times New Roman" w:hAnsi="Times New Roman" w:hint="eastAsia"/>
          <w:szCs w:val="21"/>
          <w:vertAlign w:val="superscript"/>
        </w:rPr>
        <w:t xml:space="preserve">3 </w:t>
      </w:r>
      <w:r>
        <w:rPr>
          <w:rFonts w:ascii="Times New Roman" w:hAnsi="Times New Roman" w:hint="eastAsia"/>
          <w:szCs w:val="21"/>
        </w:rPr>
        <w:t>W</w:t>
      </w:r>
      <w:r w:rsidR="00BE79E3">
        <w:rPr>
          <w:rFonts w:ascii="Times New Roman" w:hAnsi="Times New Roman" w:hint="eastAsia"/>
          <w:szCs w:val="21"/>
        </w:rPr>
        <w:t>ang</w:t>
      </w:r>
      <w:r>
        <w:rPr>
          <w:rFonts w:ascii="Times New Roman" w:hAnsi="Times New Roman" w:hint="eastAsia"/>
          <w:szCs w:val="21"/>
        </w:rPr>
        <w:t xml:space="preserve"> Jingzhe</w:t>
      </w:r>
      <w:r>
        <w:rPr>
          <w:rFonts w:ascii="Times New Roman" w:hAnsi="Times New Roman" w:hint="eastAsia"/>
          <w:szCs w:val="21"/>
          <w:vertAlign w:val="superscript"/>
        </w:rPr>
        <w:t>4</w:t>
      </w:r>
      <w:r>
        <w:rPr>
          <w:rFonts w:ascii="Times New Roman" w:hAnsi="Times New Roman" w:hint="eastAsia"/>
          <w:szCs w:val="21"/>
        </w:rPr>
        <w:t xml:space="preserve"> W</w:t>
      </w:r>
      <w:r w:rsidR="00BE79E3">
        <w:rPr>
          <w:rFonts w:ascii="Times New Roman" w:hAnsi="Times New Roman" w:hint="eastAsia"/>
          <w:szCs w:val="21"/>
        </w:rPr>
        <w:t>u</w:t>
      </w:r>
      <w:r>
        <w:rPr>
          <w:rFonts w:ascii="Times New Roman" w:hAnsi="Times New Roman" w:hint="eastAsia"/>
          <w:szCs w:val="21"/>
        </w:rPr>
        <w:t xml:space="preserve"> Le</w:t>
      </w:r>
      <w:r>
        <w:rPr>
          <w:rFonts w:ascii="Times New Roman" w:hAnsi="Times New Roman"/>
          <w:szCs w:val="21"/>
          <w:vertAlign w:val="superscript"/>
        </w:rPr>
        <w:t>2</w:t>
      </w:r>
      <w:r>
        <w:rPr>
          <w:rFonts w:ascii="Times New Roman" w:hAnsi="Times New Roman" w:hint="eastAsia"/>
          <w:szCs w:val="21"/>
          <w:vertAlign w:val="superscript"/>
        </w:rPr>
        <w:t xml:space="preserve"> </w:t>
      </w:r>
      <w:r>
        <w:rPr>
          <w:rFonts w:ascii="Times New Roman" w:hAnsi="Times New Roman" w:hint="eastAsia"/>
          <w:szCs w:val="21"/>
        </w:rPr>
        <w:t>L</w:t>
      </w:r>
      <w:r w:rsidR="00BE79E3">
        <w:rPr>
          <w:rFonts w:ascii="Times New Roman" w:hAnsi="Times New Roman" w:hint="eastAsia"/>
          <w:szCs w:val="21"/>
        </w:rPr>
        <w:t>iu</w:t>
      </w:r>
      <w:r>
        <w:rPr>
          <w:rFonts w:ascii="Times New Roman" w:hAnsi="Times New Roman" w:hint="eastAsia"/>
          <w:szCs w:val="21"/>
        </w:rPr>
        <w:t xml:space="preserve"> Xuejun</w:t>
      </w:r>
      <w:r>
        <w:rPr>
          <w:rFonts w:ascii="Times New Roman" w:hAnsi="Times New Roman"/>
          <w:szCs w:val="21"/>
          <w:vertAlign w:val="superscript"/>
        </w:rPr>
        <w:t>2</w:t>
      </w:r>
    </w:p>
    <w:p w14:paraId="25E98F36" w14:textId="77777777" w:rsidR="009748C9" w:rsidRDefault="00000000">
      <w:pPr>
        <w:spacing w:line="264" w:lineRule="auto"/>
        <w:ind w:left="1"/>
        <w:rPr>
          <w:rFonts w:ascii="Times New Roman" w:hAnsi="Times New Roman"/>
          <w:iCs/>
          <w:kern w:val="0"/>
          <w:szCs w:val="21"/>
        </w:rPr>
      </w:pPr>
      <w:r>
        <w:rPr>
          <w:rFonts w:ascii="Times New Roman" w:hAnsi="Times New Roman"/>
          <w:iCs/>
          <w:kern w:val="0"/>
          <w:szCs w:val="21"/>
        </w:rPr>
        <w:t xml:space="preserve">(1. College of Information and Electrical Engineering, China Agricultural University, Beijing </w:t>
      </w:r>
    </w:p>
    <w:p w14:paraId="3C5F598F" w14:textId="78170361" w:rsidR="00C83319" w:rsidRDefault="00000000">
      <w:pPr>
        <w:spacing w:line="264" w:lineRule="auto"/>
        <w:ind w:left="1"/>
        <w:rPr>
          <w:rFonts w:ascii="Times New Roman" w:hAnsi="Times New Roman"/>
          <w:iCs/>
          <w:kern w:val="0"/>
          <w:szCs w:val="21"/>
        </w:rPr>
      </w:pPr>
      <w:r>
        <w:rPr>
          <w:rFonts w:ascii="Times New Roman" w:hAnsi="Times New Roman"/>
          <w:iCs/>
          <w:kern w:val="0"/>
          <w:szCs w:val="21"/>
        </w:rPr>
        <w:t>100083</w:t>
      </w:r>
      <w:r>
        <w:rPr>
          <w:rFonts w:ascii="Times New Roman" w:hAnsi="Times New Roman" w:hint="eastAsia"/>
          <w:iCs/>
          <w:kern w:val="0"/>
          <w:szCs w:val="21"/>
        </w:rPr>
        <w:t>,</w:t>
      </w:r>
      <w:r>
        <w:rPr>
          <w:rFonts w:ascii="Times New Roman" w:hAnsi="Times New Roman"/>
          <w:iCs/>
          <w:kern w:val="0"/>
          <w:szCs w:val="21"/>
          <w:lang w:val="en-GB"/>
        </w:rPr>
        <w:t xml:space="preserve"> </w:t>
      </w:r>
      <w:r>
        <w:rPr>
          <w:rFonts w:ascii="Times New Roman" w:hAnsi="Times New Roman"/>
          <w:iCs/>
          <w:kern w:val="0"/>
          <w:szCs w:val="21"/>
        </w:rPr>
        <w:t>China</w:t>
      </w:r>
      <w:r>
        <w:rPr>
          <w:rFonts w:ascii="Times New Roman" w:hAnsi="Times New Roman" w:hint="eastAsia"/>
          <w:iCs/>
          <w:kern w:val="0"/>
          <w:szCs w:val="21"/>
        </w:rPr>
        <w:t>;</w:t>
      </w:r>
      <w:r>
        <w:rPr>
          <w:rFonts w:ascii="Times New Roman" w:hAnsi="Times New Roman"/>
          <w:iCs/>
          <w:kern w:val="0"/>
          <w:szCs w:val="21"/>
        </w:rPr>
        <w:t xml:space="preserve"> 2. College of Resources and Environmental Sciences, China Agricultural University, Beijing 100</w:t>
      </w:r>
      <w:r>
        <w:rPr>
          <w:rFonts w:ascii="Times New Roman" w:hAnsi="Times New Roman" w:hint="eastAsia"/>
          <w:iCs/>
          <w:kern w:val="0"/>
          <w:szCs w:val="21"/>
        </w:rPr>
        <w:t>19</w:t>
      </w:r>
      <w:r>
        <w:rPr>
          <w:rFonts w:ascii="Times New Roman" w:hAnsi="Times New Roman"/>
          <w:iCs/>
          <w:kern w:val="0"/>
          <w:szCs w:val="21"/>
        </w:rPr>
        <w:t>3</w:t>
      </w:r>
      <w:r>
        <w:rPr>
          <w:rFonts w:ascii="Times New Roman" w:hAnsi="Times New Roman" w:hint="eastAsia"/>
          <w:iCs/>
          <w:kern w:val="0"/>
          <w:szCs w:val="21"/>
        </w:rPr>
        <w:t>,</w:t>
      </w:r>
      <w:r>
        <w:rPr>
          <w:rFonts w:ascii="Times New Roman" w:hAnsi="Times New Roman"/>
          <w:iCs/>
          <w:kern w:val="0"/>
          <w:szCs w:val="21"/>
          <w:lang w:val="en-GB"/>
        </w:rPr>
        <w:t xml:space="preserve"> </w:t>
      </w:r>
      <w:r>
        <w:rPr>
          <w:rFonts w:ascii="Times New Roman" w:hAnsi="Times New Roman"/>
          <w:iCs/>
          <w:kern w:val="0"/>
          <w:szCs w:val="21"/>
        </w:rPr>
        <w:t>China</w:t>
      </w:r>
      <w:r>
        <w:rPr>
          <w:rFonts w:ascii="Times New Roman" w:hAnsi="Times New Roman" w:hint="eastAsia"/>
          <w:iCs/>
          <w:kern w:val="0"/>
          <w:szCs w:val="21"/>
        </w:rPr>
        <w:t>;</w:t>
      </w:r>
      <w:r>
        <w:rPr>
          <w:rFonts w:ascii="Times New Roman" w:hAnsi="Times New Roman"/>
          <w:iCs/>
          <w:kern w:val="0"/>
          <w:szCs w:val="21"/>
        </w:rPr>
        <w:t xml:space="preserve"> 3. Institute of Geographic Sciences and Natural Resources Research, Chinese Academy of Sciences, Beijing 100101</w:t>
      </w:r>
      <w:r>
        <w:rPr>
          <w:rFonts w:ascii="Times New Roman" w:hAnsi="Times New Roman" w:hint="eastAsia"/>
          <w:iCs/>
          <w:kern w:val="0"/>
          <w:szCs w:val="21"/>
        </w:rPr>
        <w:t>,</w:t>
      </w:r>
      <w:r>
        <w:rPr>
          <w:rFonts w:ascii="Times New Roman" w:hAnsi="Times New Roman"/>
          <w:iCs/>
          <w:kern w:val="0"/>
          <w:szCs w:val="21"/>
          <w:lang w:val="en-GB"/>
        </w:rPr>
        <w:t xml:space="preserve"> </w:t>
      </w:r>
      <w:r>
        <w:rPr>
          <w:rFonts w:ascii="Times New Roman" w:hAnsi="Times New Roman"/>
          <w:iCs/>
          <w:kern w:val="0"/>
          <w:szCs w:val="21"/>
        </w:rPr>
        <w:t>China</w:t>
      </w:r>
      <w:r>
        <w:rPr>
          <w:rFonts w:ascii="Times New Roman" w:hAnsi="Times New Roman" w:hint="eastAsia"/>
          <w:iCs/>
          <w:kern w:val="0"/>
          <w:szCs w:val="21"/>
        </w:rPr>
        <w:t>;</w:t>
      </w:r>
      <w:r>
        <w:rPr>
          <w:rFonts w:ascii="Times New Roman" w:hAnsi="Times New Roman"/>
          <w:iCs/>
          <w:kern w:val="0"/>
          <w:szCs w:val="21"/>
        </w:rPr>
        <w:t xml:space="preserve"> 4. School of Artificial Intelligence, Shenzhen Polytechnic University, Shenzhen 518055, China)</w:t>
      </w:r>
    </w:p>
    <w:p w14:paraId="30FBAA47" w14:textId="77777777" w:rsidR="00C83319" w:rsidRDefault="00000000">
      <w:pPr>
        <w:spacing w:line="264" w:lineRule="auto"/>
        <w:ind w:left="1"/>
        <w:rPr>
          <w:rFonts w:ascii="Times New Roman" w:hAnsi="Times New Roman"/>
          <w:szCs w:val="21"/>
        </w:rPr>
      </w:pPr>
      <w:r>
        <w:rPr>
          <w:rFonts w:ascii="Times New Roman" w:hAnsi="Times New Roman"/>
          <w:b/>
          <w:szCs w:val="21"/>
        </w:rPr>
        <w:t>Abstract:</w:t>
      </w:r>
      <w:r>
        <w:rPr>
          <w:rFonts w:ascii="Times New Roman" w:hAnsi="Times New Roman"/>
          <w:szCs w:val="21"/>
        </w:rPr>
        <w:t xml:space="preserve"> Soil salinization is a prominent issue in China’s arid and semi-arid regions, severely hindering the sustainable development of agriculture. Satellite remote sensing technology is limited by insufficient spatial and spectral resolution, making it difficult to achieve precise monitoring of soil salinity at the field scale, which is a key challenge currently facing salinization monitoring. To improve the accuracy of remote sensing inversion of soil salinity, this study selected typical salinized farmland in Hotan County, Xinjiang, as the study area, collected 68 surface soil samples from the 0–20 cm layer, and simultaneously acquired hyperspectral imagery from a drone. After preprocessing the raw spectral data using </w:t>
      </w:r>
      <w:proofErr w:type="spellStart"/>
      <w:r>
        <w:rPr>
          <w:rFonts w:ascii="Times New Roman" w:hAnsi="Times New Roman"/>
          <w:szCs w:val="21"/>
        </w:rPr>
        <w:t>Savitzky</w:t>
      </w:r>
      <w:proofErr w:type="spellEnd"/>
      <w:r>
        <w:rPr>
          <w:rFonts w:ascii="Times New Roman" w:hAnsi="Times New Roman"/>
          <w:szCs w:val="21"/>
        </w:rPr>
        <w:t>-Golay filtering, fractional derivative transformations from the 0.2nd to the 2.0th order were calculated with a step size of 0.2 to enhance the spectral sensitivity to salinity. Subsequently, three types of two-dimensional spectral indices and six types of three-dimensional spectral indices were constructed. Optimal spectral indices were screened using Pearson correlation analysis, and four machine learning algorithms—partial least squares regression (PLSR), support vector machine (SVM), random forest (RF), and extreme gradient boosting (XGBoost) to construct soil salinity inversion models. We validated the applicability of multi-order FOD spectral index combination modeling and generated spatial distribution maps of soil salinity in the study area based on the optimal models. The results indicate that: (1) FOD effectively enhances the spectral sensitivity to soil salinity; three-dimensional spectral indices generally exhibit better correlation with soil salinity than two-dimensional indices, with TBI6 showing the highest correlation coefficient (0.84) at the first-order derivative; (2) Among the four machine learning models, the RF model using 1.8-order differential transformation exhibited the highest inversion accuracy, with an R² of 0.74, an RMSE of 1.55 g/kg, and an RPD of 1.94 on the test set, outperforming the PLSR, SVM, and XGBoost models; (3) Combining multi-order FOD spectral indices in modeling can further improve inversion accuracy. The optimal 5-order combination (0.4+0.6+1.0+1.6+2.0) RF model achieved an R² of 0.81, an RMSE of 1.28 g/kg, and an RPD of 2.34 on the test set. An RPD exceeding 2.0 indicates that the model possesses good inversion capability; (4) The spatial distribution map of soil salinity generated based on the optimal model shows that salinity in the study area generally increases gradually from southwest to northeast, which is consistent with the distribution of surface white salt-affected patches. This study provides scientific basis and technical support for the application of UAV hyperspectral remote sensing technology in soil salinity inversion at the field scale.</w:t>
      </w:r>
    </w:p>
    <w:p w14:paraId="776ED694" w14:textId="59FBB1CA" w:rsidR="00B263F1" w:rsidRPr="009748C9" w:rsidRDefault="00000000" w:rsidP="009748C9">
      <w:pPr>
        <w:spacing w:line="264" w:lineRule="auto"/>
        <w:ind w:left="1"/>
        <w:rPr>
          <w:rFonts w:ascii="Times New Roman" w:hAnsi="Times New Roman"/>
          <w:szCs w:val="21"/>
        </w:rPr>
      </w:pPr>
      <w:r>
        <w:rPr>
          <w:rFonts w:ascii="Times New Roman" w:hAnsi="Times New Roman"/>
          <w:b/>
          <w:szCs w:val="21"/>
        </w:rPr>
        <w:t>Key words:</w:t>
      </w:r>
      <w:r>
        <w:rPr>
          <w:rFonts w:ascii="Times New Roman" w:hAnsi="Times New Roman"/>
          <w:szCs w:val="21"/>
        </w:rPr>
        <w:t xml:space="preserve"> soil salinity; unmanned aerial vehicle (UAV); hyperspectral image; fractional-order differentiation (FOD); spectral index; machine learning</w:t>
      </w:r>
    </w:p>
    <w:p w14:paraId="045C3DCC" w14:textId="77777777" w:rsidR="00C83319" w:rsidRDefault="00000000">
      <w:pPr>
        <w:pStyle w:val="1"/>
      </w:pPr>
      <w:r>
        <w:rPr>
          <w:rFonts w:hint="eastAsia"/>
        </w:rPr>
        <w:t>引言</w:t>
      </w:r>
    </w:p>
    <w:p w14:paraId="61BB800B" w14:textId="0CD0FD78" w:rsidR="00C83319" w:rsidRDefault="00000000">
      <w:pPr>
        <w:pStyle w:val="15"/>
        <w:rPr>
          <w:rFonts w:hint="default"/>
        </w:rPr>
      </w:pPr>
      <w:r>
        <w:lastRenderedPageBreak/>
        <w:t>土壤盐渍化是我国干旱与半干旱地区农田面临的主要土地退化问题之一</w:t>
      </w:r>
      <w:r>
        <w:rPr>
          <w:vertAlign w:val="superscript"/>
        </w:rPr>
        <w:t>[1]</w:t>
      </w:r>
      <w:r>
        <w:t>。新疆维吾尔自治区是我国盐渍化农田分布最广的区域之一，受自然与人为因素的双重影响，农田盐渍化程度持续加剧，对区域粮食安全和农业持续发展构成严重威胁</w:t>
      </w:r>
      <w:r>
        <w:rPr>
          <w:vertAlign w:val="superscript"/>
        </w:rPr>
        <w:t>[2]</w:t>
      </w:r>
      <w:r>
        <w:t>。因此，及时、准确地获取田块尺度的土壤盐分信息，对于盐渍化综合治理与农田可持续利用具有重要意义</w:t>
      </w:r>
      <w:r>
        <w:rPr>
          <w:vertAlign w:val="superscript"/>
        </w:rPr>
        <w:t>[3]</w:t>
      </w:r>
      <w:r>
        <w:t>，也是推进精准农业与土壤科学管理的重要基础。</w:t>
      </w:r>
    </w:p>
    <w:p w14:paraId="712C0407" w14:textId="3293D851" w:rsidR="00C83319" w:rsidRDefault="00000000">
      <w:pPr>
        <w:pStyle w:val="15"/>
        <w:rPr>
          <w:rFonts w:hint="default"/>
        </w:rPr>
      </w:pPr>
      <w:r>
        <w:t>传统的土壤盐分监测主要依赖野外采样与实验室化验，该方法虽然能够获得准确的点位数据，但存在耗时费力、空间代表性不足等问题，难以揭示土壤盐分的空间分布特征</w:t>
      </w:r>
      <w:r>
        <w:rPr>
          <w:vertAlign w:val="superscript"/>
        </w:rPr>
        <w:t>[4]</w:t>
      </w:r>
      <w:r>
        <w:t>。为克服上述局限，遥感技术结合机器学习算法已成为反演土壤盐分空间分布的重要手段</w:t>
      </w:r>
      <w:r>
        <w:rPr>
          <w:vertAlign w:val="superscript"/>
        </w:rPr>
        <w:t>[5]</w:t>
      </w:r>
      <w:r>
        <w:t>。例如，</w:t>
      </w:r>
      <w:r>
        <w:t>Chen</w:t>
      </w:r>
      <w:r>
        <w:t>等</w:t>
      </w:r>
      <w:r>
        <w:rPr>
          <w:vertAlign w:val="superscript"/>
        </w:rPr>
        <w:t>[6]</w:t>
      </w:r>
      <w:r>
        <w:t>基于</w:t>
      </w:r>
      <w:r>
        <w:t>Sentinel-2</w:t>
      </w:r>
      <w:r>
        <w:t>卫星多光谱遥感影像构建多种机器学习模型，实现了不同土层盐分的反演。</w:t>
      </w:r>
      <w:r>
        <w:t>Ge</w:t>
      </w:r>
      <w:r>
        <w:t>等</w:t>
      </w:r>
      <w:r>
        <w:rPr>
          <w:vertAlign w:val="superscript"/>
        </w:rPr>
        <w:t>[7]</w:t>
      </w:r>
      <w:r>
        <w:t>利用</w:t>
      </w:r>
      <w:r>
        <w:t>GF-5</w:t>
      </w:r>
      <w:r>
        <w:t>卫星高光谱数据针对新疆艾比湖湿地，建立了梯度提升回归树的土壤盐分反演模型。然而，卫星遥感影像存在重访周期长、易受云雨天气影响、空间分辨率较低等局限</w:t>
      </w:r>
      <w:r>
        <w:t>,</w:t>
      </w:r>
      <w:r>
        <w:t>难以满足田块尺度的精细化监测需求。相比之下，无人机遥感具有实时性强、获取灵活、空间分辨率高等优势，通过搭载高光谱传感器可获取丰富且连续的光谱信息，有助于捕捉与土壤盐分相关的细微光谱特征</w:t>
      </w:r>
      <w:r>
        <w:rPr>
          <w:vertAlign w:val="superscript"/>
        </w:rPr>
        <w:t>[8,9]</w:t>
      </w:r>
      <w:r>
        <w:t>。陈俊英等</w:t>
      </w:r>
      <w:r>
        <w:rPr>
          <w:vertAlign w:val="superscript"/>
        </w:rPr>
        <w:t>[10]</w:t>
      </w:r>
      <w:r>
        <w:t>分别利用无人机和</w:t>
      </w:r>
      <w:r>
        <w:t>GF-1</w:t>
      </w:r>
      <w:r>
        <w:t>卫星数据建立了土壤盐分反演模型，结果表明无人机数据建立的模型精度更高。因此，利用无人机高光谱遥感技术进行田块尺度土壤盐分反演，已成为当前的重要研究方向。</w:t>
      </w:r>
    </w:p>
    <w:p w14:paraId="40A37F2C" w14:textId="3D0118EA" w:rsidR="00C83319" w:rsidRDefault="00000000">
      <w:pPr>
        <w:pStyle w:val="15"/>
        <w:rPr>
          <w:rFonts w:hint="default"/>
        </w:rPr>
      </w:pPr>
      <w:r>
        <w:t>高光谱数据可提供丰富的光谱信息，但也存在噪声多、信息冗余、吸收特征重叠等问题，直接基于原始光谱构建土壤盐分反演模型往往难以获得理想的反演精度</w:t>
      </w:r>
      <w:r>
        <w:rPr>
          <w:vertAlign w:val="superscript"/>
        </w:rPr>
        <w:t>[11]</w:t>
      </w:r>
      <w:r>
        <w:t>。研究表明，对光谱反射率进行整数阶微分变换（如一阶、二阶微分等）处理，有助于提取敏感特征并提高模型表现</w:t>
      </w:r>
      <w:r>
        <w:rPr>
          <w:vertAlign w:val="superscript"/>
        </w:rPr>
        <w:t>[12,13]</w:t>
      </w:r>
      <w:r>
        <w:t>。然而，整数阶微分易对高频噪声敏感，可能降低光谱信噪比，从而影响反演精度</w:t>
      </w:r>
      <w:r>
        <w:rPr>
          <w:vertAlign w:val="superscript"/>
        </w:rPr>
        <w:t>[7]</w:t>
      </w:r>
      <w:r>
        <w:t>。作为整数阶微分的拓展，分数阶微分（</w:t>
      </w:r>
      <w:r>
        <w:t>fractional-order differentiation</w:t>
      </w:r>
      <w:r>
        <w:t>，</w:t>
      </w:r>
      <w:r>
        <w:t>FOD</w:t>
      </w:r>
      <w:r>
        <w:t>）通过连续阶次插值，能够在保留更多光谱细节的同时有效增强微弱吸收特征</w:t>
      </w:r>
      <w:r>
        <w:rPr>
          <w:vertAlign w:val="superscript"/>
        </w:rPr>
        <w:t>[14]</w:t>
      </w:r>
      <w:r>
        <w:t>。</w:t>
      </w:r>
      <w:r>
        <w:t>Zhang</w:t>
      </w:r>
      <w:r>
        <w:t>等</w:t>
      </w:r>
      <w:r>
        <w:rPr>
          <w:vertAlign w:val="superscript"/>
        </w:rPr>
        <w:t>[15]</w:t>
      </w:r>
      <w:r>
        <w:t>基于无人机高光谱影像对比不同</w:t>
      </w:r>
      <w:r>
        <w:t>FOD</w:t>
      </w:r>
      <w:r>
        <w:t>变换处理结果，发现</w:t>
      </w:r>
      <w:r>
        <w:t>0.7</w:t>
      </w:r>
      <w:r>
        <w:t>阶微分下模型精度最高，表明</w:t>
      </w:r>
      <w:r>
        <w:t>FOD</w:t>
      </w:r>
      <w:r>
        <w:t>在增强盐分敏感光谱特征方面具有明显优势。</w:t>
      </w:r>
    </w:p>
    <w:p w14:paraId="5B5293EC" w14:textId="34F66FBB" w:rsidR="00C83319" w:rsidRDefault="00000000">
      <w:pPr>
        <w:pStyle w:val="15"/>
        <w:rPr>
          <w:rFonts w:hint="default"/>
        </w:rPr>
      </w:pPr>
      <w:r>
        <w:t>从高维冗余的光谱数据中筛选出与土壤盐分密切相关的敏感特征仍是关键挑战之一</w:t>
      </w:r>
      <w:r>
        <w:rPr>
          <w:vertAlign w:val="superscript"/>
        </w:rPr>
        <w:t>[5]</w:t>
      </w:r>
      <w:r>
        <w:t>。</w:t>
      </w:r>
      <w:r>
        <w:t xml:space="preserve"> </w:t>
      </w:r>
      <w:r>
        <w:t>光谱指数优选法通过遍历波段组合构建光谱指数，能够有效增强光谱特征与土壤盐分之间的相关性</w:t>
      </w:r>
      <w:r>
        <w:rPr>
          <w:vertAlign w:val="superscript"/>
        </w:rPr>
        <w:t>[16]</w:t>
      </w:r>
      <w:r>
        <w:t>。目前，基于</w:t>
      </w:r>
      <w:r>
        <w:t>FOD</w:t>
      </w:r>
      <w:r>
        <w:t>变换构建二维（</w:t>
      </w:r>
      <w:r>
        <w:t>two-dimensional</w:t>
      </w:r>
      <w:r>
        <w:t>，</w:t>
      </w:r>
      <w:r>
        <w:t>2D</w:t>
      </w:r>
      <w:r>
        <w:t>）光谱指数（如比值指数、差分指数、归一化指数等）已被广泛应用于土壤盐分反演，并显著提升了模型精度</w:t>
      </w:r>
      <w:r>
        <w:rPr>
          <w:vertAlign w:val="superscript"/>
        </w:rPr>
        <w:t>[11,17,18]</w:t>
      </w:r>
      <w:r>
        <w:t>。</w:t>
      </w:r>
      <w:r>
        <w:t xml:space="preserve"> </w:t>
      </w:r>
      <w:r>
        <w:t>为进一步捕获多波段之间的复杂关系，</w:t>
      </w:r>
      <w:r>
        <w:t>Jackson</w:t>
      </w:r>
      <w:r>
        <w:t>等</w:t>
      </w:r>
      <w:r>
        <w:rPr>
          <w:vertAlign w:val="superscript"/>
        </w:rPr>
        <w:t>[19]</w:t>
      </w:r>
      <w:r>
        <w:t>引入第三个波段构建三维（</w:t>
      </w:r>
      <w:r>
        <w:t>three-dimensional</w:t>
      </w:r>
      <w:r>
        <w:t>，</w:t>
      </w:r>
      <w:r>
        <w:t>3D</w:t>
      </w:r>
      <w:r>
        <w:t>）光谱指数，该方法已在土壤有机质反演</w:t>
      </w:r>
      <w:r>
        <w:rPr>
          <w:vertAlign w:val="superscript"/>
        </w:rPr>
        <w:t>[20]</w:t>
      </w:r>
      <w:r>
        <w:t>、油菜产量预测</w:t>
      </w:r>
      <w:r>
        <w:rPr>
          <w:vertAlign w:val="superscript"/>
        </w:rPr>
        <w:t>[14]</w:t>
      </w:r>
      <w:r>
        <w:t>、叶绿素含量估算</w:t>
      </w:r>
      <w:r>
        <w:rPr>
          <w:vertAlign w:val="superscript"/>
        </w:rPr>
        <w:t>[21]</w:t>
      </w:r>
      <w:r>
        <w:t>等研究中得到应用，近年来也逐渐被引入土壤盐分反演领域</w:t>
      </w:r>
      <w:r>
        <w:rPr>
          <w:vertAlign w:val="superscript"/>
        </w:rPr>
        <w:t>[16,22,23]</w:t>
      </w:r>
      <w:r>
        <w:t>。然而，现有研究多基于单一最优阶次的</w:t>
      </w:r>
      <w:r>
        <w:t>FOD</w:t>
      </w:r>
      <w:r>
        <w:t>变换构建光谱指数并建模。不同阶次的</w:t>
      </w:r>
      <w:r>
        <w:t>FOD</w:t>
      </w:r>
      <w:r>
        <w:t>变换对光谱特征的增强侧重不同，将多个阶次的光谱指数组合建模有望进一步提升反演精度，但多阶次光谱指数的组合优选在土壤盐分反演中尚未</w:t>
      </w:r>
      <w:proofErr w:type="gramStart"/>
      <w:r>
        <w:t>见系统</w:t>
      </w:r>
      <w:proofErr w:type="gramEnd"/>
      <w:r>
        <w:t>研究。</w:t>
      </w:r>
    </w:p>
    <w:p w14:paraId="0A01B5E1" w14:textId="6FC86D33" w:rsidR="00C83319" w:rsidRDefault="00000000">
      <w:pPr>
        <w:pStyle w:val="15"/>
        <w:rPr>
          <w:rFonts w:hint="default"/>
        </w:rPr>
      </w:pPr>
      <w:r>
        <w:t>近年来，机器学习算法因其强大的非线性建模与高维数据处理能力，已被广泛应用于高光谱土壤盐分反演</w:t>
      </w:r>
      <w:r>
        <w:rPr>
          <w:vertAlign w:val="superscript"/>
        </w:rPr>
        <w:t>[24]</w:t>
      </w:r>
      <w:r>
        <w:t>。偏最小二乘回归、支持向量机、随机森林等算法在相关研究中均表现出良好的预测性能</w:t>
      </w:r>
      <w:r>
        <w:rPr>
          <w:vertAlign w:val="superscript"/>
        </w:rPr>
        <w:t>[5]</w:t>
      </w:r>
      <w:r>
        <w:t>。程俊恺等</w:t>
      </w:r>
      <w:r>
        <w:rPr>
          <w:vertAlign w:val="superscript"/>
        </w:rPr>
        <w:t>[13]</w:t>
      </w:r>
      <w:r>
        <w:t>基于无人机高光谱数据分别构建偏最小二乘回归、反向传播神经网络和随机森林模型，结果表明随机森林模型的精度最高。然而，由于研究区域、数据源及特征选择的差异，不同机器学习算法在土壤盐分反演中的适用性和精度表现仍存在差异</w:t>
      </w:r>
      <w:r>
        <w:rPr>
          <w:vertAlign w:val="superscript"/>
        </w:rPr>
        <w:t>[25,26]</w:t>
      </w:r>
      <w:r>
        <w:t>。因此，有必要利用无人机高光谱数据，系统比较多种机器学习模型，以评估其在土壤盐分反演中的适用性和精度差异。</w:t>
      </w:r>
    </w:p>
    <w:p w14:paraId="7EAB36DA" w14:textId="0687F7C2" w:rsidR="00C83319" w:rsidRDefault="00000000">
      <w:pPr>
        <w:pStyle w:val="15"/>
        <w:rPr>
          <w:rFonts w:hint="default"/>
        </w:rPr>
      </w:pPr>
      <w:r>
        <w:t>综上所述，为实现田块尺度土壤盐分的高精度反演，本研究以新疆和田县典型盐渍化农田为例，集成无人机高光谱遥感技术与机器学习方法，旨在：（</w:t>
      </w:r>
      <w:r>
        <w:t>1</w:t>
      </w:r>
      <w:r>
        <w:t>）评估</w:t>
      </w:r>
      <w:r>
        <w:t>FOD</w:t>
      </w:r>
      <w:r>
        <w:t>结合多维光谱指数提取土壤盐分敏感特征信息的有效性；（</w:t>
      </w:r>
      <w:r>
        <w:t>2</w:t>
      </w:r>
      <w:r>
        <w:t>）建立并优选基于多种机器学习算法的土壤</w:t>
      </w:r>
      <w:r>
        <w:lastRenderedPageBreak/>
        <w:t>盐分反演模型；（</w:t>
      </w:r>
      <w:r>
        <w:t>3</w:t>
      </w:r>
      <w:r>
        <w:t>）验证多阶次</w:t>
      </w:r>
      <w:r>
        <w:t>FOD</w:t>
      </w:r>
      <w:r>
        <w:t>光谱指数组合建模在土壤盐分反演中的适用性；（</w:t>
      </w:r>
      <w:r>
        <w:t>4</w:t>
      </w:r>
      <w:r>
        <w:t>）基于最优模型生成研究区土壤盐分空间分布图，揭示研究区土壤盐分的空间分异规律，为精准盐渍化治理提供直接的空间决策依据与技术支撑。</w:t>
      </w:r>
    </w:p>
    <w:p w14:paraId="0964394B" w14:textId="77777777" w:rsidR="00C83319" w:rsidRDefault="00000000">
      <w:pPr>
        <w:pStyle w:val="1"/>
      </w:pPr>
      <w:bookmarkStart w:id="4" w:name="_Hlk186205776"/>
      <w:r>
        <w:t>材料与方法</w:t>
      </w:r>
    </w:p>
    <w:bookmarkEnd w:id="4"/>
    <w:p w14:paraId="64F69B88" w14:textId="77777777" w:rsidR="00C83319" w:rsidRDefault="00000000">
      <w:pPr>
        <w:pStyle w:val="2"/>
      </w:pPr>
      <w:r>
        <w:t>研究区域概况</w:t>
      </w:r>
    </w:p>
    <w:p w14:paraId="63B98D77" w14:textId="123B24EF" w:rsidR="00C83319" w:rsidRDefault="00000000">
      <w:pPr>
        <w:pStyle w:val="15"/>
        <w:rPr>
          <w:rFonts w:hint="default"/>
        </w:rPr>
      </w:pPr>
      <w:r>
        <w:t>本研究的研究区位于新疆维吾尔自治区和田地区和田县（</w:t>
      </w:r>
      <w:r>
        <w:t>79</w:t>
      </w:r>
      <w:r>
        <w:t>°</w:t>
      </w:r>
      <w:r>
        <w:t>53</w:t>
      </w:r>
      <w:r>
        <w:t>′</w:t>
      </w:r>
      <m:oMath>
        <m:r>
          <m:rPr>
            <m:sty m:val="p"/>
          </m:rPr>
          <w:rPr>
            <w:rFonts w:ascii="Cambria Math" w:hAnsi="Cambria Math"/>
          </w:rPr>
          <m:t>∼</m:t>
        </m:r>
      </m:oMath>
      <w:r>
        <w:t>79</w:t>
      </w:r>
      <w:r>
        <w:t>°</w:t>
      </w:r>
      <w:r>
        <w:t>54</w:t>
      </w:r>
      <w:r>
        <w:t>′</w:t>
      </w:r>
      <w:r>
        <w:t>E</w:t>
      </w:r>
      <w:r>
        <w:t>，</w:t>
      </w:r>
      <w:r>
        <w:t>37</w:t>
      </w:r>
      <w:r>
        <w:t>°</w:t>
      </w:r>
      <w:r>
        <w:t>16</w:t>
      </w:r>
      <w:r>
        <w:t>′</w:t>
      </w:r>
      <w:r>
        <w:t>N</w:t>
      </w:r>
      <w:r>
        <w:t>），总面积约为</w:t>
      </w:r>
      <w:r>
        <w:t>5.5 hm</w:t>
      </w:r>
      <w:r>
        <w:rPr>
          <w:vertAlign w:val="superscript"/>
        </w:rPr>
        <w:t>2</w:t>
      </w:r>
      <w:r>
        <w:t>（图</w:t>
      </w:r>
      <w:r w:rsidR="00C83319">
        <w:fldChar w:fldCharType="begin"/>
      </w:r>
      <w:r w:rsidR="00C83319">
        <w:instrText>HYPERLINK \l "fig:study_area" \h</w:instrText>
      </w:r>
      <w:r w:rsidR="00C83319">
        <w:fldChar w:fldCharType="separate"/>
      </w:r>
      <w:r w:rsidR="00C83319">
        <w:t>1</w:t>
      </w:r>
      <w:r w:rsidR="00C83319">
        <w:fldChar w:fldCharType="end"/>
      </w:r>
      <w:r>
        <w:t>）</w:t>
      </w:r>
      <w:r w:rsidR="00822AE5">
        <w:t>，</w:t>
      </w:r>
      <w:r>
        <w:t>该区域位于塔克拉玛干沙漠南缘，属于典型的温带荒漠型气候，年平均气温为</w:t>
      </w:r>
      <w:r>
        <w:t>12.2</w:t>
      </w:r>
      <w:r>
        <w:t>℃，降雨量少且分布不均匀，年蒸发量约</w:t>
      </w:r>
      <w:r>
        <w:t>2000 mm</w:t>
      </w:r>
      <w:r>
        <w:t>，高于降水量，因此盐分易随水分蒸发累积到表层。该区域主要土壤类型为灌淤土，土壤质地黏重，有机质含量低，排水不良，盐分难以有效淋溶，从而导致该区域表层呈现严重的盐渍化问题</w:t>
      </w:r>
      <w:r>
        <w:rPr>
          <w:vertAlign w:val="superscript"/>
        </w:rPr>
        <w:t>[27]</w:t>
      </w:r>
      <w:r>
        <w:t>。</w:t>
      </w:r>
    </w:p>
    <w:p w14:paraId="6074FEFF" w14:textId="77777777" w:rsidR="00C83319" w:rsidRDefault="00000000">
      <w:pPr>
        <w:widowControl/>
        <w:tabs>
          <w:tab w:val="left" w:pos="720"/>
        </w:tabs>
        <w:autoSpaceDE w:val="0"/>
        <w:autoSpaceDN w:val="0"/>
        <w:ind w:right="300"/>
        <w:jc w:val="center"/>
        <w:rPr>
          <w:rFonts w:asciiTheme="minorEastAsia" w:eastAsiaTheme="minorEastAsia" w:hAnsiTheme="minorEastAsia" w:cstheme="minorEastAsia" w:hint="eastAsia"/>
          <w:sz w:val="20"/>
          <w:szCs w:val="20"/>
        </w:rPr>
      </w:pPr>
      <w:r>
        <w:rPr>
          <w:rFonts w:asciiTheme="minorEastAsia" w:eastAsiaTheme="minorEastAsia" w:hAnsiTheme="minorEastAsia" w:cstheme="minorEastAsia" w:hint="eastAsia"/>
          <w:noProof/>
          <w:sz w:val="20"/>
          <w:szCs w:val="20"/>
        </w:rPr>
        <w:drawing>
          <wp:inline distT="0" distB="0" distL="114300" distR="114300" wp14:anchorId="669104AA" wp14:editId="646CE830">
            <wp:extent cx="3992245" cy="3227705"/>
            <wp:effectExtent l="0" t="0" r="8255" b="10795"/>
            <wp:docPr id="1" name="图片 1" descr="fig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fig1"/>
                    <pic:cNvPicPr>
                      <a:picLocks noChangeAspect="1"/>
                    </pic:cNvPicPr>
                  </pic:nvPicPr>
                  <pic:blipFill>
                    <a:blip r:embed="rId8"/>
                    <a:stretch>
                      <a:fillRect/>
                    </a:stretch>
                  </pic:blipFill>
                  <pic:spPr>
                    <a:xfrm>
                      <a:off x="0" y="0"/>
                      <a:ext cx="3992245" cy="3227705"/>
                    </a:xfrm>
                    <a:prstGeom prst="rect">
                      <a:avLst/>
                    </a:prstGeom>
                  </pic:spPr>
                </pic:pic>
              </a:graphicData>
            </a:graphic>
          </wp:inline>
        </w:drawing>
      </w:r>
    </w:p>
    <w:p w14:paraId="036764A4" w14:textId="77777777" w:rsidR="00C83319" w:rsidRDefault="00000000">
      <w:pPr>
        <w:widowControl/>
        <w:tabs>
          <w:tab w:val="left" w:pos="720"/>
        </w:tabs>
        <w:spacing w:line="277" w:lineRule="exact"/>
        <w:jc w:val="center"/>
        <w:rPr>
          <w:rFonts w:ascii="Times New Roman" w:eastAsia="黑体" w:hAnsi="Times New Roman"/>
          <w:sz w:val="18"/>
          <w:szCs w:val="18"/>
        </w:rPr>
      </w:pPr>
      <w:r>
        <w:rPr>
          <w:rFonts w:ascii="Times New Roman" w:eastAsia="黑体" w:hAnsi="Times New Roman"/>
          <w:sz w:val="18"/>
          <w:szCs w:val="18"/>
        </w:rPr>
        <w:t>图</w:t>
      </w:r>
      <w:r>
        <w:rPr>
          <w:rFonts w:ascii="Times New Roman" w:eastAsia="黑体" w:hAnsi="Times New Roman"/>
          <w:sz w:val="18"/>
          <w:szCs w:val="18"/>
        </w:rPr>
        <w:t xml:space="preserve">1 </w:t>
      </w:r>
      <w:r>
        <w:rPr>
          <w:rFonts w:ascii="Times New Roman" w:eastAsia="黑体" w:hAnsi="Times New Roman" w:hint="eastAsia"/>
          <w:sz w:val="18"/>
          <w:szCs w:val="18"/>
        </w:rPr>
        <w:t>研究区位置与采样点分布</w:t>
      </w:r>
    </w:p>
    <w:p w14:paraId="308C9F8D" w14:textId="77777777" w:rsidR="00C83319" w:rsidRDefault="00000000">
      <w:pPr>
        <w:pStyle w:val="aff5"/>
      </w:pPr>
      <w:r>
        <w:t xml:space="preserve">Fig. 1 </w:t>
      </w:r>
      <w:r>
        <w:rPr>
          <w:rFonts w:hint="eastAsia"/>
        </w:rPr>
        <w:t>Location of the study area and distribution of sampling points</w:t>
      </w:r>
    </w:p>
    <w:p w14:paraId="1DD1B200" w14:textId="77777777" w:rsidR="00C83319" w:rsidRDefault="00000000">
      <w:pPr>
        <w:pStyle w:val="2"/>
      </w:pPr>
      <w:r>
        <w:rPr>
          <w:rFonts w:hint="eastAsia"/>
        </w:rPr>
        <w:t>数据获取与处理</w:t>
      </w:r>
    </w:p>
    <w:p w14:paraId="10A6724F" w14:textId="77777777" w:rsidR="00C83319" w:rsidRDefault="00000000">
      <w:pPr>
        <w:pStyle w:val="3"/>
        <w:rPr>
          <w:rFonts w:hint="eastAsia"/>
        </w:rPr>
      </w:pPr>
      <w:bookmarkStart w:id="5" w:name="_Hlk213093665"/>
      <w:r>
        <w:rPr>
          <w:rFonts w:hint="eastAsia"/>
        </w:rPr>
        <w:t>土壤样品采集与处理</w:t>
      </w:r>
    </w:p>
    <w:bookmarkEnd w:id="5"/>
    <w:p w14:paraId="5C7BFF0A" w14:textId="77777777" w:rsidR="00C83319" w:rsidRDefault="00000000">
      <w:pPr>
        <w:pStyle w:val="15"/>
        <w:rPr>
          <w:rFonts w:hint="default"/>
        </w:rPr>
      </w:pPr>
      <w:r>
        <w:t>本研究的土壤样品采集于</w:t>
      </w:r>
      <w:r>
        <w:t>2025</w:t>
      </w:r>
      <w:r>
        <w:t>年</w:t>
      </w:r>
      <w:r>
        <w:t>3</w:t>
      </w:r>
      <w:r>
        <w:t>月的新疆和田县，共计</w:t>
      </w:r>
      <w:r>
        <w:t>68</w:t>
      </w:r>
      <w:r>
        <w:t>份表层（</w:t>
      </w:r>
      <w:r>
        <w:t>0</w:t>
      </w:r>
      <w:r>
        <w:t>–</w:t>
      </w:r>
      <w:r>
        <w:t>20 cm</w:t>
      </w:r>
      <w:r>
        <w:t>）土壤样品。采样采用五点采样法，每个样品均由中心点及其周围四个</w:t>
      </w:r>
      <w:proofErr w:type="gramStart"/>
      <w:r>
        <w:t>对称角点</w:t>
      </w:r>
      <w:proofErr w:type="gramEnd"/>
      <w:r>
        <w:t>的等量土壤混合而成，并使用</w:t>
      </w:r>
      <w:r>
        <w:t>GPS</w:t>
      </w:r>
      <w:r>
        <w:t>记录各采样中心点的位置。样品带回实验室，待自然风干，去除植物根系与碎石等杂质，研磨后过</w:t>
      </w:r>
      <w:r>
        <w:t>2 mm</w:t>
      </w:r>
      <w:r>
        <w:t>筛。随后，按土水比</w:t>
      </w:r>
      <w:r>
        <w:t>1</w:t>
      </w:r>
      <m:oMath>
        <m:r>
          <m:rPr>
            <m:sty m:val="p"/>
          </m:rPr>
          <w:rPr>
            <w:rFonts w:ascii="Cambria Math" w:hAnsi="Cambria Math"/>
          </w:rPr>
          <m:t>:</m:t>
        </m:r>
      </m:oMath>
      <w:r>
        <w:t>5</w:t>
      </w:r>
      <w:r>
        <w:t>制备浸提液，采用电极法测定浸提液电导率，再用经验换算公式计算土壤全盐量</w:t>
      </w:r>
      <w:r>
        <w:rPr>
          <w:vertAlign w:val="superscript"/>
        </w:rPr>
        <w:t>[17]</w:t>
      </w:r>
      <w:r>
        <w:t>。</w:t>
      </w:r>
    </w:p>
    <w:p w14:paraId="1BF40145" w14:textId="77777777" w:rsidR="00C83319" w:rsidRDefault="00000000">
      <w:pPr>
        <w:pStyle w:val="3"/>
        <w:rPr>
          <w:rFonts w:hint="eastAsia"/>
        </w:rPr>
      </w:pPr>
      <w:r>
        <w:rPr>
          <w:rFonts w:hint="eastAsia"/>
        </w:rPr>
        <w:t>无人机高光谱遥感数据获取与预处理</w:t>
      </w:r>
    </w:p>
    <w:p w14:paraId="7AE17759" w14:textId="77777777" w:rsidR="00C83319" w:rsidRDefault="00000000">
      <w:pPr>
        <w:pStyle w:val="15"/>
        <w:rPr>
          <w:rFonts w:hint="default"/>
        </w:rPr>
      </w:pPr>
      <w:r>
        <w:t>本研究</w:t>
      </w:r>
      <w:proofErr w:type="gramStart"/>
      <w:r>
        <w:t>使用大疆</w:t>
      </w:r>
      <w:proofErr w:type="gramEnd"/>
      <w:r>
        <w:t>M350 RTK</w:t>
      </w:r>
      <w:r>
        <w:t>无人机搭载德国</w:t>
      </w:r>
      <w:r>
        <w:t>Cubert</w:t>
      </w:r>
      <w:r>
        <w:t>公司</w:t>
      </w:r>
      <w:r>
        <w:t>X20P</w:t>
      </w:r>
      <w:r>
        <w:t>机载</w:t>
      </w:r>
      <w:proofErr w:type="gramStart"/>
      <w:r>
        <w:t>框幅式</w:t>
      </w:r>
      <w:proofErr w:type="gramEnd"/>
      <w:r>
        <w:t>高光谱成像仪（图</w:t>
      </w:r>
      <w:r w:rsidR="00C83319">
        <w:fldChar w:fldCharType="begin"/>
      </w:r>
      <w:r w:rsidR="00C83319">
        <w:instrText>HYPERLINK \l "fig:uav" \h</w:instrText>
      </w:r>
      <w:r w:rsidR="00C83319">
        <w:fldChar w:fldCharType="separate"/>
      </w:r>
      <w:r w:rsidR="00C83319">
        <w:t>2</w:t>
      </w:r>
      <w:r w:rsidR="00C83319">
        <w:fldChar w:fldCharType="end"/>
      </w:r>
      <w:r>
        <w:t>），该成像仪在</w:t>
      </w:r>
      <w:r>
        <w:t>350</w:t>
      </w:r>
      <m:oMath>
        <m:r>
          <m:rPr>
            <m:sty m:val="p"/>
          </m:rPr>
          <w:rPr>
            <w:rFonts w:ascii="Cambria Math" w:hAnsi="Cambria Math"/>
          </w:rPr>
          <m:t>∼</m:t>
        </m:r>
      </m:oMath>
      <w:r>
        <w:t>1000 nm</w:t>
      </w:r>
      <w:r>
        <w:t>波长范围内拥有</w:t>
      </w:r>
      <w:r>
        <w:t>164</w:t>
      </w:r>
      <w:r>
        <w:t>个波段，光谱采样间隔为</w:t>
      </w:r>
      <w:r>
        <w:t>4 nm</w:t>
      </w:r>
      <w:r>
        <w:t>，同时无人机内置定位定向系统（</w:t>
      </w:r>
      <w:r>
        <w:t>Position and Orientation System</w:t>
      </w:r>
      <w:r>
        <w:t>，</w:t>
      </w:r>
      <w:r>
        <w:t>POS</w:t>
      </w:r>
      <w:r>
        <w:t>）记录每张影像的经纬度信息。为保证数据质量，野外作业前</w:t>
      </w:r>
      <w:r>
        <w:t>3</w:t>
      </w:r>
      <w:r>
        <w:t>天内无人工干扰和降水。影像采集时间为</w:t>
      </w:r>
      <w:r>
        <w:t>2025</w:t>
      </w:r>
      <w:r>
        <w:t>年</w:t>
      </w:r>
      <w:r>
        <w:t>3</w:t>
      </w:r>
      <w:r>
        <w:t>月</w:t>
      </w:r>
      <w:r>
        <w:t>14</w:t>
      </w:r>
      <w:r>
        <w:t>日的</w:t>
      </w:r>
      <w:r>
        <w:t>11:00</w:t>
      </w:r>
      <w:r>
        <w:t>–</w:t>
      </w:r>
      <w:r>
        <w:t>14:00</w:t>
      </w:r>
      <w:r>
        <w:t>，此时田块基本裸露。在无人机起飞前对传感器进行白板校正和暗电流校正，飞行时天气晴朗无云，风力小于</w:t>
      </w:r>
      <w:r>
        <w:t>3</w:t>
      </w:r>
      <w:r>
        <w:t>级。飞行高度设置为</w:t>
      </w:r>
      <w:r>
        <w:t>80 m</w:t>
      </w:r>
      <w:r>
        <w:t>，飞行速度为</w:t>
      </w:r>
      <w:r>
        <w:t xml:space="preserve">4 </w:t>
      </w:r>
      <w:r>
        <w:lastRenderedPageBreak/>
        <w:t>m/s</w:t>
      </w:r>
      <w:r>
        <w:t>，旁向和航向重叠率均为</w:t>
      </w:r>
      <w:r>
        <w:t>70%</w:t>
      </w:r>
      <w:r>
        <w:t>，镜头垂直向下，无人机遥感作业与土样数据采集同步进行。</w:t>
      </w:r>
    </w:p>
    <w:p w14:paraId="36AC95E2" w14:textId="77777777" w:rsidR="00C83319" w:rsidRDefault="00000000">
      <w:pPr>
        <w:jc w:val="center"/>
        <w:rPr>
          <w:rFonts w:ascii="Times New Roman" w:hAnsi="Times New Roman"/>
          <w:szCs w:val="21"/>
        </w:rPr>
      </w:pPr>
      <w:r>
        <w:rPr>
          <w:rFonts w:ascii="Times New Roman" w:hAnsi="Times New Roman" w:hint="eastAsia"/>
          <w:noProof/>
          <w:szCs w:val="21"/>
        </w:rPr>
        <w:drawing>
          <wp:inline distT="0" distB="0" distL="114300" distR="114300" wp14:anchorId="411471FF" wp14:editId="48662771">
            <wp:extent cx="3736340" cy="1734820"/>
            <wp:effectExtent l="0" t="0" r="0" b="5080"/>
            <wp:docPr id="3" name="图片 3" descr="fig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fig2"/>
                    <pic:cNvPicPr>
                      <a:picLocks noChangeAspect="1"/>
                    </pic:cNvPicPr>
                  </pic:nvPicPr>
                  <pic:blipFill>
                    <a:blip r:embed="rId9"/>
                    <a:stretch>
                      <a:fillRect/>
                    </a:stretch>
                  </pic:blipFill>
                  <pic:spPr>
                    <a:xfrm>
                      <a:off x="0" y="0"/>
                      <a:ext cx="3736340" cy="1734820"/>
                    </a:xfrm>
                    <a:prstGeom prst="rect">
                      <a:avLst/>
                    </a:prstGeom>
                  </pic:spPr>
                </pic:pic>
              </a:graphicData>
            </a:graphic>
          </wp:inline>
        </w:drawing>
      </w:r>
    </w:p>
    <w:p w14:paraId="15FEBF05" w14:textId="77777777" w:rsidR="00C83319" w:rsidRDefault="00000000">
      <w:pPr>
        <w:pStyle w:val="aff5"/>
      </w:pPr>
      <w:r>
        <w:rPr>
          <w:rFonts w:hint="eastAsia"/>
        </w:rPr>
        <w:t>图</w:t>
      </w:r>
      <w:r>
        <w:rPr>
          <w:rFonts w:hint="eastAsia"/>
        </w:rPr>
        <w:t xml:space="preserve">2 </w:t>
      </w:r>
      <w:r>
        <w:rPr>
          <w:rFonts w:hint="eastAsia"/>
        </w:rPr>
        <w:t>无人机平台搭载高光谱传感器</w:t>
      </w:r>
    </w:p>
    <w:p w14:paraId="68F2D3F8" w14:textId="77777777" w:rsidR="00C83319" w:rsidRDefault="00000000">
      <w:pPr>
        <w:pStyle w:val="aff5"/>
      </w:pPr>
      <w:r>
        <w:t>Fig.</w:t>
      </w:r>
      <w:r>
        <w:rPr>
          <w:rFonts w:hint="eastAsia"/>
        </w:rPr>
        <w:t xml:space="preserve"> </w:t>
      </w:r>
      <w:r>
        <w:t>2 Unmanned aerial vehicle platform with hyperspectral sensor</w:t>
      </w:r>
    </w:p>
    <w:p w14:paraId="46BAB0ED" w14:textId="77777777" w:rsidR="00C83319" w:rsidRDefault="00000000">
      <w:pPr>
        <w:pStyle w:val="15"/>
        <w:rPr>
          <w:rFonts w:hint="default"/>
        </w:rPr>
      </w:pPr>
      <w:r>
        <w:t>本研究使用</w:t>
      </w:r>
      <w:r>
        <w:t>Cubert Utils Touch 2.9.1</w:t>
      </w:r>
      <w:r>
        <w:t>软件（</w:t>
      </w:r>
      <w:r>
        <w:t>Cubert</w:t>
      </w:r>
      <w:r>
        <w:t>，德国）进行辐射校正和拼接处理，得到高光谱影像地表反射率值和全色影像；随后将输出的全色影像与</w:t>
      </w:r>
      <w:r>
        <w:t>POS</w:t>
      </w:r>
      <w:r>
        <w:t>数据导入</w:t>
      </w:r>
      <w:proofErr w:type="spellStart"/>
      <w:r>
        <w:t>Agisoft</w:t>
      </w:r>
      <w:proofErr w:type="spellEnd"/>
      <w:r>
        <w:t xml:space="preserve"> </w:t>
      </w:r>
      <w:proofErr w:type="spellStart"/>
      <w:r>
        <w:t>Metashape</w:t>
      </w:r>
      <w:proofErr w:type="spellEnd"/>
      <w:r>
        <w:t xml:space="preserve"> 2.1.2</w:t>
      </w:r>
      <w:r>
        <w:t>软件（</w:t>
      </w:r>
      <w:proofErr w:type="spellStart"/>
      <w:r>
        <w:t>Agisoft</w:t>
      </w:r>
      <w:proofErr w:type="spellEnd"/>
      <w:r>
        <w:t xml:space="preserve"> LLC</w:t>
      </w:r>
      <w:r>
        <w:t>，俄罗斯）完成影像配准，生成三维点云；最后，通过影像融合与正射校正，将全色影像与高光谱立方体叠加，</w:t>
      </w:r>
      <w:proofErr w:type="gramStart"/>
      <w:r>
        <w:t>生成本</w:t>
      </w:r>
      <w:proofErr w:type="gramEnd"/>
      <w:r>
        <w:t>研究区带有地理坐标信息的无人机正射高光谱影像，其空间分辨率为</w:t>
      </w:r>
      <w:r>
        <w:t>2.71 cm</w:t>
      </w:r>
      <w:r>
        <w:rPr>
          <w:vertAlign w:val="superscript"/>
        </w:rPr>
        <w:t>[28]</w:t>
      </w:r>
      <w:r>
        <w:t>。</w:t>
      </w:r>
    </w:p>
    <w:p w14:paraId="03225A27" w14:textId="77777777" w:rsidR="00C83319" w:rsidRDefault="00000000">
      <w:pPr>
        <w:pStyle w:val="2"/>
      </w:pPr>
      <w:r>
        <w:rPr>
          <w:rFonts w:hint="eastAsia"/>
        </w:rPr>
        <w:t>高光谱遥感数据处理</w:t>
      </w:r>
    </w:p>
    <w:p w14:paraId="57E94CC7" w14:textId="77777777" w:rsidR="00C83319" w:rsidRDefault="00000000">
      <w:pPr>
        <w:pStyle w:val="3"/>
        <w:rPr>
          <w:rFonts w:hint="eastAsia"/>
        </w:rPr>
      </w:pPr>
      <w:r>
        <w:rPr>
          <w:rFonts w:hint="eastAsia"/>
        </w:rPr>
        <w:t>土壤反射率提取</w:t>
      </w:r>
    </w:p>
    <w:p w14:paraId="2C335A7E" w14:textId="3537C32F" w:rsidR="00C83319" w:rsidRDefault="00000000">
      <w:pPr>
        <w:pStyle w:val="15"/>
        <w:rPr>
          <w:rFonts w:hint="default"/>
        </w:rPr>
      </w:pPr>
      <w:r>
        <w:t>考虑到传感器在边缘波段（</w:t>
      </w:r>
      <w:r>
        <w:t>350</w:t>
      </w:r>
      <m:oMath>
        <m:r>
          <m:rPr>
            <m:sty m:val="p"/>
          </m:rPr>
          <w:rPr>
            <w:rFonts w:ascii="Cambria Math" w:hAnsi="Cambria Math"/>
          </w:rPr>
          <m:t>∼</m:t>
        </m:r>
      </m:oMath>
      <w:r>
        <w:t>400 nm</w:t>
      </w:r>
      <w:r>
        <w:t>）信噪比较低，本研究选取</w:t>
      </w:r>
      <w:r>
        <w:t>400</w:t>
      </w:r>
      <m:oMath>
        <m:r>
          <m:rPr>
            <m:sty m:val="p"/>
          </m:rPr>
          <w:rPr>
            <w:rFonts w:ascii="Cambria Math" w:hAnsi="Cambria Math"/>
          </w:rPr>
          <m:t>∼</m:t>
        </m:r>
      </m:oMath>
      <w:r>
        <w:t>1000 nm</w:t>
      </w:r>
      <w:r>
        <w:t>波段范围用于土壤盐分反演。以各采样点</w:t>
      </w:r>
      <w:r>
        <w:t>GPS</w:t>
      </w:r>
      <w:r>
        <w:t>坐标为中心，提取</w:t>
      </w:r>
      <w:r>
        <w:t>1 m</w:t>
      </w:r>
      <m:oMath>
        <m:r>
          <m:rPr>
            <m:sty m:val="p"/>
          </m:rPr>
          <w:rPr>
            <w:rFonts w:ascii="Cambria Math" w:hAnsi="Cambria Math"/>
          </w:rPr>
          <m:t>×</m:t>
        </m:r>
      </m:oMath>
      <w:r>
        <w:t>1 m</w:t>
      </w:r>
      <w:r>
        <w:t>正方形窗口内所有像元的光谱反射率均值，以减少单像元噪声的影响，该过程在</w:t>
      </w:r>
      <w:r>
        <w:t>ArcGIS Pro 2.5</w:t>
      </w:r>
      <w:r>
        <w:t>中完成。</w:t>
      </w:r>
      <w:r>
        <w:t xml:space="preserve"> </w:t>
      </w:r>
      <w:r>
        <w:t>随后采用</w:t>
      </w:r>
      <w:r>
        <w:t>Savitzky-Golay</w:t>
      </w:r>
      <w:r>
        <w:t>（</w:t>
      </w:r>
      <w:r>
        <w:t>S-G</w:t>
      </w:r>
      <w:r>
        <w:t>）滤波对光谱数据进行</w:t>
      </w:r>
      <w:proofErr w:type="gramStart"/>
      <w:r>
        <w:t>平滑去噪</w:t>
      </w:r>
      <w:proofErr w:type="gramEnd"/>
      <w:r>
        <w:t>，平滑窗口宽度为</w:t>
      </w:r>
      <w:r>
        <w:t>7</w:t>
      </w:r>
      <w:r>
        <w:t>，</w:t>
      </w:r>
      <w:proofErr w:type="gramStart"/>
      <w:r>
        <w:t>多项式阶数为</w:t>
      </w:r>
      <w:proofErr w:type="gramEnd"/>
      <w:r>
        <w:t>2</w:t>
      </w:r>
      <w:r>
        <w:t>，该过程基于</w:t>
      </w:r>
      <w:r>
        <w:t>Python</w:t>
      </w:r>
      <w:r>
        <w:t>中的</w:t>
      </w:r>
      <w:r>
        <w:t>SciPy</w:t>
      </w:r>
      <w:r>
        <w:t>库</w:t>
      </w:r>
      <w:proofErr w:type="spellStart"/>
      <w:r>
        <w:t>savgol_filter</w:t>
      </w:r>
      <w:proofErr w:type="spellEnd"/>
      <w:r>
        <w:t>函数实现。</w:t>
      </w:r>
    </w:p>
    <w:p w14:paraId="49236957" w14:textId="77777777" w:rsidR="00C83319" w:rsidRDefault="00000000">
      <w:pPr>
        <w:pStyle w:val="3"/>
        <w:rPr>
          <w:rFonts w:hint="eastAsia"/>
        </w:rPr>
      </w:pPr>
      <w:r>
        <w:rPr>
          <w:rFonts w:hint="eastAsia"/>
        </w:rPr>
        <w:t>分数阶微分处理</w:t>
      </w:r>
    </w:p>
    <w:p w14:paraId="6E8D1913" w14:textId="77777777" w:rsidR="00C83319" w:rsidRDefault="00000000">
      <w:pPr>
        <w:pStyle w:val="15"/>
        <w:rPr>
          <w:rFonts w:hint="default"/>
        </w:rPr>
      </w:pPr>
      <w:r>
        <w:t>分数阶微分通过在</w:t>
      </w:r>
      <w:proofErr w:type="gramStart"/>
      <w:r>
        <w:t>整数阶间进行</w:t>
      </w:r>
      <w:proofErr w:type="gramEnd"/>
      <w:r>
        <w:t>连续插值，保证了信噪比的平缓变化，能够有效挖掘土壤光谱中由盐分引起的微弱吸收特征及局部极值点，有助于获取与土壤盐分敏感的光谱信息</w:t>
      </w:r>
      <w:r>
        <w:rPr>
          <w:vertAlign w:val="superscript"/>
        </w:rPr>
        <w:t>[7]</w:t>
      </w:r>
      <w:r>
        <w:t>。目前，</w:t>
      </w:r>
      <w:r>
        <w:t>FOD</w:t>
      </w:r>
      <w:r>
        <w:t>的表达形式主要包括</w:t>
      </w:r>
      <w:r>
        <w:t>Riemann-Liouville</w:t>
      </w:r>
      <w:r>
        <w:t>（</w:t>
      </w:r>
      <w:r>
        <w:t>R-L</w:t>
      </w:r>
      <w:r>
        <w:t>）、</w:t>
      </w:r>
      <w:r>
        <w:t>Grunwald-</w:t>
      </w:r>
      <w:proofErr w:type="spellStart"/>
      <w:r>
        <w:t>Letnikov</w:t>
      </w:r>
      <w:proofErr w:type="spellEnd"/>
      <w:r>
        <w:t>（</w:t>
      </w:r>
      <w:r>
        <w:t>G-L</w:t>
      </w:r>
      <w:r>
        <w:t>）和</w:t>
      </w:r>
      <w:r>
        <w:t>Caputo</w:t>
      </w:r>
      <w:r>
        <w:t>。其中，</w:t>
      </w:r>
      <w:r>
        <w:t>G-L</w:t>
      </w:r>
      <w:r>
        <w:t>是离散形式，便于数值计算并具有较高的计算效率</w:t>
      </w:r>
      <w:r>
        <w:rPr>
          <w:vertAlign w:val="superscript"/>
        </w:rPr>
        <w:t>[25]</w:t>
      </w:r>
      <w:r>
        <w:t>。因此，本研究选用</w:t>
      </w:r>
      <w:r>
        <w:t>G-L</w:t>
      </w:r>
      <w:r>
        <w:t>处理土壤反射率数据，其公式为：</w:t>
      </w:r>
    </w:p>
    <w:p w14:paraId="3607F260" w14:textId="77777777" w:rsidR="00C83319" w:rsidRDefault="00000000">
      <w:pPr>
        <w:pStyle w:val="15"/>
        <w:ind w:firstLineChars="0" w:firstLine="0"/>
        <w:rPr>
          <w:rFonts w:hint="default"/>
        </w:rPr>
      </w:pPr>
      <m:oMathPara>
        <m:oMathParaPr>
          <m:jc m:val="center"/>
        </m:oMathParaPr>
        <m:oMath>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limLow>
            <m:limLowPr>
              <m:ctrlPr>
                <w:rPr>
                  <w:rFonts w:ascii="Cambria Math" w:hAnsi="Cambria Math"/>
                </w:rPr>
              </m:ctrlPr>
            </m:limLowPr>
            <m:e>
              <m:r>
                <m:rPr>
                  <m:sty m:val="p"/>
                </m:rPr>
                <w:rPr>
                  <w:rFonts w:ascii="Cambria Math" w:hAnsi="Cambria Math"/>
                </w:rPr>
                <m:t>lim</m:t>
              </m:r>
            </m:e>
            <m:lim>
              <m:r>
                <w:rPr>
                  <w:rFonts w:ascii="Cambria Math" w:hAnsi="Cambria Math"/>
                </w:rPr>
                <m:t>h</m:t>
              </m:r>
              <m:r>
                <m:rPr>
                  <m:sty m:val="p"/>
                </m:rPr>
                <w:rPr>
                  <w:rFonts w:ascii="Cambria Math" w:hAnsi="Cambria Math"/>
                </w:rPr>
                <m:t>→</m:t>
              </m:r>
              <m:r>
                <w:rPr>
                  <w:rFonts w:ascii="Cambria Math" w:hAnsi="Cambria Math"/>
                </w:rPr>
                <m:t>0</m:t>
              </m:r>
            </m:lim>
          </m:limLow>
          <m:f>
            <m:fPr>
              <m:ctrlPr>
                <w:rPr>
                  <w:rFonts w:ascii="Cambria Math" w:hAnsi="Cambria Math"/>
                </w:rPr>
              </m:ctrlPr>
            </m:fPr>
            <m:num>
              <m:r>
                <w:rPr>
                  <w:rFonts w:ascii="Cambria Math" w:hAnsi="Cambria Math"/>
                </w:rPr>
                <m:t>1</m:t>
              </m:r>
            </m:num>
            <m:den>
              <m:sSup>
                <m:sSupPr>
                  <m:ctrlPr>
                    <w:rPr>
                      <w:rFonts w:ascii="Cambria Math" w:hAnsi="Cambria Math"/>
                    </w:rPr>
                  </m:ctrlPr>
                </m:sSupPr>
                <m:e>
                  <m:r>
                    <w:rPr>
                      <w:rFonts w:ascii="Cambria Math" w:hAnsi="Cambria Math"/>
                    </w:rPr>
                    <m:t>h</m:t>
                  </m:r>
                </m:e>
                <m:sup>
                  <m:r>
                    <w:rPr>
                      <w:rFonts w:ascii="Cambria Math" w:hAnsi="Cambria Math"/>
                    </w:rPr>
                    <m:t>v</m:t>
                  </m:r>
                </m:sup>
              </m:sSup>
            </m:den>
          </m:f>
          <m:nary>
            <m:naryPr>
              <m:chr m:val="∑"/>
              <m:limLoc m:val="undOvr"/>
              <m:ctrlPr>
                <w:rPr>
                  <w:rFonts w:ascii="Cambria Math" w:hAnsi="Cambria Math"/>
                </w:rPr>
              </m:ctrlPr>
            </m:naryPr>
            <m:sub>
              <m:r>
                <w:rPr>
                  <w:rFonts w:ascii="Cambria Math" w:hAnsi="Cambria Math"/>
                </w:rPr>
                <m:t>m</m:t>
              </m:r>
              <m:r>
                <m:rPr>
                  <m:sty m:val="p"/>
                </m:rPr>
                <w:rPr>
                  <w:rFonts w:ascii="Cambria Math" w:hAnsi="Cambria Math"/>
                </w:rPr>
                <m:t>=</m:t>
              </m:r>
              <m:r>
                <w:rPr>
                  <w:rFonts w:ascii="Cambria Math" w:hAnsi="Cambria Math"/>
                </w:rPr>
                <m:t>0</m:t>
              </m:r>
            </m:sub>
            <m:sup>
              <m:f>
                <m:fPr>
                  <m:ctrlPr>
                    <w:rPr>
                      <w:rFonts w:ascii="Cambria Math" w:hAnsi="Cambria Math"/>
                    </w:rPr>
                  </m:ctrlPr>
                </m:fPr>
                <m:num>
                  <m:r>
                    <w:rPr>
                      <w:rFonts w:ascii="Cambria Math" w:hAnsi="Cambria Math"/>
                    </w:rPr>
                    <m:t>t</m:t>
                  </m:r>
                  <m:r>
                    <m:rPr>
                      <m:sty m:val="p"/>
                    </m:rPr>
                    <w:rPr>
                      <w:rFonts w:ascii="Cambria Math" w:hAnsi="Cambria Math"/>
                    </w:rPr>
                    <m:t>-</m:t>
                  </m:r>
                  <m:r>
                    <w:rPr>
                      <w:rFonts w:ascii="Cambria Math" w:hAnsi="Cambria Math"/>
                    </w:rPr>
                    <m:t>α</m:t>
                  </m:r>
                </m:num>
                <m:den>
                  <m:r>
                    <w:rPr>
                      <w:rFonts w:ascii="Cambria Math" w:hAnsi="Cambria Math"/>
                    </w:rPr>
                    <m:t>h</m:t>
                  </m:r>
                </m:den>
              </m:f>
            </m:sup>
            <m:e>
              <m:r>
                <m:rPr>
                  <m:sty m:val="p"/>
                </m:rPr>
                <w:rPr>
                  <w:rFonts w:ascii="Cambria Math" w:hAnsi="Cambria Math"/>
                </w:rPr>
                <m:t>(</m:t>
              </m:r>
            </m:e>
          </m:nary>
          <m:r>
            <m:rPr>
              <m:sty m:val="p"/>
            </m:rPr>
            <w:rPr>
              <w:rFonts w:ascii="Cambria Math" w:hAnsi="Cambria Math"/>
            </w:rPr>
            <m:t>-</m:t>
          </m:r>
          <m:r>
            <w:rPr>
              <w:rFonts w:ascii="Cambria Math" w:hAnsi="Cambria Math"/>
            </w:rPr>
            <m:t>1</m:t>
          </m:r>
          <m:sSup>
            <m:sSupPr>
              <m:ctrlPr>
                <w:rPr>
                  <w:rFonts w:ascii="Cambria Math" w:hAnsi="Cambria Math"/>
                </w:rPr>
              </m:ctrlPr>
            </m:sSupPr>
            <m:e>
              <m:r>
                <m:rPr>
                  <m:sty m:val="p"/>
                </m:rPr>
                <w:rPr>
                  <w:rFonts w:ascii="Cambria Math" w:hAnsi="Cambria Math"/>
                </w:rPr>
                <m:t>)</m:t>
              </m:r>
            </m:e>
            <m:sup>
              <m:r>
                <w:rPr>
                  <w:rFonts w:ascii="Cambria Math" w:hAnsi="Cambria Math"/>
                </w:rPr>
                <m:t>m</m:t>
              </m:r>
            </m:sup>
          </m:sSup>
          <m:f>
            <m:fPr>
              <m:ctrlPr>
                <w:rPr>
                  <w:rFonts w:ascii="Cambria Math" w:hAnsi="Cambria Math"/>
                </w:rPr>
              </m:ctrlPr>
            </m:fPr>
            <m:num>
              <m:r>
                <m:rPr>
                  <m:sty m:val="p"/>
                </m:rPr>
                <w:rPr>
                  <w:rFonts w:ascii="Cambria Math" w:hAnsi="Cambria Math"/>
                </w:rPr>
                <m:t>Γ</m:t>
              </m:r>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1</m:t>
              </m:r>
              <m:r>
                <m:rPr>
                  <m:sty m:val="p"/>
                </m:rPr>
                <w:rPr>
                  <w:rFonts w:ascii="Cambria Math" w:hAnsi="Cambria Math"/>
                </w:rPr>
                <m:t>)</m:t>
              </m:r>
            </m:num>
            <m:den>
              <m:r>
                <w:rPr>
                  <w:rFonts w:ascii="Cambria Math" w:hAnsi="Cambria Math"/>
                </w:rPr>
                <m:t>m</m:t>
              </m:r>
              <m:r>
                <m:rPr>
                  <m:sty m:val="p"/>
                </m:rPr>
                <w:rPr>
                  <w:rFonts w:ascii="Cambria Math" w:hAnsi="Cambria Math"/>
                </w:rPr>
                <m:t>!</m:t>
              </m:r>
              <m:r>
                <w:rPr>
                  <w:rFonts w:ascii="Cambria Math" w:hAnsi="Cambria Math"/>
                </w:rPr>
                <m:t> </m:t>
              </m:r>
              <m:r>
                <m:rPr>
                  <m:sty m:val="p"/>
                </m:rPr>
                <w:rPr>
                  <w:rFonts w:ascii="Cambria Math" w:hAnsi="Cambria Math"/>
                </w:rPr>
                <m:t>Γ</m:t>
              </m:r>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1</m:t>
              </m:r>
              <m:r>
                <m:rPr>
                  <m:sty m:val="p"/>
                </m:rPr>
                <w:rPr>
                  <w:rFonts w:ascii="Cambria Math" w:hAnsi="Cambria Math"/>
                </w:rPr>
                <m:t>)</m:t>
              </m:r>
            </m:den>
          </m:f>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m</m:t>
          </m:r>
          <m:r>
            <w:rPr>
              <w:rFonts w:ascii="Cambria Math" w:hAnsi="Cambria Math"/>
            </w:rPr>
            <m:t>h</m:t>
          </m:r>
          <m:r>
            <m:rPr>
              <m:sty m:val="p"/>
            </m:rPr>
            <w:rPr>
              <w:rFonts w:ascii="Cambria Math" w:hAnsi="Cambria Math"/>
            </w:rPr>
            <m:t>)</m:t>
          </m:r>
        </m:oMath>
      </m:oMathPara>
    </w:p>
    <w:p w14:paraId="69EA2C1B" w14:textId="77777777" w:rsidR="00C83319" w:rsidRDefault="00000000">
      <w:pPr>
        <w:pStyle w:val="15"/>
        <w:rPr>
          <w:rFonts w:hint="default"/>
        </w:rPr>
      </w:pPr>
      <w:r>
        <w:t>式中</w:t>
      </w:r>
      <m:oMath>
        <m:r>
          <m:rPr>
            <m:sty m:val="p"/>
          </m:rPr>
          <w:rPr>
            <w:rFonts w:ascii="Cambria Math" w:hAnsi="Cambria Math"/>
          </w:rPr>
          <m:t>v</m:t>
        </m:r>
      </m:oMath>
      <w:r>
        <w:t>表示微分阶数，</w:t>
      </w:r>
      <m:oMath>
        <m:r>
          <m:rPr>
            <m:sty m:val="p"/>
          </m:rPr>
          <w:rPr>
            <w:rFonts w:ascii="Cambria Math" w:hAnsi="Cambria Math"/>
          </w:rPr>
          <m:t>h</m:t>
        </m:r>
      </m:oMath>
      <w:r>
        <w:t>表示微分步长，</w:t>
      </w:r>
      <m:oMath>
        <m:r>
          <m:rPr>
            <m:sty m:val="p"/>
          </m:rPr>
          <w:rPr>
            <w:rFonts w:ascii="Cambria Math" w:hAnsi="Cambria Math"/>
          </w:rPr>
          <m:t>t</m:t>
        </m:r>
      </m:oMath>
      <w:r>
        <w:t>表示微分的上限，</w:t>
      </w:r>
      <m:oMath>
        <m:r>
          <m:rPr>
            <m:sty m:val="p"/>
          </m:rPr>
          <w:rPr>
            <w:rFonts w:ascii="Cambria Math" w:hAnsi="Cambria Math"/>
          </w:rPr>
          <m:t>α</m:t>
        </m:r>
      </m:oMath>
      <w:r>
        <w:t>表示微分的下限，</w:t>
      </w:r>
      <m:oMath>
        <m:r>
          <m:rPr>
            <m:sty m:val="p"/>
          </m:rPr>
          <w:rPr>
            <w:rFonts w:ascii="Cambria Math" w:hAnsi="Cambria Math"/>
          </w:rPr>
          <m:t>m=</m:t>
        </m:r>
        <m:f>
          <m:fPr>
            <m:ctrlPr>
              <w:rPr>
                <w:rFonts w:ascii="Cambria Math" w:hAnsi="Cambria Math"/>
              </w:rPr>
            </m:ctrlPr>
          </m:fPr>
          <m:num>
            <m:r>
              <m:rPr>
                <m:sty m:val="p"/>
              </m:rPr>
              <w:rPr>
                <w:rFonts w:ascii="Cambria Math" w:hAnsi="Cambria Math"/>
              </w:rPr>
              <m:t>t</m:t>
            </m:r>
            <m:r>
              <m:rPr>
                <m:sty m:val="p"/>
              </m:rPr>
              <w:rPr>
                <w:rFonts w:ascii="Cambria Math" w:hAnsi="Cambria Math"/>
              </w:rPr>
              <m:t>-α</m:t>
            </m:r>
          </m:num>
          <m:den>
            <m:r>
              <m:rPr>
                <m:sty m:val="p"/>
              </m:rPr>
              <w:rPr>
                <w:rFonts w:ascii="Cambria Math" w:hAnsi="Cambria Math"/>
              </w:rPr>
              <m:t>h</m:t>
            </m:r>
          </m:den>
        </m:f>
      </m:oMath>
      <w:r>
        <w:t>表示光谱数据长度，</w:t>
      </w:r>
      <m:oMath>
        <m:r>
          <m:rPr>
            <m:sty m:val="p"/>
          </m:rPr>
          <w:rPr>
            <w:rFonts w:ascii="Cambria Math" w:hAnsi="Cambria Math"/>
          </w:rPr>
          <m:t>Γ</m:t>
        </m:r>
      </m:oMath>
      <w:r>
        <w:t>表示</w:t>
      </w:r>
      <w:r>
        <w:t>Gamma</w:t>
      </w:r>
      <w:r>
        <w:t>函数。令</w:t>
      </w:r>
      <m:oMath>
        <m:r>
          <m:rPr>
            <m:sty m:val="p"/>
          </m:rPr>
          <w:rPr>
            <w:rFonts w:ascii="Cambria Math" w:hAnsi="Cambria Math"/>
          </w:rPr>
          <m:t>h=1</m:t>
        </m:r>
      </m:oMath>
      <w:r>
        <w:t>，推导出函数</w:t>
      </w:r>
      <m:oMath>
        <m:r>
          <m:rPr>
            <m:sty m:val="p"/>
          </m:rPr>
          <w:rPr>
            <w:rFonts w:ascii="Cambria Math" w:hAnsi="Cambria Math"/>
          </w:rPr>
          <m:t>f(x)</m:t>
        </m:r>
      </m:oMath>
      <w:r>
        <w:t>的</w:t>
      </w:r>
      <m:oMath>
        <m:r>
          <m:rPr>
            <m:sty m:val="p"/>
          </m:rPr>
          <w:rPr>
            <w:rFonts w:ascii="Cambria Math" w:hAnsi="Cambria Math"/>
          </w:rPr>
          <m:t>v</m:t>
        </m:r>
      </m:oMath>
      <w:r>
        <w:t>阶分数阶微分的公式：</w:t>
      </w:r>
    </w:p>
    <w:p w14:paraId="57AB02D7" w14:textId="77777777" w:rsidR="00C83319" w:rsidRDefault="00000000">
      <w:pPr>
        <w:rPr>
          <w:rFonts w:ascii="Times New Roman" w:hAnsi="Times New Roman"/>
          <w:szCs w:val="21"/>
        </w:rPr>
      </w:pPr>
      <m:oMathPara>
        <m:oMathParaPr>
          <m:jc m:val="center"/>
        </m:oMathParaPr>
        <m:oMath>
          <m:f>
            <m:fPr>
              <m:ctrlPr>
                <w:rPr>
                  <w:rFonts w:ascii="Cambria Math" w:hAnsi="Cambria Math"/>
                </w:rPr>
              </m:ctrlPr>
            </m:fPr>
            <m:num>
              <m:sSup>
                <m:sSupPr>
                  <m:ctrlPr>
                    <w:rPr>
                      <w:rFonts w:ascii="Cambria Math" w:hAnsi="Cambria Math"/>
                    </w:rPr>
                  </m:ctrlPr>
                </m:sSupPr>
                <m:e>
                  <m:r>
                    <w:rPr>
                      <w:rFonts w:ascii="Cambria Math" w:hAnsi="Cambria Math"/>
                    </w:rPr>
                    <m:t>d</m:t>
                  </m:r>
                </m:e>
                <m:sup>
                  <m:r>
                    <w:rPr>
                      <w:rFonts w:ascii="Cambria Math" w:hAnsi="Cambria Math"/>
                    </w:rPr>
                    <m:t>v</m:t>
                  </m:r>
                </m:sup>
              </m:sSup>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num>
            <m:den>
              <m:r>
                <w:rPr>
                  <w:rFonts w:ascii="Cambria Math" w:hAnsi="Cambria Math"/>
                </w:rPr>
                <m:t>d</m:t>
              </m:r>
              <m:sSup>
                <m:sSupPr>
                  <m:ctrlPr>
                    <w:rPr>
                      <w:rFonts w:ascii="Cambria Math" w:hAnsi="Cambria Math"/>
                    </w:rPr>
                  </m:ctrlPr>
                </m:sSupPr>
                <m:e>
                  <m:r>
                    <w:rPr>
                      <w:rFonts w:ascii="Cambria Math" w:hAnsi="Cambria Math"/>
                    </w:rPr>
                    <m:t>x</m:t>
                  </m:r>
                </m:e>
                <m:sup>
                  <m:r>
                    <w:rPr>
                      <w:rFonts w:ascii="Cambria Math" w:hAnsi="Cambria Math"/>
                    </w:rPr>
                    <m:t>v</m:t>
                  </m:r>
                </m:sup>
              </m:sSup>
            </m:den>
          </m:f>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1</m:t>
          </m:r>
          <m:r>
            <m:rPr>
              <m:sty m:val="p"/>
            </m:rP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1</m:t>
              </m:r>
              <m:r>
                <m:rPr>
                  <m:sty m:val="p"/>
                </m:rPr>
                <w:rPr>
                  <w:rFonts w:ascii="Cambria Math" w:hAnsi="Cambria Math"/>
                </w:rPr>
                <m:t>)</m:t>
              </m:r>
            </m:num>
            <m:den>
              <m:r>
                <w:rPr>
                  <w:rFonts w:ascii="Cambria Math" w:hAnsi="Cambria Math"/>
                </w:rPr>
                <m:t>2</m:t>
              </m:r>
            </m:den>
          </m:f>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2</m:t>
          </m:r>
          <m:r>
            <m:rPr>
              <m:sty m:val="p"/>
            </m:rPr>
            <w:rPr>
              <w:rFonts w:ascii="Cambria Math" w:hAnsi="Cambria Math"/>
            </w:rPr>
            <m:t>)+⋯+</m:t>
          </m:r>
          <m:f>
            <m:fPr>
              <m:ctrlPr>
                <w:rPr>
                  <w:rFonts w:ascii="Cambria Math" w:hAnsi="Cambria Math"/>
                </w:rPr>
              </m:ctrlPr>
            </m:fPr>
            <m:num>
              <m:r>
                <m:rPr>
                  <m:sty m:val="p"/>
                </m:rPr>
                <w:rPr>
                  <w:rFonts w:ascii="Cambria Math" w:hAnsi="Cambria Math"/>
                </w:rPr>
                <m:t>Γ(-</m:t>
              </m:r>
              <m:r>
                <w:rPr>
                  <w:rFonts w:ascii="Cambria Math" w:hAnsi="Cambria Math"/>
                </w:rPr>
                <m:t>v</m:t>
              </m:r>
              <m:r>
                <m:rPr>
                  <m:sty m:val="p"/>
                </m:rPr>
                <w:rPr>
                  <w:rFonts w:ascii="Cambria Math" w:hAnsi="Cambria Math"/>
                </w:rPr>
                <m:t>+</m:t>
              </m:r>
              <m:r>
                <w:rPr>
                  <w:rFonts w:ascii="Cambria Math" w:hAnsi="Cambria Math"/>
                </w:rPr>
                <m:t>1</m:t>
              </m:r>
              <m:r>
                <m:rPr>
                  <m:sty m:val="p"/>
                </m:rPr>
                <w:rPr>
                  <w:rFonts w:ascii="Cambria Math" w:hAnsi="Cambria Math"/>
                </w:rPr>
                <m:t>)</m:t>
              </m:r>
            </m:num>
            <m:den>
              <m:r>
                <w:rPr>
                  <w:rFonts w:ascii="Cambria Math" w:hAnsi="Cambria Math"/>
                </w:rPr>
                <m:t>m</m:t>
              </m:r>
              <m:r>
                <m:rPr>
                  <m:sty m:val="p"/>
                </m:rPr>
                <w:rPr>
                  <w:rFonts w:ascii="Cambria Math" w:hAnsi="Cambria Math"/>
                </w:rPr>
                <m:t>!</m:t>
              </m:r>
              <m:r>
                <w:rPr>
                  <w:rFonts w:ascii="Cambria Math" w:hAnsi="Cambria Math"/>
                </w:rPr>
                <m:t> </m:t>
              </m:r>
              <m:r>
                <m:rPr>
                  <m:sty m:val="p"/>
                </m:rPr>
                <w:rPr>
                  <w:rFonts w:ascii="Cambria Math" w:hAnsi="Cambria Math"/>
                </w:rPr>
                <m:t>Γ(-</m:t>
              </m:r>
              <m:r>
                <w:rPr>
                  <w:rFonts w:ascii="Cambria Math" w:hAnsi="Cambria Math"/>
                </w:rPr>
                <m:t>v</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1</m:t>
              </m:r>
              <m:r>
                <m:rPr>
                  <m:sty m:val="p"/>
                </m:rPr>
                <w:rPr>
                  <w:rFonts w:ascii="Cambria Math" w:hAnsi="Cambria Math"/>
                </w:rPr>
                <m:t>)</m:t>
              </m:r>
            </m:den>
          </m:f>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m</m:t>
          </m:r>
          <m:r>
            <m:rPr>
              <m:sty m:val="p"/>
            </m:rPr>
            <w:rPr>
              <w:rFonts w:ascii="Cambria Math" w:hAnsi="Cambria Math"/>
            </w:rPr>
            <m:t>)</m:t>
          </m:r>
        </m:oMath>
      </m:oMathPara>
    </w:p>
    <w:p w14:paraId="5698D5AF" w14:textId="77777777" w:rsidR="00C83319" w:rsidRDefault="00000000">
      <w:pPr>
        <w:ind w:firstLineChars="200" w:firstLine="420"/>
        <w:rPr>
          <w:rFonts w:ascii="Times New Roman" w:hAnsi="Times New Roman"/>
          <w:szCs w:val="21"/>
        </w:rPr>
      </w:pPr>
      <w:r>
        <w:rPr>
          <w:rFonts w:ascii="Times New Roman" w:hAnsi="Times New Roman" w:hint="eastAsia"/>
          <w:szCs w:val="21"/>
        </w:rPr>
        <w:t>本研究计算了土壤反射率在</w:t>
      </w:r>
      <w:r>
        <w:rPr>
          <w:rFonts w:ascii="Times New Roman" w:hAnsi="Times New Roman" w:hint="eastAsia"/>
          <w:szCs w:val="21"/>
        </w:rPr>
        <w:t>0.2</w:t>
      </w:r>
      <m:oMath>
        <m:r>
          <m:rPr>
            <m:sty m:val="p"/>
          </m:rPr>
          <w:rPr>
            <w:rFonts w:ascii="Times New Roman" w:hAnsi="Times New Roman" w:hint="eastAsia"/>
            <w:szCs w:val="21"/>
          </w:rPr>
          <m:t>∼</m:t>
        </m:r>
      </m:oMath>
      <w:r>
        <w:rPr>
          <w:rFonts w:ascii="Times New Roman" w:hAnsi="Times New Roman" w:hint="eastAsia"/>
          <w:szCs w:val="21"/>
        </w:rPr>
        <w:t>2.0</w:t>
      </w:r>
      <w:r>
        <w:rPr>
          <w:rFonts w:ascii="Times New Roman" w:hAnsi="Times New Roman" w:hint="eastAsia"/>
          <w:szCs w:val="21"/>
        </w:rPr>
        <w:t>阶的</w:t>
      </w:r>
      <w:r>
        <w:rPr>
          <w:rFonts w:ascii="Times New Roman" w:hAnsi="Times New Roman" w:hint="eastAsia"/>
          <w:szCs w:val="21"/>
        </w:rPr>
        <w:t>FOD</w:t>
      </w:r>
      <w:r>
        <w:rPr>
          <w:rFonts w:ascii="Times New Roman" w:hAnsi="Times New Roman" w:hint="eastAsia"/>
          <w:szCs w:val="21"/>
        </w:rPr>
        <w:t>，以</w:t>
      </w:r>
      <w:r>
        <w:rPr>
          <w:rFonts w:ascii="Times New Roman" w:hAnsi="Times New Roman" w:hint="eastAsia"/>
          <w:szCs w:val="21"/>
        </w:rPr>
        <w:t>0.2</w:t>
      </w:r>
      <w:r>
        <w:rPr>
          <w:rFonts w:ascii="Times New Roman" w:hAnsi="Times New Roman" w:hint="eastAsia"/>
          <w:szCs w:val="21"/>
        </w:rPr>
        <w:t>阶为步长，共使用了</w:t>
      </w:r>
      <w:r>
        <w:rPr>
          <w:rFonts w:ascii="Times New Roman" w:hAnsi="Times New Roman" w:hint="eastAsia"/>
          <w:szCs w:val="21"/>
        </w:rPr>
        <w:t>10</w:t>
      </w:r>
      <w:r>
        <w:rPr>
          <w:rFonts w:ascii="Times New Roman" w:hAnsi="Times New Roman" w:hint="eastAsia"/>
          <w:szCs w:val="21"/>
        </w:rPr>
        <w:t>种分数阶微分处理方式。</w:t>
      </w:r>
      <w:r>
        <w:rPr>
          <w:rFonts w:ascii="Times New Roman" w:hAnsi="Times New Roman" w:hint="eastAsia"/>
          <w:szCs w:val="21"/>
        </w:rPr>
        <w:t>FOD</w:t>
      </w:r>
      <w:r>
        <w:rPr>
          <w:rFonts w:ascii="Times New Roman" w:hAnsi="Times New Roman" w:hint="eastAsia"/>
          <w:szCs w:val="21"/>
        </w:rPr>
        <w:t>变换过程基于</w:t>
      </w:r>
      <w:r>
        <w:rPr>
          <w:rFonts w:ascii="Times New Roman" w:hAnsi="Times New Roman" w:hint="eastAsia"/>
          <w:szCs w:val="21"/>
        </w:rPr>
        <w:t>Python 3.12</w:t>
      </w:r>
      <w:r>
        <w:rPr>
          <w:rFonts w:ascii="Times New Roman" w:hAnsi="Times New Roman" w:hint="eastAsia"/>
          <w:szCs w:val="21"/>
        </w:rPr>
        <w:t>完成。</w:t>
      </w:r>
    </w:p>
    <w:p w14:paraId="404A83C6" w14:textId="77777777" w:rsidR="00C83319" w:rsidRDefault="00000000">
      <w:pPr>
        <w:pStyle w:val="2"/>
      </w:pPr>
      <w:r>
        <w:rPr>
          <w:rFonts w:hint="eastAsia"/>
        </w:rPr>
        <w:t>光谱指数构建</w:t>
      </w:r>
    </w:p>
    <w:p w14:paraId="05AE1DAC" w14:textId="3A1A8AEC" w:rsidR="00C83319" w:rsidRDefault="00000000">
      <w:pPr>
        <w:ind w:firstLineChars="200" w:firstLine="420"/>
        <w:rPr>
          <w:rFonts w:ascii="Times New Roman" w:hAnsi="Times New Roman"/>
          <w:szCs w:val="21"/>
        </w:rPr>
      </w:pPr>
      <w:r>
        <w:rPr>
          <w:rFonts w:ascii="Times New Roman" w:hAnsi="Times New Roman" w:hint="eastAsia"/>
          <w:szCs w:val="21"/>
        </w:rPr>
        <w:lastRenderedPageBreak/>
        <w:t>基于</w:t>
      </w:r>
      <w:r>
        <w:rPr>
          <w:rFonts w:ascii="Times New Roman" w:hAnsi="Times New Roman" w:hint="eastAsia"/>
          <w:szCs w:val="21"/>
        </w:rPr>
        <w:t>FOD</w:t>
      </w:r>
      <w:r>
        <w:rPr>
          <w:rFonts w:ascii="Times New Roman" w:hAnsi="Times New Roman" w:hint="eastAsia"/>
          <w:szCs w:val="21"/>
        </w:rPr>
        <w:t>处理的光谱数据，本研究共构建了</w:t>
      </w:r>
      <w:r>
        <w:rPr>
          <w:rFonts w:ascii="Times New Roman" w:hAnsi="Times New Roman" w:hint="eastAsia"/>
          <w:szCs w:val="21"/>
        </w:rPr>
        <w:t>9</w:t>
      </w:r>
      <w:r>
        <w:rPr>
          <w:rFonts w:ascii="Times New Roman" w:hAnsi="Times New Roman" w:hint="eastAsia"/>
          <w:szCs w:val="21"/>
        </w:rPr>
        <w:t>种用于土壤盐分反演的光谱指数，具体公式如表</w:t>
      </w:r>
      <w:r w:rsidR="00C83319">
        <w:fldChar w:fldCharType="begin"/>
      </w:r>
      <w:r w:rsidR="00C83319">
        <w:instrText>HYPERLINK \l "tab:spectral_indices" \h</w:instrText>
      </w:r>
      <w:r w:rsidR="00C83319">
        <w:fldChar w:fldCharType="separate"/>
      </w:r>
      <w:r w:rsidR="00C83319">
        <w:rPr>
          <w:rFonts w:ascii="Times New Roman" w:hAnsi="Times New Roman" w:hint="eastAsia"/>
          <w:szCs w:val="21"/>
        </w:rPr>
        <w:t>1</w:t>
      </w:r>
      <w:r w:rsidR="00C83319">
        <w:fldChar w:fldCharType="end"/>
      </w:r>
      <w:r>
        <w:rPr>
          <w:rFonts w:ascii="Times New Roman" w:hAnsi="Times New Roman" w:hint="eastAsia"/>
          <w:szCs w:val="21"/>
        </w:rPr>
        <w:t>所示。其中包含三种基于两个波段构建的二维（</w:t>
      </w:r>
      <w:r>
        <w:rPr>
          <w:rFonts w:ascii="Times New Roman" w:hAnsi="Times New Roman" w:hint="eastAsia"/>
          <w:szCs w:val="21"/>
        </w:rPr>
        <w:t>2D</w:t>
      </w:r>
      <w:r>
        <w:rPr>
          <w:rFonts w:ascii="Times New Roman" w:hAnsi="Times New Roman" w:hint="eastAsia"/>
          <w:szCs w:val="21"/>
        </w:rPr>
        <w:t>）光谱指数，即比值指数（</w:t>
      </w:r>
      <w:r>
        <w:rPr>
          <w:rFonts w:ascii="Times New Roman" w:hAnsi="Times New Roman" w:hint="eastAsia"/>
          <w:szCs w:val="21"/>
        </w:rPr>
        <w:t>ratio index</w:t>
      </w:r>
      <w:r>
        <w:rPr>
          <w:rFonts w:ascii="Times New Roman" w:hAnsi="Times New Roman" w:hint="eastAsia"/>
          <w:szCs w:val="21"/>
        </w:rPr>
        <w:t>，</w:t>
      </w:r>
      <w:r>
        <w:rPr>
          <w:rFonts w:ascii="Times New Roman" w:hAnsi="Times New Roman" w:hint="eastAsia"/>
          <w:szCs w:val="21"/>
        </w:rPr>
        <w:t>RI</w:t>
      </w:r>
      <w:r>
        <w:rPr>
          <w:rFonts w:ascii="Times New Roman" w:hAnsi="Times New Roman" w:hint="eastAsia"/>
          <w:szCs w:val="21"/>
        </w:rPr>
        <w:t>）、差分指数（</w:t>
      </w:r>
      <w:r>
        <w:rPr>
          <w:rFonts w:ascii="Times New Roman" w:hAnsi="Times New Roman" w:hint="eastAsia"/>
          <w:szCs w:val="21"/>
        </w:rPr>
        <w:t>difference index</w:t>
      </w:r>
      <w:r>
        <w:rPr>
          <w:rFonts w:ascii="Times New Roman" w:hAnsi="Times New Roman" w:hint="eastAsia"/>
          <w:szCs w:val="21"/>
        </w:rPr>
        <w:t>，</w:t>
      </w:r>
      <w:r>
        <w:rPr>
          <w:rFonts w:ascii="Times New Roman" w:hAnsi="Times New Roman" w:hint="eastAsia"/>
          <w:szCs w:val="21"/>
        </w:rPr>
        <w:t>DI</w:t>
      </w:r>
      <w:r>
        <w:rPr>
          <w:rFonts w:ascii="Times New Roman" w:hAnsi="Times New Roman" w:hint="eastAsia"/>
          <w:szCs w:val="21"/>
        </w:rPr>
        <w:t>）和归一化指数（</w:t>
      </w:r>
      <w:r>
        <w:rPr>
          <w:rFonts w:ascii="Times New Roman" w:hAnsi="Times New Roman" w:hint="eastAsia"/>
          <w:szCs w:val="21"/>
        </w:rPr>
        <w:t>normalized difference index</w:t>
      </w:r>
      <w:r>
        <w:rPr>
          <w:rFonts w:ascii="Times New Roman" w:hAnsi="Times New Roman" w:hint="eastAsia"/>
          <w:szCs w:val="21"/>
        </w:rPr>
        <w:t>，</w:t>
      </w:r>
      <w:r>
        <w:rPr>
          <w:rFonts w:ascii="Times New Roman" w:hAnsi="Times New Roman" w:hint="eastAsia"/>
          <w:szCs w:val="21"/>
        </w:rPr>
        <w:t>NDI</w:t>
      </w:r>
      <w:r>
        <w:rPr>
          <w:rFonts w:ascii="Times New Roman" w:hAnsi="Times New Roman" w:hint="eastAsia"/>
          <w:szCs w:val="21"/>
        </w:rPr>
        <w:t>）</w:t>
      </w:r>
      <w:r>
        <w:rPr>
          <w:rFonts w:ascii="Times New Roman" w:hAnsi="Times New Roman" w:hint="eastAsia"/>
          <w:szCs w:val="21"/>
          <w:vertAlign w:val="superscript"/>
        </w:rPr>
        <w:t>[29]</w:t>
      </w:r>
      <w:r>
        <w:rPr>
          <w:rFonts w:ascii="Times New Roman" w:hAnsi="Times New Roman" w:hint="eastAsia"/>
          <w:szCs w:val="21"/>
        </w:rPr>
        <w:t>，以及六种基于三个波段构建的三维（</w:t>
      </w:r>
      <w:r>
        <w:rPr>
          <w:rFonts w:ascii="Times New Roman" w:hAnsi="Times New Roman" w:hint="eastAsia"/>
          <w:szCs w:val="21"/>
        </w:rPr>
        <w:t>3D</w:t>
      </w:r>
      <w:r>
        <w:rPr>
          <w:rFonts w:ascii="Times New Roman" w:hAnsi="Times New Roman" w:hint="eastAsia"/>
          <w:szCs w:val="21"/>
        </w:rPr>
        <w:t>）光谱指数，即三波段指数（</w:t>
      </w:r>
      <w:r>
        <w:rPr>
          <w:rFonts w:ascii="Times New Roman" w:hAnsi="Times New Roman" w:hint="eastAsia"/>
          <w:szCs w:val="21"/>
        </w:rPr>
        <w:t>Three Band Indices, TBI</w:t>
      </w:r>
      <w:r>
        <w:rPr>
          <w:rFonts w:ascii="Times New Roman" w:hAnsi="Times New Roman" w:hint="eastAsia"/>
          <w:szCs w:val="21"/>
        </w:rPr>
        <w:t>）</w:t>
      </w:r>
      <w:r>
        <w:rPr>
          <w:rFonts w:ascii="Times New Roman" w:hAnsi="Times New Roman" w:hint="eastAsia"/>
          <w:szCs w:val="21"/>
          <w:vertAlign w:val="superscript"/>
        </w:rPr>
        <w:t>[16]</w:t>
      </w:r>
      <w:r>
        <w:rPr>
          <w:rFonts w:ascii="Times New Roman" w:hAnsi="Times New Roman" w:hint="eastAsia"/>
          <w:szCs w:val="21"/>
        </w:rPr>
        <w:t>。</w:t>
      </w:r>
    </w:p>
    <w:p w14:paraId="03B501B1" w14:textId="77777777" w:rsidR="00C83319" w:rsidRDefault="00000000">
      <w:pPr>
        <w:pStyle w:val="aff5"/>
      </w:pPr>
      <w:r>
        <w:rPr>
          <w:rFonts w:hint="eastAsia"/>
        </w:rPr>
        <w:t>表</w:t>
      </w:r>
      <w:r>
        <w:rPr>
          <w:rFonts w:hint="eastAsia"/>
        </w:rPr>
        <w:t xml:space="preserve">1 </w:t>
      </w:r>
      <w:r>
        <w:rPr>
          <w:rFonts w:hint="eastAsia"/>
        </w:rPr>
        <w:t>光谱指数</w:t>
      </w:r>
    </w:p>
    <w:p w14:paraId="520E8B3D" w14:textId="77777777" w:rsidR="00C83319" w:rsidRDefault="00000000">
      <w:pPr>
        <w:pStyle w:val="aff5"/>
      </w:pPr>
      <w:r>
        <w:rPr>
          <w:rFonts w:hint="eastAsia"/>
        </w:rPr>
        <w:t>Tab. 1 Spectral indices</w:t>
      </w:r>
      <w:bookmarkStart w:id="6" w:name="tab:spectral_indices"/>
      <w:bookmarkEnd w:id="6"/>
    </w:p>
    <w:tbl>
      <w:tblPr>
        <w:tblStyle w:val="Table"/>
        <w:tblW w:w="0" w:type="auto"/>
        <w:jc w:val="center"/>
        <w:tblInd w:w="0" w:type="dxa"/>
        <w:tblLook w:val="04A0" w:firstRow="1" w:lastRow="0" w:firstColumn="1" w:lastColumn="0" w:noHBand="0" w:noVBand="1"/>
        <w:tblCaption w:val="光谱指数"/>
      </w:tblPr>
      <w:tblGrid>
        <w:gridCol w:w="2181"/>
        <w:gridCol w:w="1997"/>
      </w:tblGrid>
      <w:tr w:rsidR="00C83319" w14:paraId="745E6642" w14:textId="77777777" w:rsidTr="00C83319">
        <w:trPr>
          <w:cnfStyle w:val="100000000000" w:firstRow="1" w:lastRow="0" w:firstColumn="0" w:lastColumn="0" w:oddVBand="0" w:evenVBand="0" w:oddHBand="0" w:evenHBand="0" w:firstRowFirstColumn="0" w:firstRowLastColumn="0" w:lastRowFirstColumn="0" w:lastRowLastColumn="0"/>
          <w:tblHeader/>
          <w:jc w:val="center"/>
        </w:trPr>
        <w:tc>
          <w:tcPr>
            <w:tcW w:w="0" w:type="auto"/>
            <w:tcBorders>
              <w:top w:val="single" w:sz="12" w:space="0" w:color="000000"/>
              <w:left w:val="nil"/>
              <w:bottom w:val="single" w:sz="4" w:space="0" w:color="000000"/>
              <w:right w:val="nil"/>
              <w:tl2br w:val="nil"/>
            </w:tcBorders>
            <w:shd w:val="clear" w:color="auto" w:fill="FFFFFF"/>
            <w:vAlign w:val="center"/>
          </w:tcPr>
          <w:p w14:paraId="130075E2" w14:textId="77777777" w:rsidR="00C83319" w:rsidRDefault="00000000">
            <w:pPr>
              <w:jc w:val="center"/>
              <w:rPr>
                <w:rFonts w:ascii="Times New Roman" w:hAnsi="Times New Roman"/>
                <w:color w:val="000000"/>
                <w:sz w:val="18"/>
                <w:szCs w:val="18"/>
              </w:rPr>
            </w:pPr>
            <w:r>
              <w:rPr>
                <w:rFonts w:ascii="Times New Roman" w:hAnsi="Times New Roman"/>
                <w:color w:val="000000"/>
                <w:sz w:val="18"/>
                <w:szCs w:val="18"/>
              </w:rPr>
              <w:t>光谱指数</w:t>
            </w:r>
            <w:r>
              <w:rPr>
                <w:rFonts w:ascii="Times New Roman" w:hAnsi="Times New Roman" w:hint="eastAsia"/>
                <w:color w:val="000000"/>
                <w:sz w:val="18"/>
                <w:szCs w:val="18"/>
              </w:rPr>
              <w:t xml:space="preserve"> (Spectral index)</w:t>
            </w:r>
          </w:p>
        </w:tc>
        <w:tc>
          <w:tcPr>
            <w:tcW w:w="0" w:type="auto"/>
            <w:tcBorders>
              <w:top w:val="single" w:sz="12" w:space="0" w:color="000000"/>
              <w:left w:val="nil"/>
              <w:bottom w:val="single" w:sz="4" w:space="0" w:color="000000"/>
              <w:right w:val="nil"/>
            </w:tcBorders>
            <w:shd w:val="clear" w:color="auto" w:fill="FFFFFF"/>
            <w:vAlign w:val="center"/>
          </w:tcPr>
          <w:p w14:paraId="13B726F6" w14:textId="77777777" w:rsidR="00C83319" w:rsidRDefault="00000000">
            <w:pPr>
              <w:jc w:val="center"/>
              <w:rPr>
                <w:rFonts w:ascii="Times New Roman" w:hAnsi="Times New Roman"/>
                <w:color w:val="000000"/>
                <w:sz w:val="18"/>
                <w:szCs w:val="18"/>
              </w:rPr>
            </w:pPr>
            <w:r>
              <w:rPr>
                <w:rFonts w:ascii="Times New Roman" w:hAnsi="Times New Roman"/>
                <w:color w:val="000000"/>
                <w:sz w:val="18"/>
                <w:szCs w:val="18"/>
              </w:rPr>
              <w:t>公式</w:t>
            </w:r>
            <w:r>
              <w:rPr>
                <w:rFonts w:ascii="Times New Roman" w:hAnsi="Times New Roman" w:hint="eastAsia"/>
                <w:color w:val="000000"/>
                <w:sz w:val="18"/>
                <w:szCs w:val="18"/>
              </w:rPr>
              <w:t xml:space="preserve"> (Formula)</w:t>
            </w:r>
          </w:p>
        </w:tc>
      </w:tr>
      <w:tr w:rsidR="00C83319" w14:paraId="68ABB9C3" w14:textId="77777777" w:rsidTr="00C83319">
        <w:trPr>
          <w:jc w:val="center"/>
        </w:trPr>
        <w:tc>
          <w:tcPr>
            <w:tcW w:w="0" w:type="auto"/>
            <w:tcBorders>
              <w:top w:val="single" w:sz="4" w:space="0" w:color="000000"/>
              <w:left w:val="nil"/>
              <w:bottom w:val="nil"/>
              <w:right w:val="nil"/>
            </w:tcBorders>
            <w:shd w:val="clear" w:color="auto" w:fill="FFFFFF"/>
            <w:vAlign w:val="center"/>
          </w:tcPr>
          <w:p w14:paraId="6485E956" w14:textId="77777777" w:rsidR="00C83319" w:rsidRDefault="00000000">
            <w:pPr>
              <w:jc w:val="center"/>
              <w:rPr>
                <w:rFonts w:ascii="Times New Roman" w:hAnsi="Times New Roman"/>
                <w:color w:val="000000"/>
                <w:sz w:val="18"/>
                <w:szCs w:val="18"/>
              </w:rPr>
            </w:pPr>
            <w:r>
              <w:rPr>
                <w:rFonts w:ascii="Times New Roman" w:hAnsi="Times New Roman"/>
                <w:color w:val="000000"/>
                <w:sz w:val="18"/>
                <w:szCs w:val="18"/>
              </w:rPr>
              <w:t>RI</w:t>
            </w:r>
          </w:p>
        </w:tc>
        <w:tc>
          <w:tcPr>
            <w:tcW w:w="0" w:type="auto"/>
            <w:tcBorders>
              <w:top w:val="single" w:sz="4" w:space="0" w:color="000000"/>
              <w:left w:val="nil"/>
              <w:bottom w:val="nil"/>
              <w:right w:val="nil"/>
            </w:tcBorders>
            <w:shd w:val="clear" w:color="auto" w:fill="FFFFFF"/>
            <w:vAlign w:val="center"/>
          </w:tcPr>
          <w:p w14:paraId="00556FB9" w14:textId="77777777" w:rsidR="00C83319" w:rsidRDefault="00000000">
            <w:pPr>
              <w:jc w:val="center"/>
              <w:rPr>
                <w:rFonts w:ascii="Times New Roman" w:hAnsi="Times New Roman"/>
                <w:color w:val="000000"/>
                <w:sz w:val="18"/>
                <w:szCs w:val="18"/>
              </w:rPr>
            </w:pPr>
            <m:oMathPara>
              <m:oMath>
                <m:sSub>
                  <m:sSubPr>
                    <m:ctrlPr>
                      <w:rPr>
                        <w:rFonts w:ascii="Cambria Math" w:hAnsi="Cambria Math"/>
                        <w:color w:val="000000"/>
                        <w:sz w:val="18"/>
                        <w:szCs w:val="18"/>
                      </w:rPr>
                    </m:ctrlPr>
                  </m:sSubPr>
                  <m:e>
                    <m:r>
                      <m:rPr>
                        <m:nor/>
                      </m:rPr>
                      <w:rPr>
                        <w:rFonts w:ascii="Times New Roman" w:hAnsi="Times New Roman"/>
                        <w:color w:val="000000"/>
                        <w:sz w:val="18"/>
                        <w:szCs w:val="18"/>
                      </w:rPr>
                      <m:t>R</m:t>
                    </m:r>
                  </m:e>
                  <m:sub>
                    <m:r>
                      <m:rPr>
                        <m:nor/>
                      </m:rPr>
                      <w:rPr>
                        <w:rFonts w:ascii="Times New Roman" w:hAnsi="Times New Roman"/>
                        <w:color w:val="000000"/>
                        <w:sz w:val="18"/>
                        <w:szCs w:val="18"/>
                      </w:rPr>
                      <m:t>i</m:t>
                    </m:r>
                  </m:sub>
                </m:sSub>
                <m:r>
                  <m:rPr>
                    <m:nor/>
                  </m:rPr>
                  <w:rPr>
                    <w:rFonts w:ascii="Times New Roman" w:hAnsi="Times New Roman"/>
                    <w:color w:val="000000"/>
                    <w:sz w:val="18"/>
                    <w:szCs w:val="18"/>
                  </w:rPr>
                  <m:t>/</m:t>
                </m:r>
                <m:sSub>
                  <m:sSubPr>
                    <m:ctrlPr>
                      <w:rPr>
                        <w:rFonts w:ascii="Cambria Math" w:hAnsi="Cambria Math"/>
                        <w:color w:val="000000"/>
                        <w:sz w:val="18"/>
                        <w:szCs w:val="18"/>
                      </w:rPr>
                    </m:ctrlPr>
                  </m:sSubPr>
                  <m:e>
                    <m:r>
                      <m:rPr>
                        <m:nor/>
                      </m:rPr>
                      <w:rPr>
                        <w:rFonts w:ascii="Times New Roman" w:hAnsi="Times New Roman"/>
                        <w:color w:val="000000"/>
                        <w:sz w:val="18"/>
                        <w:szCs w:val="18"/>
                      </w:rPr>
                      <m:t>R</m:t>
                    </m:r>
                  </m:e>
                  <m:sub>
                    <m:r>
                      <m:rPr>
                        <m:nor/>
                      </m:rPr>
                      <w:rPr>
                        <w:rFonts w:ascii="Times New Roman" w:hAnsi="Times New Roman"/>
                        <w:color w:val="000000"/>
                        <w:sz w:val="18"/>
                        <w:szCs w:val="18"/>
                      </w:rPr>
                      <m:t>j</m:t>
                    </m:r>
                  </m:sub>
                </m:sSub>
              </m:oMath>
            </m:oMathPara>
          </w:p>
        </w:tc>
      </w:tr>
      <w:tr w:rsidR="00C83319" w14:paraId="3E20D92B" w14:textId="77777777" w:rsidTr="00C83319">
        <w:trPr>
          <w:jc w:val="center"/>
        </w:trPr>
        <w:tc>
          <w:tcPr>
            <w:tcW w:w="0" w:type="auto"/>
            <w:tcBorders>
              <w:top w:val="nil"/>
              <w:left w:val="nil"/>
              <w:bottom w:val="nil"/>
              <w:right w:val="nil"/>
            </w:tcBorders>
            <w:shd w:val="clear" w:color="auto" w:fill="FFFFFF"/>
            <w:vAlign w:val="center"/>
          </w:tcPr>
          <w:p w14:paraId="1F025877" w14:textId="77777777" w:rsidR="00C83319" w:rsidRDefault="00000000">
            <w:pPr>
              <w:jc w:val="center"/>
              <w:rPr>
                <w:rFonts w:ascii="Times New Roman" w:hAnsi="Times New Roman"/>
                <w:color w:val="000000"/>
                <w:sz w:val="18"/>
                <w:szCs w:val="18"/>
              </w:rPr>
            </w:pPr>
            <w:r>
              <w:rPr>
                <w:rFonts w:ascii="Times New Roman" w:hAnsi="Times New Roman"/>
                <w:color w:val="000000"/>
                <w:sz w:val="18"/>
                <w:szCs w:val="18"/>
              </w:rPr>
              <w:t>DI</w:t>
            </w:r>
          </w:p>
        </w:tc>
        <w:tc>
          <w:tcPr>
            <w:tcW w:w="0" w:type="auto"/>
            <w:tcBorders>
              <w:top w:val="nil"/>
              <w:left w:val="nil"/>
              <w:bottom w:val="nil"/>
              <w:right w:val="nil"/>
            </w:tcBorders>
            <w:shd w:val="clear" w:color="auto" w:fill="FFFFFF"/>
            <w:vAlign w:val="center"/>
          </w:tcPr>
          <w:p w14:paraId="3808A14D" w14:textId="77777777" w:rsidR="00C83319" w:rsidRDefault="00000000">
            <w:pPr>
              <w:jc w:val="center"/>
              <w:rPr>
                <w:rFonts w:ascii="Times New Roman" w:hAnsi="Times New Roman"/>
                <w:color w:val="000000"/>
                <w:sz w:val="18"/>
                <w:szCs w:val="18"/>
              </w:rPr>
            </w:pPr>
            <m:oMathPara>
              <m:oMath>
                <m:sSub>
                  <m:sSubPr>
                    <m:ctrlPr>
                      <w:rPr>
                        <w:rFonts w:ascii="Cambria Math" w:hAnsi="Cambria Math"/>
                        <w:color w:val="000000"/>
                        <w:sz w:val="18"/>
                        <w:szCs w:val="18"/>
                      </w:rPr>
                    </m:ctrlPr>
                  </m:sSubPr>
                  <m:e>
                    <m:r>
                      <m:rPr>
                        <m:nor/>
                      </m:rPr>
                      <w:rPr>
                        <w:rFonts w:ascii="Times New Roman" w:hAnsi="Times New Roman"/>
                        <w:color w:val="000000"/>
                        <w:sz w:val="18"/>
                        <w:szCs w:val="18"/>
                      </w:rPr>
                      <m:t>R</m:t>
                    </m:r>
                  </m:e>
                  <m:sub>
                    <m:r>
                      <m:rPr>
                        <m:nor/>
                      </m:rPr>
                      <w:rPr>
                        <w:rFonts w:ascii="Times New Roman" w:hAnsi="Times New Roman"/>
                        <w:color w:val="000000"/>
                        <w:sz w:val="18"/>
                        <w:szCs w:val="18"/>
                      </w:rPr>
                      <m:t>i</m:t>
                    </m:r>
                  </m:sub>
                </m:sSub>
                <m:r>
                  <m:rPr>
                    <m:nor/>
                  </m:rPr>
                  <w:rPr>
                    <w:rFonts w:ascii="Times New Roman" w:hAnsi="Times New Roman"/>
                    <w:color w:val="000000"/>
                    <w:sz w:val="18"/>
                    <w:szCs w:val="18"/>
                  </w:rPr>
                  <m:t>-</m:t>
                </m:r>
                <m:sSub>
                  <m:sSubPr>
                    <m:ctrlPr>
                      <w:rPr>
                        <w:rFonts w:ascii="Cambria Math" w:hAnsi="Cambria Math"/>
                        <w:color w:val="000000"/>
                        <w:sz w:val="18"/>
                        <w:szCs w:val="18"/>
                      </w:rPr>
                    </m:ctrlPr>
                  </m:sSubPr>
                  <m:e>
                    <m:r>
                      <m:rPr>
                        <m:nor/>
                      </m:rPr>
                      <w:rPr>
                        <w:rFonts w:ascii="Times New Roman" w:hAnsi="Times New Roman"/>
                        <w:color w:val="000000"/>
                        <w:sz w:val="18"/>
                        <w:szCs w:val="18"/>
                      </w:rPr>
                      <m:t>R</m:t>
                    </m:r>
                  </m:e>
                  <m:sub>
                    <m:r>
                      <m:rPr>
                        <m:nor/>
                      </m:rPr>
                      <w:rPr>
                        <w:rFonts w:ascii="Times New Roman" w:hAnsi="Times New Roman"/>
                        <w:color w:val="000000"/>
                        <w:sz w:val="18"/>
                        <w:szCs w:val="18"/>
                      </w:rPr>
                      <m:t>j</m:t>
                    </m:r>
                  </m:sub>
                </m:sSub>
              </m:oMath>
            </m:oMathPara>
          </w:p>
        </w:tc>
      </w:tr>
      <w:tr w:rsidR="00C83319" w14:paraId="777C2AFA" w14:textId="77777777" w:rsidTr="00C83319">
        <w:trPr>
          <w:jc w:val="center"/>
        </w:trPr>
        <w:tc>
          <w:tcPr>
            <w:tcW w:w="0" w:type="auto"/>
            <w:tcBorders>
              <w:top w:val="nil"/>
              <w:left w:val="nil"/>
              <w:bottom w:val="nil"/>
              <w:right w:val="nil"/>
            </w:tcBorders>
            <w:shd w:val="clear" w:color="auto" w:fill="FFFFFF"/>
            <w:vAlign w:val="center"/>
          </w:tcPr>
          <w:p w14:paraId="0D382A6E" w14:textId="77777777" w:rsidR="00C83319" w:rsidRDefault="00000000">
            <w:pPr>
              <w:jc w:val="center"/>
              <w:rPr>
                <w:rFonts w:ascii="Times New Roman" w:hAnsi="Times New Roman"/>
                <w:color w:val="000000"/>
                <w:sz w:val="18"/>
                <w:szCs w:val="18"/>
              </w:rPr>
            </w:pPr>
            <w:r>
              <w:rPr>
                <w:rFonts w:ascii="Times New Roman" w:hAnsi="Times New Roman"/>
                <w:color w:val="000000"/>
                <w:sz w:val="18"/>
                <w:szCs w:val="18"/>
              </w:rPr>
              <w:t>NDI</w:t>
            </w:r>
          </w:p>
        </w:tc>
        <w:tc>
          <w:tcPr>
            <w:tcW w:w="0" w:type="auto"/>
            <w:tcBorders>
              <w:top w:val="nil"/>
              <w:left w:val="nil"/>
              <w:bottom w:val="nil"/>
              <w:right w:val="nil"/>
            </w:tcBorders>
            <w:shd w:val="clear" w:color="auto" w:fill="FFFFFF"/>
            <w:vAlign w:val="center"/>
          </w:tcPr>
          <w:p w14:paraId="3EC06F57" w14:textId="77777777" w:rsidR="00C83319" w:rsidRDefault="00000000">
            <w:pPr>
              <w:jc w:val="center"/>
              <w:rPr>
                <w:rFonts w:ascii="Times New Roman" w:hAnsi="Times New Roman"/>
                <w:color w:val="000000"/>
                <w:sz w:val="18"/>
                <w:szCs w:val="18"/>
              </w:rPr>
            </w:pPr>
            <m:oMathPara>
              <m:oMath>
                <m:r>
                  <m:rPr>
                    <m:nor/>
                  </m:rPr>
                  <w:rPr>
                    <w:rFonts w:ascii="Times New Roman" w:hAnsi="Times New Roman"/>
                    <w:color w:val="000000"/>
                    <w:sz w:val="18"/>
                    <w:szCs w:val="18"/>
                  </w:rPr>
                  <m:t>(</m:t>
                </m:r>
                <m:sSub>
                  <m:sSubPr>
                    <m:ctrlPr>
                      <w:rPr>
                        <w:rFonts w:ascii="Cambria Math" w:hAnsi="Cambria Math"/>
                        <w:color w:val="000000"/>
                        <w:sz w:val="18"/>
                        <w:szCs w:val="18"/>
                      </w:rPr>
                    </m:ctrlPr>
                  </m:sSubPr>
                  <m:e>
                    <m:r>
                      <m:rPr>
                        <m:nor/>
                      </m:rPr>
                      <w:rPr>
                        <w:rFonts w:ascii="Times New Roman" w:hAnsi="Times New Roman"/>
                        <w:color w:val="000000"/>
                        <w:sz w:val="18"/>
                        <w:szCs w:val="18"/>
                      </w:rPr>
                      <m:t>R</m:t>
                    </m:r>
                  </m:e>
                  <m:sub>
                    <m:r>
                      <m:rPr>
                        <m:nor/>
                      </m:rPr>
                      <w:rPr>
                        <w:rFonts w:ascii="Times New Roman" w:hAnsi="Times New Roman"/>
                        <w:color w:val="000000"/>
                        <w:sz w:val="18"/>
                        <w:szCs w:val="18"/>
                      </w:rPr>
                      <m:t>i</m:t>
                    </m:r>
                  </m:sub>
                </m:sSub>
                <m:r>
                  <m:rPr>
                    <m:nor/>
                  </m:rPr>
                  <w:rPr>
                    <w:rFonts w:ascii="Times New Roman" w:hAnsi="Times New Roman"/>
                    <w:color w:val="000000"/>
                    <w:sz w:val="18"/>
                    <w:szCs w:val="18"/>
                  </w:rPr>
                  <m:t>-</m:t>
                </m:r>
                <m:sSub>
                  <m:sSubPr>
                    <m:ctrlPr>
                      <w:rPr>
                        <w:rFonts w:ascii="Cambria Math" w:hAnsi="Cambria Math"/>
                        <w:color w:val="000000"/>
                        <w:sz w:val="18"/>
                        <w:szCs w:val="18"/>
                      </w:rPr>
                    </m:ctrlPr>
                  </m:sSubPr>
                  <m:e>
                    <m:r>
                      <m:rPr>
                        <m:nor/>
                      </m:rPr>
                      <w:rPr>
                        <w:rFonts w:ascii="Times New Roman" w:hAnsi="Times New Roman"/>
                        <w:color w:val="000000"/>
                        <w:sz w:val="18"/>
                        <w:szCs w:val="18"/>
                      </w:rPr>
                      <m:t>R</m:t>
                    </m:r>
                  </m:e>
                  <m:sub>
                    <m:r>
                      <m:rPr>
                        <m:nor/>
                      </m:rPr>
                      <w:rPr>
                        <w:rFonts w:ascii="Times New Roman" w:hAnsi="Times New Roman"/>
                        <w:color w:val="000000"/>
                        <w:sz w:val="18"/>
                        <w:szCs w:val="18"/>
                      </w:rPr>
                      <m:t>j</m:t>
                    </m:r>
                  </m:sub>
                </m:sSub>
                <m:r>
                  <m:rPr>
                    <m:nor/>
                  </m:rPr>
                  <w:rPr>
                    <w:rFonts w:ascii="Times New Roman" w:hAnsi="Times New Roman"/>
                    <w:color w:val="000000"/>
                    <w:sz w:val="18"/>
                    <w:szCs w:val="18"/>
                  </w:rPr>
                  <m:t>)/(</m:t>
                </m:r>
                <m:sSub>
                  <m:sSubPr>
                    <m:ctrlPr>
                      <w:rPr>
                        <w:rFonts w:ascii="Cambria Math" w:hAnsi="Cambria Math"/>
                        <w:color w:val="000000"/>
                        <w:sz w:val="18"/>
                        <w:szCs w:val="18"/>
                      </w:rPr>
                    </m:ctrlPr>
                  </m:sSubPr>
                  <m:e>
                    <m:r>
                      <m:rPr>
                        <m:nor/>
                      </m:rPr>
                      <w:rPr>
                        <w:rFonts w:ascii="Times New Roman" w:hAnsi="Times New Roman"/>
                        <w:color w:val="000000"/>
                        <w:sz w:val="18"/>
                        <w:szCs w:val="18"/>
                      </w:rPr>
                      <m:t>R</m:t>
                    </m:r>
                  </m:e>
                  <m:sub>
                    <m:r>
                      <m:rPr>
                        <m:nor/>
                      </m:rPr>
                      <w:rPr>
                        <w:rFonts w:ascii="Times New Roman" w:hAnsi="Times New Roman"/>
                        <w:color w:val="000000"/>
                        <w:sz w:val="18"/>
                        <w:szCs w:val="18"/>
                      </w:rPr>
                      <m:t>i</m:t>
                    </m:r>
                  </m:sub>
                </m:sSub>
                <m:r>
                  <m:rPr>
                    <m:nor/>
                  </m:rPr>
                  <w:rPr>
                    <w:rFonts w:ascii="Times New Roman" w:hAnsi="Times New Roman"/>
                    <w:color w:val="000000"/>
                    <w:sz w:val="18"/>
                    <w:szCs w:val="18"/>
                  </w:rPr>
                  <m:t>+</m:t>
                </m:r>
                <m:sSub>
                  <m:sSubPr>
                    <m:ctrlPr>
                      <w:rPr>
                        <w:rFonts w:ascii="Cambria Math" w:hAnsi="Cambria Math"/>
                        <w:color w:val="000000"/>
                        <w:sz w:val="18"/>
                        <w:szCs w:val="18"/>
                      </w:rPr>
                    </m:ctrlPr>
                  </m:sSubPr>
                  <m:e>
                    <m:r>
                      <m:rPr>
                        <m:nor/>
                      </m:rPr>
                      <w:rPr>
                        <w:rFonts w:ascii="Times New Roman" w:hAnsi="Times New Roman"/>
                        <w:color w:val="000000"/>
                        <w:sz w:val="18"/>
                        <w:szCs w:val="18"/>
                      </w:rPr>
                      <m:t>R</m:t>
                    </m:r>
                  </m:e>
                  <m:sub>
                    <m:r>
                      <m:rPr>
                        <m:nor/>
                      </m:rPr>
                      <w:rPr>
                        <w:rFonts w:ascii="Times New Roman" w:hAnsi="Times New Roman"/>
                        <w:color w:val="000000"/>
                        <w:sz w:val="18"/>
                        <w:szCs w:val="18"/>
                      </w:rPr>
                      <m:t>j</m:t>
                    </m:r>
                  </m:sub>
                </m:sSub>
                <m:r>
                  <m:rPr>
                    <m:nor/>
                  </m:rPr>
                  <w:rPr>
                    <w:rFonts w:ascii="Times New Roman" w:hAnsi="Times New Roman"/>
                    <w:color w:val="000000"/>
                    <w:sz w:val="18"/>
                    <w:szCs w:val="18"/>
                  </w:rPr>
                  <m:t>)</m:t>
                </m:r>
              </m:oMath>
            </m:oMathPara>
          </w:p>
        </w:tc>
      </w:tr>
      <w:tr w:rsidR="00C83319" w14:paraId="75804CBF" w14:textId="77777777" w:rsidTr="00C83319">
        <w:trPr>
          <w:jc w:val="center"/>
        </w:trPr>
        <w:tc>
          <w:tcPr>
            <w:tcW w:w="0" w:type="auto"/>
            <w:tcBorders>
              <w:top w:val="nil"/>
              <w:left w:val="nil"/>
              <w:bottom w:val="nil"/>
              <w:right w:val="nil"/>
            </w:tcBorders>
            <w:shd w:val="clear" w:color="auto" w:fill="FFFFFF"/>
            <w:vAlign w:val="center"/>
          </w:tcPr>
          <w:p w14:paraId="7189B8DF" w14:textId="77777777" w:rsidR="00C83319" w:rsidRDefault="00000000">
            <w:pPr>
              <w:jc w:val="center"/>
              <w:rPr>
                <w:rFonts w:ascii="Times New Roman" w:hAnsi="Times New Roman"/>
                <w:color w:val="000000"/>
                <w:sz w:val="18"/>
                <w:szCs w:val="18"/>
              </w:rPr>
            </w:pPr>
            <w:r>
              <w:rPr>
                <w:rFonts w:ascii="Times New Roman" w:hAnsi="Times New Roman"/>
                <w:color w:val="000000"/>
                <w:sz w:val="18"/>
                <w:szCs w:val="18"/>
              </w:rPr>
              <w:t>TBI1</w:t>
            </w:r>
          </w:p>
        </w:tc>
        <w:tc>
          <w:tcPr>
            <w:tcW w:w="0" w:type="auto"/>
            <w:tcBorders>
              <w:top w:val="nil"/>
              <w:left w:val="nil"/>
              <w:bottom w:val="nil"/>
              <w:right w:val="nil"/>
            </w:tcBorders>
            <w:shd w:val="clear" w:color="auto" w:fill="FFFFFF"/>
            <w:vAlign w:val="center"/>
          </w:tcPr>
          <w:p w14:paraId="4B862D2F" w14:textId="77777777" w:rsidR="00C83319" w:rsidRDefault="00000000">
            <w:pPr>
              <w:jc w:val="center"/>
              <w:rPr>
                <w:rFonts w:ascii="Times New Roman" w:hAnsi="Times New Roman"/>
                <w:color w:val="000000"/>
                <w:sz w:val="18"/>
                <w:szCs w:val="18"/>
              </w:rPr>
            </w:pPr>
            <m:oMathPara>
              <m:oMath>
                <m:sSub>
                  <m:sSubPr>
                    <m:ctrlPr>
                      <w:rPr>
                        <w:rFonts w:ascii="Cambria Math" w:hAnsi="Cambria Math"/>
                        <w:color w:val="000000"/>
                        <w:sz w:val="18"/>
                        <w:szCs w:val="18"/>
                      </w:rPr>
                    </m:ctrlPr>
                  </m:sSubPr>
                  <m:e>
                    <m:r>
                      <m:rPr>
                        <m:nor/>
                      </m:rPr>
                      <w:rPr>
                        <w:rFonts w:ascii="Times New Roman" w:hAnsi="Times New Roman"/>
                        <w:color w:val="000000"/>
                        <w:sz w:val="18"/>
                        <w:szCs w:val="18"/>
                      </w:rPr>
                      <m:t>R</m:t>
                    </m:r>
                  </m:e>
                  <m:sub>
                    <m:r>
                      <m:rPr>
                        <m:nor/>
                      </m:rPr>
                      <w:rPr>
                        <w:rFonts w:ascii="Times New Roman" w:hAnsi="Times New Roman"/>
                        <w:color w:val="000000"/>
                        <w:sz w:val="18"/>
                        <w:szCs w:val="18"/>
                      </w:rPr>
                      <m:t>i</m:t>
                    </m:r>
                  </m:sub>
                </m:sSub>
                <m:r>
                  <m:rPr>
                    <m:nor/>
                  </m:rPr>
                  <w:rPr>
                    <w:rFonts w:ascii="Times New Roman" w:hAnsi="Times New Roman"/>
                    <w:color w:val="000000"/>
                    <w:sz w:val="18"/>
                    <w:szCs w:val="18"/>
                  </w:rPr>
                  <m:t>/(</m:t>
                </m:r>
                <m:sSub>
                  <m:sSubPr>
                    <m:ctrlPr>
                      <w:rPr>
                        <w:rFonts w:ascii="Cambria Math" w:hAnsi="Cambria Math"/>
                        <w:color w:val="000000"/>
                        <w:sz w:val="18"/>
                        <w:szCs w:val="18"/>
                      </w:rPr>
                    </m:ctrlPr>
                  </m:sSubPr>
                  <m:e>
                    <m:r>
                      <m:rPr>
                        <m:nor/>
                      </m:rPr>
                      <w:rPr>
                        <w:rFonts w:ascii="Times New Roman" w:hAnsi="Times New Roman"/>
                        <w:color w:val="000000"/>
                        <w:sz w:val="18"/>
                        <w:szCs w:val="18"/>
                      </w:rPr>
                      <m:t>R</m:t>
                    </m:r>
                  </m:e>
                  <m:sub>
                    <m:r>
                      <m:rPr>
                        <m:nor/>
                      </m:rPr>
                      <w:rPr>
                        <w:rFonts w:ascii="Times New Roman" w:hAnsi="Times New Roman"/>
                        <w:color w:val="000000"/>
                        <w:sz w:val="18"/>
                        <w:szCs w:val="18"/>
                      </w:rPr>
                      <m:t>j</m:t>
                    </m:r>
                  </m:sub>
                </m:sSub>
                <m:r>
                  <m:rPr>
                    <m:nor/>
                  </m:rPr>
                  <w:rPr>
                    <w:rFonts w:ascii="Times New Roman" w:hAnsi="Times New Roman"/>
                    <w:color w:val="000000"/>
                    <w:sz w:val="18"/>
                    <w:szCs w:val="18"/>
                  </w:rPr>
                  <m:t>⋅</m:t>
                </m:r>
                <m:sSub>
                  <m:sSubPr>
                    <m:ctrlPr>
                      <w:rPr>
                        <w:rFonts w:ascii="Cambria Math" w:hAnsi="Cambria Math"/>
                        <w:color w:val="000000"/>
                        <w:sz w:val="18"/>
                        <w:szCs w:val="18"/>
                      </w:rPr>
                    </m:ctrlPr>
                  </m:sSubPr>
                  <m:e>
                    <m:r>
                      <m:rPr>
                        <m:nor/>
                      </m:rPr>
                      <w:rPr>
                        <w:rFonts w:ascii="Times New Roman" w:hAnsi="Times New Roman"/>
                        <w:color w:val="000000"/>
                        <w:sz w:val="18"/>
                        <w:szCs w:val="18"/>
                      </w:rPr>
                      <m:t>R</m:t>
                    </m:r>
                  </m:e>
                  <m:sub>
                    <m:r>
                      <m:rPr>
                        <m:nor/>
                      </m:rPr>
                      <w:rPr>
                        <w:rFonts w:ascii="Times New Roman" w:hAnsi="Times New Roman"/>
                        <w:color w:val="000000"/>
                        <w:sz w:val="18"/>
                        <w:szCs w:val="18"/>
                      </w:rPr>
                      <m:t>k</m:t>
                    </m:r>
                  </m:sub>
                </m:sSub>
                <m:r>
                  <m:rPr>
                    <m:nor/>
                  </m:rPr>
                  <w:rPr>
                    <w:rFonts w:ascii="Times New Roman" w:hAnsi="Times New Roman"/>
                    <w:color w:val="000000"/>
                    <w:sz w:val="18"/>
                    <w:szCs w:val="18"/>
                  </w:rPr>
                  <m:t>)</m:t>
                </m:r>
              </m:oMath>
            </m:oMathPara>
          </w:p>
        </w:tc>
      </w:tr>
      <w:tr w:rsidR="00C83319" w14:paraId="5EF14951" w14:textId="77777777" w:rsidTr="00C83319">
        <w:trPr>
          <w:jc w:val="center"/>
        </w:trPr>
        <w:tc>
          <w:tcPr>
            <w:tcW w:w="0" w:type="auto"/>
            <w:tcBorders>
              <w:top w:val="nil"/>
              <w:left w:val="nil"/>
              <w:bottom w:val="nil"/>
              <w:right w:val="nil"/>
            </w:tcBorders>
            <w:shd w:val="clear" w:color="auto" w:fill="FFFFFF"/>
            <w:vAlign w:val="center"/>
          </w:tcPr>
          <w:p w14:paraId="560D3212" w14:textId="77777777" w:rsidR="00C83319" w:rsidRDefault="00000000">
            <w:pPr>
              <w:jc w:val="center"/>
              <w:rPr>
                <w:rFonts w:ascii="Times New Roman" w:hAnsi="Times New Roman"/>
                <w:color w:val="000000"/>
                <w:sz w:val="18"/>
                <w:szCs w:val="18"/>
              </w:rPr>
            </w:pPr>
            <w:r>
              <w:rPr>
                <w:rFonts w:ascii="Times New Roman" w:hAnsi="Times New Roman"/>
                <w:color w:val="000000"/>
                <w:sz w:val="18"/>
                <w:szCs w:val="18"/>
              </w:rPr>
              <w:t>TBI2</w:t>
            </w:r>
          </w:p>
        </w:tc>
        <w:tc>
          <w:tcPr>
            <w:tcW w:w="0" w:type="auto"/>
            <w:tcBorders>
              <w:top w:val="nil"/>
              <w:left w:val="nil"/>
              <w:bottom w:val="nil"/>
              <w:right w:val="nil"/>
            </w:tcBorders>
            <w:shd w:val="clear" w:color="auto" w:fill="FFFFFF"/>
            <w:vAlign w:val="center"/>
          </w:tcPr>
          <w:p w14:paraId="5346D1F3" w14:textId="77777777" w:rsidR="00C83319" w:rsidRDefault="00000000">
            <w:pPr>
              <w:jc w:val="center"/>
              <w:rPr>
                <w:rFonts w:ascii="Times New Roman" w:hAnsi="Times New Roman"/>
                <w:color w:val="000000"/>
                <w:sz w:val="18"/>
                <w:szCs w:val="18"/>
              </w:rPr>
            </w:pPr>
            <m:oMathPara>
              <m:oMath>
                <m:sSub>
                  <m:sSubPr>
                    <m:ctrlPr>
                      <w:rPr>
                        <w:rFonts w:ascii="Cambria Math" w:hAnsi="Cambria Math"/>
                        <w:color w:val="000000"/>
                        <w:sz w:val="18"/>
                        <w:szCs w:val="18"/>
                      </w:rPr>
                    </m:ctrlPr>
                  </m:sSubPr>
                  <m:e>
                    <m:r>
                      <m:rPr>
                        <m:nor/>
                      </m:rPr>
                      <w:rPr>
                        <w:rFonts w:ascii="Times New Roman" w:hAnsi="Times New Roman"/>
                        <w:color w:val="000000"/>
                        <w:sz w:val="18"/>
                        <w:szCs w:val="18"/>
                      </w:rPr>
                      <m:t>R</m:t>
                    </m:r>
                  </m:e>
                  <m:sub>
                    <m:r>
                      <m:rPr>
                        <m:nor/>
                      </m:rPr>
                      <w:rPr>
                        <w:rFonts w:ascii="Times New Roman" w:hAnsi="Times New Roman"/>
                        <w:color w:val="000000"/>
                        <w:sz w:val="18"/>
                        <w:szCs w:val="18"/>
                      </w:rPr>
                      <m:t>i</m:t>
                    </m:r>
                  </m:sub>
                </m:sSub>
                <m:r>
                  <m:rPr>
                    <m:nor/>
                  </m:rPr>
                  <w:rPr>
                    <w:rFonts w:ascii="Times New Roman" w:hAnsi="Times New Roman"/>
                    <w:color w:val="000000"/>
                    <w:sz w:val="18"/>
                    <w:szCs w:val="18"/>
                  </w:rPr>
                  <m:t>/(</m:t>
                </m:r>
                <m:sSub>
                  <m:sSubPr>
                    <m:ctrlPr>
                      <w:rPr>
                        <w:rFonts w:ascii="Cambria Math" w:hAnsi="Cambria Math"/>
                        <w:color w:val="000000"/>
                        <w:sz w:val="18"/>
                        <w:szCs w:val="18"/>
                      </w:rPr>
                    </m:ctrlPr>
                  </m:sSubPr>
                  <m:e>
                    <m:r>
                      <m:rPr>
                        <m:nor/>
                      </m:rPr>
                      <w:rPr>
                        <w:rFonts w:ascii="Times New Roman" w:hAnsi="Times New Roman"/>
                        <w:color w:val="000000"/>
                        <w:sz w:val="18"/>
                        <w:szCs w:val="18"/>
                      </w:rPr>
                      <m:t>R</m:t>
                    </m:r>
                  </m:e>
                  <m:sub>
                    <m:r>
                      <m:rPr>
                        <m:nor/>
                      </m:rPr>
                      <w:rPr>
                        <w:rFonts w:ascii="Times New Roman" w:hAnsi="Times New Roman"/>
                        <w:color w:val="000000"/>
                        <w:sz w:val="18"/>
                        <w:szCs w:val="18"/>
                      </w:rPr>
                      <m:t>j</m:t>
                    </m:r>
                  </m:sub>
                </m:sSub>
                <m:r>
                  <m:rPr>
                    <m:nor/>
                  </m:rPr>
                  <w:rPr>
                    <w:rFonts w:ascii="Times New Roman" w:hAnsi="Times New Roman"/>
                    <w:color w:val="000000"/>
                    <w:sz w:val="18"/>
                    <w:szCs w:val="18"/>
                  </w:rPr>
                  <m:t>+</m:t>
                </m:r>
                <m:sSub>
                  <m:sSubPr>
                    <m:ctrlPr>
                      <w:rPr>
                        <w:rFonts w:ascii="Cambria Math" w:hAnsi="Cambria Math"/>
                        <w:color w:val="000000"/>
                        <w:sz w:val="18"/>
                        <w:szCs w:val="18"/>
                      </w:rPr>
                    </m:ctrlPr>
                  </m:sSubPr>
                  <m:e>
                    <m:r>
                      <m:rPr>
                        <m:nor/>
                      </m:rPr>
                      <w:rPr>
                        <w:rFonts w:ascii="Times New Roman" w:hAnsi="Times New Roman"/>
                        <w:color w:val="000000"/>
                        <w:sz w:val="18"/>
                        <w:szCs w:val="18"/>
                      </w:rPr>
                      <m:t>R</m:t>
                    </m:r>
                  </m:e>
                  <m:sub>
                    <m:r>
                      <m:rPr>
                        <m:nor/>
                      </m:rPr>
                      <w:rPr>
                        <w:rFonts w:ascii="Times New Roman" w:hAnsi="Times New Roman"/>
                        <w:color w:val="000000"/>
                        <w:sz w:val="18"/>
                        <w:szCs w:val="18"/>
                      </w:rPr>
                      <m:t>k</m:t>
                    </m:r>
                  </m:sub>
                </m:sSub>
                <m:r>
                  <m:rPr>
                    <m:nor/>
                  </m:rPr>
                  <w:rPr>
                    <w:rFonts w:ascii="Times New Roman" w:hAnsi="Times New Roman"/>
                    <w:color w:val="000000"/>
                    <w:sz w:val="18"/>
                    <w:szCs w:val="18"/>
                  </w:rPr>
                  <m:t>)</m:t>
                </m:r>
              </m:oMath>
            </m:oMathPara>
          </w:p>
        </w:tc>
      </w:tr>
      <w:tr w:rsidR="00C83319" w14:paraId="2C45D2AE" w14:textId="77777777" w:rsidTr="00C83319">
        <w:trPr>
          <w:jc w:val="center"/>
        </w:trPr>
        <w:tc>
          <w:tcPr>
            <w:tcW w:w="0" w:type="auto"/>
            <w:tcBorders>
              <w:top w:val="nil"/>
              <w:left w:val="nil"/>
              <w:bottom w:val="nil"/>
              <w:right w:val="nil"/>
            </w:tcBorders>
            <w:shd w:val="clear" w:color="auto" w:fill="FFFFFF"/>
            <w:vAlign w:val="center"/>
          </w:tcPr>
          <w:p w14:paraId="699693CC" w14:textId="77777777" w:rsidR="00C83319" w:rsidRDefault="00000000">
            <w:pPr>
              <w:jc w:val="center"/>
              <w:rPr>
                <w:rFonts w:ascii="Times New Roman" w:hAnsi="Times New Roman"/>
                <w:color w:val="000000"/>
                <w:sz w:val="18"/>
                <w:szCs w:val="18"/>
              </w:rPr>
            </w:pPr>
            <w:r>
              <w:rPr>
                <w:rFonts w:ascii="Times New Roman" w:hAnsi="Times New Roman"/>
                <w:color w:val="000000"/>
                <w:sz w:val="18"/>
                <w:szCs w:val="18"/>
              </w:rPr>
              <w:t>TBI3</w:t>
            </w:r>
          </w:p>
        </w:tc>
        <w:tc>
          <w:tcPr>
            <w:tcW w:w="0" w:type="auto"/>
            <w:tcBorders>
              <w:top w:val="nil"/>
              <w:left w:val="nil"/>
              <w:bottom w:val="nil"/>
              <w:right w:val="nil"/>
            </w:tcBorders>
            <w:shd w:val="clear" w:color="auto" w:fill="FFFFFF"/>
            <w:vAlign w:val="center"/>
          </w:tcPr>
          <w:p w14:paraId="50B0DE1D" w14:textId="77777777" w:rsidR="00C83319" w:rsidRDefault="00000000">
            <w:pPr>
              <w:jc w:val="center"/>
              <w:rPr>
                <w:rFonts w:ascii="Times New Roman" w:hAnsi="Times New Roman"/>
                <w:color w:val="000000"/>
                <w:sz w:val="18"/>
                <w:szCs w:val="18"/>
              </w:rPr>
            </w:pPr>
            <m:oMathPara>
              <m:oMath>
                <m:r>
                  <m:rPr>
                    <m:nor/>
                  </m:rPr>
                  <w:rPr>
                    <w:rFonts w:ascii="Times New Roman" w:hAnsi="Times New Roman"/>
                    <w:color w:val="000000"/>
                    <w:sz w:val="18"/>
                    <w:szCs w:val="18"/>
                  </w:rPr>
                  <m:t>(</m:t>
                </m:r>
                <m:sSub>
                  <m:sSubPr>
                    <m:ctrlPr>
                      <w:rPr>
                        <w:rFonts w:ascii="Cambria Math" w:hAnsi="Cambria Math"/>
                        <w:color w:val="000000"/>
                        <w:sz w:val="18"/>
                        <w:szCs w:val="18"/>
                      </w:rPr>
                    </m:ctrlPr>
                  </m:sSubPr>
                  <m:e>
                    <m:r>
                      <m:rPr>
                        <m:nor/>
                      </m:rPr>
                      <w:rPr>
                        <w:rFonts w:ascii="Times New Roman" w:hAnsi="Times New Roman"/>
                        <w:color w:val="000000"/>
                        <w:sz w:val="18"/>
                        <w:szCs w:val="18"/>
                      </w:rPr>
                      <m:t>R</m:t>
                    </m:r>
                  </m:e>
                  <m:sub>
                    <m:r>
                      <m:rPr>
                        <m:nor/>
                      </m:rPr>
                      <w:rPr>
                        <w:rFonts w:ascii="Times New Roman" w:hAnsi="Times New Roman"/>
                        <w:color w:val="000000"/>
                        <w:sz w:val="18"/>
                        <w:szCs w:val="18"/>
                      </w:rPr>
                      <m:t>i</m:t>
                    </m:r>
                  </m:sub>
                </m:sSub>
                <m:r>
                  <m:rPr>
                    <m:nor/>
                  </m:rPr>
                  <w:rPr>
                    <w:rFonts w:ascii="Times New Roman" w:hAnsi="Times New Roman"/>
                    <w:color w:val="000000"/>
                    <w:sz w:val="18"/>
                    <w:szCs w:val="18"/>
                  </w:rPr>
                  <m:t>-</m:t>
                </m:r>
                <m:sSub>
                  <m:sSubPr>
                    <m:ctrlPr>
                      <w:rPr>
                        <w:rFonts w:ascii="Cambria Math" w:hAnsi="Cambria Math"/>
                        <w:color w:val="000000"/>
                        <w:sz w:val="18"/>
                        <w:szCs w:val="18"/>
                      </w:rPr>
                    </m:ctrlPr>
                  </m:sSubPr>
                  <m:e>
                    <m:r>
                      <m:rPr>
                        <m:nor/>
                      </m:rPr>
                      <w:rPr>
                        <w:rFonts w:ascii="Times New Roman" w:hAnsi="Times New Roman"/>
                        <w:color w:val="000000"/>
                        <w:sz w:val="18"/>
                        <w:szCs w:val="18"/>
                      </w:rPr>
                      <m:t>R</m:t>
                    </m:r>
                  </m:e>
                  <m:sub>
                    <m:r>
                      <m:rPr>
                        <m:nor/>
                      </m:rPr>
                      <w:rPr>
                        <w:rFonts w:ascii="Times New Roman" w:hAnsi="Times New Roman"/>
                        <w:color w:val="000000"/>
                        <w:sz w:val="18"/>
                        <w:szCs w:val="18"/>
                      </w:rPr>
                      <m:t>j</m:t>
                    </m:r>
                  </m:sub>
                </m:sSub>
                <m:r>
                  <m:rPr>
                    <m:nor/>
                  </m:rPr>
                  <w:rPr>
                    <w:rFonts w:ascii="Times New Roman" w:hAnsi="Times New Roman"/>
                    <w:color w:val="000000"/>
                    <w:sz w:val="18"/>
                    <w:szCs w:val="18"/>
                  </w:rPr>
                  <m:t>)/(</m:t>
                </m:r>
                <m:sSub>
                  <m:sSubPr>
                    <m:ctrlPr>
                      <w:rPr>
                        <w:rFonts w:ascii="Cambria Math" w:hAnsi="Cambria Math"/>
                        <w:color w:val="000000"/>
                        <w:sz w:val="18"/>
                        <w:szCs w:val="18"/>
                      </w:rPr>
                    </m:ctrlPr>
                  </m:sSubPr>
                  <m:e>
                    <m:r>
                      <m:rPr>
                        <m:nor/>
                      </m:rPr>
                      <w:rPr>
                        <w:rFonts w:ascii="Times New Roman" w:hAnsi="Times New Roman"/>
                        <w:color w:val="000000"/>
                        <w:sz w:val="18"/>
                        <w:szCs w:val="18"/>
                      </w:rPr>
                      <m:t>R</m:t>
                    </m:r>
                  </m:e>
                  <m:sub>
                    <m:r>
                      <m:rPr>
                        <m:nor/>
                      </m:rPr>
                      <w:rPr>
                        <w:rFonts w:ascii="Times New Roman" w:hAnsi="Times New Roman"/>
                        <w:color w:val="000000"/>
                        <w:sz w:val="18"/>
                        <w:szCs w:val="18"/>
                      </w:rPr>
                      <m:t>j</m:t>
                    </m:r>
                  </m:sub>
                </m:sSub>
                <m:r>
                  <m:rPr>
                    <m:nor/>
                  </m:rPr>
                  <w:rPr>
                    <w:rFonts w:ascii="Times New Roman" w:hAnsi="Times New Roman"/>
                    <w:color w:val="000000"/>
                    <w:sz w:val="18"/>
                    <w:szCs w:val="18"/>
                  </w:rPr>
                  <m:t>+</m:t>
                </m:r>
                <m:sSub>
                  <m:sSubPr>
                    <m:ctrlPr>
                      <w:rPr>
                        <w:rFonts w:ascii="Cambria Math" w:hAnsi="Cambria Math"/>
                        <w:color w:val="000000"/>
                        <w:sz w:val="18"/>
                        <w:szCs w:val="18"/>
                      </w:rPr>
                    </m:ctrlPr>
                  </m:sSubPr>
                  <m:e>
                    <m:r>
                      <m:rPr>
                        <m:nor/>
                      </m:rPr>
                      <w:rPr>
                        <w:rFonts w:ascii="Times New Roman" w:hAnsi="Times New Roman"/>
                        <w:color w:val="000000"/>
                        <w:sz w:val="18"/>
                        <w:szCs w:val="18"/>
                      </w:rPr>
                      <m:t>R</m:t>
                    </m:r>
                  </m:e>
                  <m:sub>
                    <m:r>
                      <m:rPr>
                        <m:nor/>
                      </m:rPr>
                      <w:rPr>
                        <w:rFonts w:ascii="Times New Roman" w:hAnsi="Times New Roman"/>
                        <w:color w:val="000000"/>
                        <w:sz w:val="18"/>
                        <w:szCs w:val="18"/>
                      </w:rPr>
                      <m:t>k</m:t>
                    </m:r>
                  </m:sub>
                </m:sSub>
                <m:r>
                  <m:rPr>
                    <m:nor/>
                  </m:rPr>
                  <w:rPr>
                    <w:rFonts w:ascii="Times New Roman" w:hAnsi="Times New Roman"/>
                    <w:color w:val="000000"/>
                    <w:sz w:val="18"/>
                    <w:szCs w:val="18"/>
                  </w:rPr>
                  <m:t>)</m:t>
                </m:r>
              </m:oMath>
            </m:oMathPara>
          </w:p>
        </w:tc>
      </w:tr>
      <w:tr w:rsidR="00C83319" w14:paraId="210DA611" w14:textId="77777777" w:rsidTr="00C83319">
        <w:trPr>
          <w:jc w:val="center"/>
        </w:trPr>
        <w:tc>
          <w:tcPr>
            <w:tcW w:w="0" w:type="auto"/>
            <w:tcBorders>
              <w:top w:val="nil"/>
              <w:left w:val="nil"/>
              <w:bottom w:val="nil"/>
              <w:right w:val="nil"/>
            </w:tcBorders>
            <w:shd w:val="clear" w:color="auto" w:fill="FFFFFF"/>
            <w:vAlign w:val="center"/>
          </w:tcPr>
          <w:p w14:paraId="0DB03661" w14:textId="77777777" w:rsidR="00C83319" w:rsidRDefault="00000000">
            <w:pPr>
              <w:jc w:val="center"/>
              <w:rPr>
                <w:rFonts w:ascii="Times New Roman" w:hAnsi="Times New Roman"/>
                <w:color w:val="000000"/>
                <w:sz w:val="18"/>
                <w:szCs w:val="18"/>
              </w:rPr>
            </w:pPr>
            <w:r>
              <w:rPr>
                <w:rFonts w:ascii="Times New Roman" w:hAnsi="Times New Roman"/>
                <w:color w:val="000000"/>
                <w:sz w:val="18"/>
                <w:szCs w:val="18"/>
              </w:rPr>
              <w:t>TBI4</w:t>
            </w:r>
          </w:p>
        </w:tc>
        <w:tc>
          <w:tcPr>
            <w:tcW w:w="0" w:type="auto"/>
            <w:tcBorders>
              <w:top w:val="nil"/>
              <w:left w:val="nil"/>
              <w:bottom w:val="nil"/>
              <w:right w:val="nil"/>
            </w:tcBorders>
            <w:shd w:val="clear" w:color="auto" w:fill="FFFFFF"/>
            <w:vAlign w:val="center"/>
          </w:tcPr>
          <w:p w14:paraId="3C22E08F" w14:textId="77777777" w:rsidR="00C83319" w:rsidRDefault="00000000">
            <w:pPr>
              <w:jc w:val="center"/>
              <w:rPr>
                <w:rFonts w:ascii="Times New Roman" w:hAnsi="Times New Roman"/>
                <w:color w:val="000000"/>
                <w:sz w:val="18"/>
                <w:szCs w:val="18"/>
              </w:rPr>
            </w:pPr>
            <m:oMathPara>
              <m:oMath>
                <m:r>
                  <m:rPr>
                    <m:nor/>
                  </m:rPr>
                  <w:rPr>
                    <w:rFonts w:ascii="Times New Roman" w:hAnsi="Times New Roman"/>
                    <w:color w:val="000000"/>
                    <w:sz w:val="18"/>
                    <w:szCs w:val="18"/>
                  </w:rPr>
                  <m:t>(</m:t>
                </m:r>
                <m:sSub>
                  <m:sSubPr>
                    <m:ctrlPr>
                      <w:rPr>
                        <w:rFonts w:ascii="Cambria Math" w:hAnsi="Cambria Math"/>
                        <w:color w:val="000000"/>
                        <w:sz w:val="18"/>
                        <w:szCs w:val="18"/>
                      </w:rPr>
                    </m:ctrlPr>
                  </m:sSubPr>
                  <m:e>
                    <m:r>
                      <m:rPr>
                        <m:nor/>
                      </m:rPr>
                      <w:rPr>
                        <w:rFonts w:ascii="Times New Roman" w:hAnsi="Times New Roman"/>
                        <w:color w:val="000000"/>
                        <w:sz w:val="18"/>
                        <w:szCs w:val="18"/>
                      </w:rPr>
                      <m:t>R</m:t>
                    </m:r>
                  </m:e>
                  <m:sub>
                    <m:r>
                      <m:rPr>
                        <m:nor/>
                      </m:rPr>
                      <w:rPr>
                        <w:rFonts w:ascii="Times New Roman" w:hAnsi="Times New Roman"/>
                        <w:color w:val="000000"/>
                        <w:sz w:val="18"/>
                        <w:szCs w:val="18"/>
                      </w:rPr>
                      <m:t>i</m:t>
                    </m:r>
                  </m:sub>
                </m:sSub>
                <m:r>
                  <m:rPr>
                    <m:nor/>
                  </m:rPr>
                  <w:rPr>
                    <w:rFonts w:ascii="Times New Roman" w:hAnsi="Times New Roman"/>
                    <w:color w:val="000000"/>
                    <w:sz w:val="18"/>
                    <w:szCs w:val="18"/>
                  </w:rPr>
                  <m:t>-</m:t>
                </m:r>
                <m:sSub>
                  <m:sSubPr>
                    <m:ctrlPr>
                      <w:rPr>
                        <w:rFonts w:ascii="Cambria Math" w:hAnsi="Cambria Math"/>
                        <w:color w:val="000000"/>
                        <w:sz w:val="18"/>
                        <w:szCs w:val="18"/>
                      </w:rPr>
                    </m:ctrlPr>
                  </m:sSubPr>
                  <m:e>
                    <m:r>
                      <m:rPr>
                        <m:nor/>
                      </m:rPr>
                      <w:rPr>
                        <w:rFonts w:ascii="Times New Roman" w:hAnsi="Times New Roman"/>
                        <w:color w:val="000000"/>
                        <w:sz w:val="18"/>
                        <w:szCs w:val="18"/>
                      </w:rPr>
                      <m:t>R</m:t>
                    </m:r>
                  </m:e>
                  <m:sub>
                    <m:r>
                      <m:rPr>
                        <m:nor/>
                      </m:rPr>
                      <w:rPr>
                        <w:rFonts w:ascii="Times New Roman" w:hAnsi="Times New Roman"/>
                        <w:color w:val="000000"/>
                        <w:sz w:val="18"/>
                        <w:szCs w:val="18"/>
                      </w:rPr>
                      <m:t>j</m:t>
                    </m:r>
                  </m:sub>
                </m:sSub>
                <m:r>
                  <m:rPr>
                    <m:nor/>
                  </m:rPr>
                  <w:rPr>
                    <w:rFonts w:ascii="Times New Roman" w:hAnsi="Times New Roman"/>
                    <w:color w:val="000000"/>
                    <w:sz w:val="18"/>
                    <w:szCs w:val="18"/>
                  </w:rPr>
                  <m:t>)/(</m:t>
                </m:r>
                <m:sSub>
                  <m:sSubPr>
                    <m:ctrlPr>
                      <w:rPr>
                        <w:rFonts w:ascii="Cambria Math" w:hAnsi="Cambria Math"/>
                        <w:color w:val="000000"/>
                        <w:sz w:val="18"/>
                        <w:szCs w:val="18"/>
                      </w:rPr>
                    </m:ctrlPr>
                  </m:sSubPr>
                  <m:e>
                    <m:r>
                      <m:rPr>
                        <m:nor/>
                      </m:rPr>
                      <w:rPr>
                        <w:rFonts w:ascii="Times New Roman" w:hAnsi="Times New Roman"/>
                        <w:color w:val="000000"/>
                        <w:sz w:val="18"/>
                        <w:szCs w:val="18"/>
                      </w:rPr>
                      <m:t>R</m:t>
                    </m:r>
                  </m:e>
                  <m:sub>
                    <m:r>
                      <m:rPr>
                        <m:nor/>
                      </m:rPr>
                      <w:rPr>
                        <w:rFonts w:ascii="Times New Roman" w:hAnsi="Times New Roman"/>
                        <w:color w:val="000000"/>
                        <w:sz w:val="18"/>
                        <w:szCs w:val="18"/>
                      </w:rPr>
                      <m:t>j</m:t>
                    </m:r>
                  </m:sub>
                </m:sSub>
                <m:r>
                  <m:rPr>
                    <m:nor/>
                  </m:rPr>
                  <w:rPr>
                    <w:rFonts w:ascii="Times New Roman" w:hAnsi="Times New Roman"/>
                    <w:color w:val="000000"/>
                    <w:sz w:val="18"/>
                    <w:szCs w:val="18"/>
                  </w:rPr>
                  <m:t>-</m:t>
                </m:r>
                <m:sSub>
                  <m:sSubPr>
                    <m:ctrlPr>
                      <w:rPr>
                        <w:rFonts w:ascii="Cambria Math" w:hAnsi="Cambria Math"/>
                        <w:color w:val="000000"/>
                        <w:sz w:val="18"/>
                        <w:szCs w:val="18"/>
                      </w:rPr>
                    </m:ctrlPr>
                  </m:sSubPr>
                  <m:e>
                    <m:r>
                      <m:rPr>
                        <m:nor/>
                      </m:rPr>
                      <w:rPr>
                        <w:rFonts w:ascii="Times New Roman" w:hAnsi="Times New Roman"/>
                        <w:color w:val="000000"/>
                        <w:sz w:val="18"/>
                        <w:szCs w:val="18"/>
                      </w:rPr>
                      <m:t>R</m:t>
                    </m:r>
                  </m:e>
                  <m:sub>
                    <m:r>
                      <m:rPr>
                        <m:nor/>
                      </m:rPr>
                      <w:rPr>
                        <w:rFonts w:ascii="Times New Roman" w:hAnsi="Times New Roman"/>
                        <w:color w:val="000000"/>
                        <w:sz w:val="18"/>
                        <w:szCs w:val="18"/>
                      </w:rPr>
                      <m:t>k</m:t>
                    </m:r>
                  </m:sub>
                </m:sSub>
                <m:r>
                  <m:rPr>
                    <m:nor/>
                  </m:rPr>
                  <w:rPr>
                    <w:rFonts w:ascii="Times New Roman" w:hAnsi="Times New Roman"/>
                    <w:color w:val="000000"/>
                    <w:sz w:val="18"/>
                    <w:szCs w:val="18"/>
                  </w:rPr>
                  <m:t>)</m:t>
                </m:r>
              </m:oMath>
            </m:oMathPara>
          </w:p>
        </w:tc>
      </w:tr>
      <w:tr w:rsidR="00C83319" w14:paraId="1E2A1DE2" w14:textId="77777777" w:rsidTr="00C83319">
        <w:trPr>
          <w:jc w:val="center"/>
        </w:trPr>
        <w:tc>
          <w:tcPr>
            <w:tcW w:w="0" w:type="auto"/>
            <w:tcBorders>
              <w:top w:val="nil"/>
              <w:left w:val="nil"/>
              <w:bottom w:val="nil"/>
              <w:right w:val="nil"/>
            </w:tcBorders>
            <w:shd w:val="clear" w:color="auto" w:fill="FFFFFF"/>
            <w:vAlign w:val="center"/>
          </w:tcPr>
          <w:p w14:paraId="23A8A508" w14:textId="77777777" w:rsidR="00C83319" w:rsidRDefault="00000000">
            <w:pPr>
              <w:jc w:val="center"/>
              <w:rPr>
                <w:rFonts w:ascii="Times New Roman" w:hAnsi="Times New Roman"/>
                <w:color w:val="000000"/>
                <w:sz w:val="18"/>
                <w:szCs w:val="18"/>
              </w:rPr>
            </w:pPr>
            <w:r>
              <w:rPr>
                <w:rFonts w:ascii="Times New Roman" w:hAnsi="Times New Roman"/>
                <w:color w:val="000000"/>
                <w:sz w:val="18"/>
                <w:szCs w:val="18"/>
              </w:rPr>
              <w:t>TBI5</w:t>
            </w:r>
          </w:p>
        </w:tc>
        <w:tc>
          <w:tcPr>
            <w:tcW w:w="0" w:type="auto"/>
            <w:tcBorders>
              <w:top w:val="nil"/>
              <w:left w:val="nil"/>
              <w:bottom w:val="nil"/>
              <w:right w:val="nil"/>
            </w:tcBorders>
            <w:shd w:val="clear" w:color="auto" w:fill="FFFFFF"/>
            <w:vAlign w:val="center"/>
          </w:tcPr>
          <w:p w14:paraId="17CFE8FE" w14:textId="77777777" w:rsidR="00C83319" w:rsidRDefault="00000000">
            <w:pPr>
              <w:jc w:val="center"/>
              <w:rPr>
                <w:rFonts w:ascii="Times New Roman" w:hAnsi="Times New Roman"/>
                <w:color w:val="000000"/>
                <w:sz w:val="18"/>
                <w:szCs w:val="18"/>
              </w:rPr>
            </w:pPr>
            <m:oMathPara>
              <m:oMath>
                <m:r>
                  <m:rPr>
                    <m:nor/>
                  </m:rPr>
                  <w:rPr>
                    <w:rFonts w:ascii="Times New Roman" w:hAnsi="Times New Roman"/>
                    <w:color w:val="000000"/>
                    <w:sz w:val="18"/>
                    <w:szCs w:val="18"/>
                  </w:rPr>
                  <m:t>(</m:t>
                </m:r>
                <m:sSub>
                  <m:sSubPr>
                    <m:ctrlPr>
                      <w:rPr>
                        <w:rFonts w:ascii="Cambria Math" w:hAnsi="Cambria Math"/>
                        <w:color w:val="000000"/>
                        <w:sz w:val="18"/>
                        <w:szCs w:val="18"/>
                      </w:rPr>
                    </m:ctrlPr>
                  </m:sSubPr>
                  <m:e>
                    <m:r>
                      <m:rPr>
                        <m:nor/>
                      </m:rPr>
                      <w:rPr>
                        <w:rFonts w:ascii="Times New Roman" w:hAnsi="Times New Roman"/>
                        <w:color w:val="000000"/>
                        <w:sz w:val="18"/>
                        <w:szCs w:val="18"/>
                      </w:rPr>
                      <m:t>R</m:t>
                    </m:r>
                  </m:e>
                  <m:sub>
                    <m:r>
                      <m:rPr>
                        <m:nor/>
                      </m:rPr>
                      <w:rPr>
                        <w:rFonts w:ascii="Times New Roman" w:hAnsi="Times New Roman"/>
                        <w:color w:val="000000"/>
                        <w:sz w:val="18"/>
                        <w:szCs w:val="18"/>
                      </w:rPr>
                      <m:t>j</m:t>
                    </m:r>
                  </m:sub>
                </m:sSub>
                <m:r>
                  <m:rPr>
                    <m:nor/>
                  </m:rPr>
                  <w:rPr>
                    <w:rFonts w:ascii="Times New Roman" w:hAnsi="Times New Roman"/>
                    <w:color w:val="000000"/>
                    <w:sz w:val="18"/>
                    <w:szCs w:val="18"/>
                  </w:rPr>
                  <m:t>+</m:t>
                </m:r>
                <m:sSub>
                  <m:sSubPr>
                    <m:ctrlPr>
                      <w:rPr>
                        <w:rFonts w:ascii="Cambria Math" w:hAnsi="Cambria Math"/>
                        <w:color w:val="000000"/>
                        <w:sz w:val="18"/>
                        <w:szCs w:val="18"/>
                      </w:rPr>
                    </m:ctrlPr>
                  </m:sSubPr>
                  <m:e>
                    <m:r>
                      <m:rPr>
                        <m:nor/>
                      </m:rPr>
                      <w:rPr>
                        <w:rFonts w:ascii="Times New Roman" w:hAnsi="Times New Roman"/>
                        <w:color w:val="000000"/>
                        <w:sz w:val="18"/>
                        <w:szCs w:val="18"/>
                      </w:rPr>
                      <m:t>R</m:t>
                    </m:r>
                  </m:e>
                  <m:sub>
                    <m:r>
                      <m:rPr>
                        <m:nor/>
                      </m:rPr>
                      <w:rPr>
                        <w:rFonts w:ascii="Times New Roman" w:hAnsi="Times New Roman"/>
                        <w:color w:val="000000"/>
                        <w:sz w:val="18"/>
                        <w:szCs w:val="18"/>
                      </w:rPr>
                      <m:t>k</m:t>
                    </m:r>
                  </m:sub>
                </m:sSub>
                <m:r>
                  <m:rPr>
                    <m:nor/>
                  </m:rPr>
                  <w:rPr>
                    <w:rFonts w:ascii="Times New Roman" w:hAnsi="Times New Roman"/>
                    <w:color w:val="000000"/>
                    <w:sz w:val="18"/>
                    <w:szCs w:val="18"/>
                  </w:rPr>
                  <m:t>)/</m:t>
                </m:r>
                <m:sSub>
                  <m:sSubPr>
                    <m:ctrlPr>
                      <w:rPr>
                        <w:rFonts w:ascii="Cambria Math" w:hAnsi="Cambria Math"/>
                        <w:color w:val="000000"/>
                        <w:sz w:val="18"/>
                        <w:szCs w:val="18"/>
                      </w:rPr>
                    </m:ctrlPr>
                  </m:sSubPr>
                  <m:e>
                    <m:r>
                      <m:rPr>
                        <m:nor/>
                      </m:rPr>
                      <w:rPr>
                        <w:rFonts w:ascii="Times New Roman" w:hAnsi="Times New Roman"/>
                        <w:color w:val="000000"/>
                        <w:sz w:val="18"/>
                        <w:szCs w:val="18"/>
                      </w:rPr>
                      <m:t>R</m:t>
                    </m:r>
                  </m:e>
                  <m:sub>
                    <m:r>
                      <m:rPr>
                        <m:nor/>
                      </m:rPr>
                      <w:rPr>
                        <w:rFonts w:ascii="Times New Roman" w:hAnsi="Times New Roman"/>
                        <w:color w:val="000000"/>
                        <w:sz w:val="18"/>
                        <w:szCs w:val="18"/>
                      </w:rPr>
                      <m:t>i</m:t>
                    </m:r>
                  </m:sub>
                </m:sSub>
              </m:oMath>
            </m:oMathPara>
          </w:p>
        </w:tc>
      </w:tr>
      <w:tr w:rsidR="00C83319" w14:paraId="1391476C" w14:textId="77777777" w:rsidTr="00C83319">
        <w:trPr>
          <w:jc w:val="center"/>
        </w:trPr>
        <w:tc>
          <w:tcPr>
            <w:tcW w:w="0" w:type="auto"/>
            <w:tcBorders>
              <w:top w:val="nil"/>
              <w:left w:val="nil"/>
              <w:bottom w:val="single" w:sz="12" w:space="0" w:color="000000"/>
              <w:right w:val="nil"/>
            </w:tcBorders>
            <w:shd w:val="clear" w:color="auto" w:fill="FFFFFF"/>
            <w:vAlign w:val="center"/>
          </w:tcPr>
          <w:p w14:paraId="50C93720" w14:textId="77777777" w:rsidR="00C83319" w:rsidRDefault="00000000">
            <w:pPr>
              <w:jc w:val="center"/>
              <w:rPr>
                <w:rFonts w:ascii="Times New Roman" w:hAnsi="Times New Roman"/>
                <w:color w:val="000000"/>
                <w:sz w:val="18"/>
                <w:szCs w:val="18"/>
              </w:rPr>
            </w:pPr>
            <w:r>
              <w:rPr>
                <w:rFonts w:ascii="Times New Roman" w:hAnsi="Times New Roman"/>
                <w:color w:val="000000"/>
                <w:sz w:val="18"/>
                <w:szCs w:val="18"/>
              </w:rPr>
              <w:t>TBI6</w:t>
            </w:r>
          </w:p>
        </w:tc>
        <w:tc>
          <w:tcPr>
            <w:tcW w:w="0" w:type="auto"/>
            <w:tcBorders>
              <w:top w:val="nil"/>
              <w:left w:val="nil"/>
              <w:bottom w:val="single" w:sz="12" w:space="0" w:color="000000"/>
              <w:right w:val="nil"/>
            </w:tcBorders>
            <w:shd w:val="clear" w:color="auto" w:fill="FFFFFF"/>
            <w:vAlign w:val="center"/>
          </w:tcPr>
          <w:p w14:paraId="5254A02A" w14:textId="77777777" w:rsidR="00C83319" w:rsidRDefault="00000000">
            <w:pPr>
              <w:jc w:val="center"/>
              <w:rPr>
                <w:rFonts w:ascii="Times New Roman" w:hAnsi="Times New Roman"/>
                <w:color w:val="000000"/>
                <w:sz w:val="18"/>
                <w:szCs w:val="18"/>
              </w:rPr>
            </w:pPr>
            <m:oMathPara>
              <m:oMath>
                <m:r>
                  <m:rPr>
                    <m:nor/>
                  </m:rPr>
                  <w:rPr>
                    <w:rFonts w:ascii="Times New Roman" w:hAnsi="Times New Roman"/>
                    <w:color w:val="000000"/>
                    <w:sz w:val="18"/>
                    <w:szCs w:val="18"/>
                  </w:rPr>
                  <m:t>(</m:t>
                </m:r>
                <m:sSub>
                  <m:sSubPr>
                    <m:ctrlPr>
                      <w:rPr>
                        <w:rFonts w:ascii="Cambria Math" w:hAnsi="Cambria Math"/>
                        <w:color w:val="000000"/>
                        <w:sz w:val="18"/>
                        <w:szCs w:val="18"/>
                      </w:rPr>
                    </m:ctrlPr>
                  </m:sSubPr>
                  <m:e>
                    <m:r>
                      <m:rPr>
                        <m:nor/>
                      </m:rPr>
                      <w:rPr>
                        <w:rFonts w:ascii="Times New Roman" w:hAnsi="Times New Roman"/>
                        <w:color w:val="000000"/>
                        <w:sz w:val="18"/>
                        <w:szCs w:val="18"/>
                      </w:rPr>
                      <m:t>R</m:t>
                    </m:r>
                  </m:e>
                  <m:sub>
                    <m:r>
                      <m:rPr>
                        <m:nor/>
                      </m:rPr>
                      <w:rPr>
                        <w:rFonts w:ascii="Times New Roman" w:hAnsi="Times New Roman"/>
                        <w:color w:val="000000"/>
                        <w:sz w:val="18"/>
                        <w:szCs w:val="18"/>
                      </w:rPr>
                      <m:t>i</m:t>
                    </m:r>
                  </m:sub>
                </m:sSub>
                <m:r>
                  <m:rPr>
                    <m:nor/>
                  </m:rPr>
                  <w:rPr>
                    <w:rFonts w:ascii="Times New Roman" w:hAnsi="Times New Roman"/>
                    <w:color w:val="000000"/>
                    <w:sz w:val="18"/>
                    <w:szCs w:val="18"/>
                  </w:rPr>
                  <m:t>-</m:t>
                </m:r>
                <m:sSub>
                  <m:sSubPr>
                    <m:ctrlPr>
                      <w:rPr>
                        <w:rFonts w:ascii="Cambria Math" w:hAnsi="Cambria Math"/>
                        <w:color w:val="000000"/>
                        <w:sz w:val="18"/>
                        <w:szCs w:val="18"/>
                      </w:rPr>
                    </m:ctrlPr>
                  </m:sSubPr>
                  <m:e>
                    <m:r>
                      <m:rPr>
                        <m:nor/>
                      </m:rPr>
                      <w:rPr>
                        <w:rFonts w:ascii="Times New Roman" w:hAnsi="Times New Roman"/>
                        <w:color w:val="000000"/>
                        <w:sz w:val="18"/>
                        <w:szCs w:val="18"/>
                      </w:rPr>
                      <m:t>R</m:t>
                    </m:r>
                  </m:e>
                  <m:sub>
                    <m:r>
                      <m:rPr>
                        <m:nor/>
                      </m:rPr>
                      <w:rPr>
                        <w:rFonts w:ascii="Times New Roman" w:hAnsi="Times New Roman"/>
                        <w:color w:val="000000"/>
                        <w:sz w:val="18"/>
                        <w:szCs w:val="18"/>
                      </w:rPr>
                      <m:t>j</m:t>
                    </m:r>
                  </m:sub>
                </m:sSub>
                <m:r>
                  <m:rPr>
                    <m:nor/>
                  </m:rPr>
                  <w:rPr>
                    <w:rFonts w:ascii="Times New Roman" w:hAnsi="Times New Roman"/>
                    <w:color w:val="000000"/>
                    <w:sz w:val="18"/>
                    <w:szCs w:val="18"/>
                  </w:rPr>
                  <m:t>)/[(</m:t>
                </m:r>
                <m:sSub>
                  <m:sSubPr>
                    <m:ctrlPr>
                      <w:rPr>
                        <w:rFonts w:ascii="Cambria Math" w:hAnsi="Cambria Math"/>
                        <w:color w:val="000000"/>
                        <w:sz w:val="18"/>
                        <w:szCs w:val="18"/>
                      </w:rPr>
                    </m:ctrlPr>
                  </m:sSubPr>
                  <m:e>
                    <m:r>
                      <m:rPr>
                        <m:nor/>
                      </m:rPr>
                      <w:rPr>
                        <w:rFonts w:ascii="Times New Roman" w:hAnsi="Times New Roman"/>
                        <w:color w:val="000000"/>
                        <w:sz w:val="18"/>
                        <w:szCs w:val="18"/>
                      </w:rPr>
                      <m:t>R</m:t>
                    </m:r>
                  </m:e>
                  <m:sub>
                    <m:r>
                      <m:rPr>
                        <m:nor/>
                      </m:rPr>
                      <w:rPr>
                        <w:rFonts w:ascii="Times New Roman" w:hAnsi="Times New Roman"/>
                        <w:color w:val="000000"/>
                        <w:sz w:val="18"/>
                        <w:szCs w:val="18"/>
                      </w:rPr>
                      <m:t>i</m:t>
                    </m:r>
                  </m:sub>
                </m:sSub>
                <m:r>
                  <m:rPr>
                    <m:nor/>
                  </m:rPr>
                  <w:rPr>
                    <w:rFonts w:ascii="Times New Roman" w:hAnsi="Times New Roman"/>
                    <w:color w:val="000000"/>
                    <w:sz w:val="18"/>
                    <w:szCs w:val="18"/>
                  </w:rPr>
                  <m:t>-</m:t>
                </m:r>
                <m:sSub>
                  <m:sSubPr>
                    <m:ctrlPr>
                      <w:rPr>
                        <w:rFonts w:ascii="Cambria Math" w:hAnsi="Cambria Math"/>
                        <w:color w:val="000000"/>
                        <w:sz w:val="18"/>
                        <w:szCs w:val="18"/>
                      </w:rPr>
                    </m:ctrlPr>
                  </m:sSubPr>
                  <m:e>
                    <m:r>
                      <m:rPr>
                        <m:nor/>
                      </m:rPr>
                      <w:rPr>
                        <w:rFonts w:ascii="Times New Roman" w:hAnsi="Times New Roman"/>
                        <w:color w:val="000000"/>
                        <w:sz w:val="18"/>
                        <w:szCs w:val="18"/>
                      </w:rPr>
                      <m:t>R</m:t>
                    </m:r>
                  </m:e>
                  <m:sub>
                    <m:r>
                      <m:rPr>
                        <m:nor/>
                      </m:rPr>
                      <w:rPr>
                        <w:rFonts w:ascii="Times New Roman" w:hAnsi="Times New Roman"/>
                        <w:color w:val="000000"/>
                        <w:sz w:val="18"/>
                        <w:szCs w:val="18"/>
                      </w:rPr>
                      <m:t>j</m:t>
                    </m:r>
                  </m:sub>
                </m:sSub>
                <m:r>
                  <m:rPr>
                    <m:nor/>
                  </m:rPr>
                  <w:rPr>
                    <w:rFonts w:ascii="Times New Roman" w:hAnsi="Times New Roman"/>
                    <w:color w:val="000000"/>
                    <w:sz w:val="18"/>
                    <w:szCs w:val="18"/>
                  </w:rPr>
                  <m:t>)-(</m:t>
                </m:r>
                <m:sSub>
                  <m:sSubPr>
                    <m:ctrlPr>
                      <w:rPr>
                        <w:rFonts w:ascii="Cambria Math" w:hAnsi="Cambria Math"/>
                        <w:color w:val="000000"/>
                        <w:sz w:val="18"/>
                        <w:szCs w:val="18"/>
                      </w:rPr>
                    </m:ctrlPr>
                  </m:sSubPr>
                  <m:e>
                    <m:r>
                      <m:rPr>
                        <m:nor/>
                      </m:rPr>
                      <w:rPr>
                        <w:rFonts w:ascii="Times New Roman" w:hAnsi="Times New Roman"/>
                        <w:color w:val="000000"/>
                        <w:sz w:val="18"/>
                        <w:szCs w:val="18"/>
                      </w:rPr>
                      <m:t>R</m:t>
                    </m:r>
                  </m:e>
                  <m:sub>
                    <m:r>
                      <m:rPr>
                        <m:nor/>
                      </m:rPr>
                      <w:rPr>
                        <w:rFonts w:ascii="Times New Roman" w:hAnsi="Times New Roman"/>
                        <w:color w:val="000000"/>
                        <w:sz w:val="18"/>
                        <w:szCs w:val="18"/>
                      </w:rPr>
                      <m:t>j</m:t>
                    </m:r>
                  </m:sub>
                </m:sSub>
                <m:r>
                  <m:rPr>
                    <m:nor/>
                  </m:rPr>
                  <w:rPr>
                    <w:rFonts w:ascii="Times New Roman" w:hAnsi="Times New Roman"/>
                    <w:color w:val="000000"/>
                    <w:sz w:val="18"/>
                    <w:szCs w:val="18"/>
                  </w:rPr>
                  <m:t>-</m:t>
                </m:r>
                <m:sSub>
                  <m:sSubPr>
                    <m:ctrlPr>
                      <w:rPr>
                        <w:rFonts w:ascii="Cambria Math" w:hAnsi="Cambria Math"/>
                        <w:color w:val="000000"/>
                        <w:sz w:val="18"/>
                        <w:szCs w:val="18"/>
                      </w:rPr>
                    </m:ctrlPr>
                  </m:sSubPr>
                  <m:e>
                    <m:r>
                      <m:rPr>
                        <m:nor/>
                      </m:rPr>
                      <w:rPr>
                        <w:rFonts w:ascii="Times New Roman" w:hAnsi="Times New Roman"/>
                        <w:color w:val="000000"/>
                        <w:sz w:val="18"/>
                        <w:szCs w:val="18"/>
                      </w:rPr>
                      <m:t>R</m:t>
                    </m:r>
                  </m:e>
                  <m:sub>
                    <m:r>
                      <m:rPr>
                        <m:nor/>
                      </m:rPr>
                      <w:rPr>
                        <w:rFonts w:ascii="Times New Roman" w:hAnsi="Times New Roman"/>
                        <w:color w:val="000000"/>
                        <w:sz w:val="18"/>
                        <w:szCs w:val="18"/>
                      </w:rPr>
                      <m:t>k</m:t>
                    </m:r>
                  </m:sub>
                </m:sSub>
                <m:r>
                  <m:rPr>
                    <m:nor/>
                  </m:rPr>
                  <w:rPr>
                    <w:rFonts w:ascii="Times New Roman" w:hAnsi="Times New Roman"/>
                    <w:color w:val="000000"/>
                    <w:sz w:val="18"/>
                    <w:szCs w:val="18"/>
                  </w:rPr>
                  <m:t>)]</m:t>
                </m:r>
              </m:oMath>
            </m:oMathPara>
          </w:p>
        </w:tc>
      </w:tr>
    </w:tbl>
    <w:p w14:paraId="476DBDBF" w14:textId="77777777" w:rsidR="00C83319" w:rsidRDefault="00000000">
      <w:pPr>
        <w:pStyle w:val="15"/>
        <w:ind w:firstLineChars="0" w:firstLine="0"/>
        <w:rPr>
          <w:rFonts w:eastAsia="黑体" w:hint="default"/>
          <w:sz w:val="18"/>
          <w:szCs w:val="18"/>
        </w:rPr>
      </w:pPr>
      <w:r>
        <w:rPr>
          <w:rFonts w:eastAsia="黑体" w:hint="default"/>
          <w:sz w:val="18"/>
          <w:szCs w:val="18"/>
        </w:rPr>
        <w:t>注：</w:t>
      </w:r>
      <m:oMath>
        <m:sSub>
          <m:sSubPr>
            <m:ctrlPr>
              <w:rPr>
                <w:rFonts w:ascii="Cambria Math" w:eastAsia="黑体" w:hAnsi="Cambria Math" w:hint="default"/>
                <w:sz w:val="18"/>
                <w:szCs w:val="18"/>
              </w:rPr>
            </m:ctrlPr>
          </m:sSubPr>
          <m:e>
            <m:r>
              <m:rPr>
                <m:sty m:val="p"/>
              </m:rPr>
              <w:rPr>
                <w:rFonts w:eastAsia="黑体" w:hint="default"/>
                <w:sz w:val="18"/>
                <w:szCs w:val="18"/>
              </w:rPr>
              <m:t>R</m:t>
            </m:r>
          </m:e>
          <m:sub>
            <m:r>
              <m:rPr>
                <m:sty m:val="p"/>
              </m:rPr>
              <w:rPr>
                <w:rFonts w:eastAsia="黑体" w:hint="default"/>
                <w:sz w:val="18"/>
                <w:szCs w:val="18"/>
              </w:rPr>
              <m:t>i</m:t>
            </m:r>
          </m:sub>
        </m:sSub>
      </m:oMath>
      <w:r>
        <w:rPr>
          <w:rFonts w:eastAsia="黑体" w:hint="default"/>
          <w:sz w:val="18"/>
          <w:szCs w:val="18"/>
        </w:rPr>
        <w:t>，</w:t>
      </w:r>
      <m:oMath>
        <m:sSub>
          <m:sSubPr>
            <m:ctrlPr>
              <w:rPr>
                <w:rFonts w:ascii="Cambria Math" w:eastAsia="黑体" w:hAnsi="Cambria Math" w:hint="default"/>
                <w:sz w:val="18"/>
                <w:szCs w:val="18"/>
              </w:rPr>
            </m:ctrlPr>
          </m:sSubPr>
          <m:e>
            <m:r>
              <m:rPr>
                <m:sty m:val="p"/>
              </m:rPr>
              <w:rPr>
                <w:rFonts w:eastAsia="黑体" w:hint="default"/>
                <w:sz w:val="18"/>
                <w:szCs w:val="18"/>
              </w:rPr>
              <m:t>R</m:t>
            </m:r>
          </m:e>
          <m:sub>
            <m:r>
              <m:rPr>
                <m:sty m:val="p"/>
              </m:rPr>
              <w:rPr>
                <w:rFonts w:eastAsia="黑体" w:hint="default"/>
                <w:sz w:val="18"/>
                <w:szCs w:val="18"/>
              </w:rPr>
              <m:t>j</m:t>
            </m:r>
          </m:sub>
        </m:sSub>
      </m:oMath>
      <w:r>
        <w:rPr>
          <w:rFonts w:eastAsia="黑体" w:hint="default"/>
          <w:sz w:val="18"/>
          <w:szCs w:val="18"/>
        </w:rPr>
        <w:t>和</w:t>
      </w:r>
      <m:oMath>
        <m:sSub>
          <m:sSubPr>
            <m:ctrlPr>
              <w:rPr>
                <w:rFonts w:ascii="Cambria Math" w:eastAsia="黑体" w:hAnsi="Cambria Math" w:hint="default"/>
                <w:sz w:val="18"/>
                <w:szCs w:val="18"/>
              </w:rPr>
            </m:ctrlPr>
          </m:sSubPr>
          <m:e>
            <m:r>
              <m:rPr>
                <m:sty m:val="p"/>
              </m:rPr>
              <w:rPr>
                <w:rFonts w:eastAsia="黑体" w:hint="default"/>
                <w:sz w:val="18"/>
                <w:szCs w:val="18"/>
              </w:rPr>
              <m:t>R</m:t>
            </m:r>
          </m:e>
          <m:sub>
            <m:r>
              <m:rPr>
                <m:sty m:val="p"/>
              </m:rPr>
              <w:rPr>
                <w:rFonts w:eastAsia="黑体" w:hint="default"/>
                <w:sz w:val="18"/>
                <w:szCs w:val="18"/>
              </w:rPr>
              <m:t>k</m:t>
            </m:r>
          </m:sub>
        </m:sSub>
      </m:oMath>
      <w:r>
        <w:rPr>
          <w:rFonts w:eastAsia="黑体" w:hint="default"/>
          <w:sz w:val="18"/>
          <w:szCs w:val="18"/>
        </w:rPr>
        <w:t>为</w:t>
      </w:r>
      <w:r>
        <w:rPr>
          <w:rFonts w:eastAsia="黑体" w:hint="default"/>
          <w:sz w:val="18"/>
          <w:szCs w:val="18"/>
        </w:rPr>
        <w:t>400</w:t>
      </w:r>
      <m:oMath>
        <m:r>
          <m:rPr>
            <m:sty m:val="p"/>
          </m:rPr>
          <w:rPr>
            <w:rFonts w:eastAsia="黑体" w:hint="default"/>
            <w:sz w:val="18"/>
            <w:szCs w:val="18"/>
          </w:rPr>
          <m:t>∼</m:t>
        </m:r>
      </m:oMath>
      <w:r>
        <w:rPr>
          <w:rFonts w:eastAsia="黑体" w:hint="default"/>
          <w:sz w:val="18"/>
          <w:szCs w:val="18"/>
        </w:rPr>
        <w:t>1000nm</w:t>
      </w:r>
      <w:r>
        <w:rPr>
          <w:rFonts w:eastAsia="黑体" w:hint="default"/>
          <w:sz w:val="18"/>
          <w:szCs w:val="18"/>
        </w:rPr>
        <w:t>之间波长</w:t>
      </w:r>
      <m:oMath>
        <m:r>
          <m:rPr>
            <m:sty m:val="p"/>
          </m:rPr>
          <w:rPr>
            <w:rFonts w:eastAsia="黑体" w:hint="default"/>
            <w:sz w:val="18"/>
            <w:szCs w:val="18"/>
          </w:rPr>
          <m:t>i</m:t>
        </m:r>
      </m:oMath>
      <w:r>
        <w:rPr>
          <w:rFonts w:eastAsia="黑体" w:hint="default"/>
          <w:sz w:val="18"/>
          <w:szCs w:val="18"/>
        </w:rPr>
        <w:t>，</w:t>
      </w:r>
      <m:oMath>
        <m:r>
          <m:rPr>
            <m:sty m:val="p"/>
          </m:rPr>
          <w:rPr>
            <w:rFonts w:eastAsia="黑体" w:hint="default"/>
            <w:sz w:val="18"/>
            <w:szCs w:val="18"/>
          </w:rPr>
          <m:t>j</m:t>
        </m:r>
      </m:oMath>
      <w:r>
        <w:rPr>
          <w:rFonts w:eastAsia="黑体" w:hint="default"/>
          <w:sz w:val="18"/>
          <w:szCs w:val="18"/>
        </w:rPr>
        <w:t>和</w:t>
      </w:r>
      <m:oMath>
        <m:r>
          <m:rPr>
            <m:sty m:val="p"/>
          </m:rPr>
          <w:rPr>
            <w:rFonts w:eastAsia="黑体" w:hint="default"/>
            <w:sz w:val="18"/>
            <w:szCs w:val="18"/>
          </w:rPr>
          <m:t>k</m:t>
        </m:r>
      </m:oMath>
      <w:r>
        <w:rPr>
          <w:rFonts w:eastAsia="黑体" w:hint="default"/>
          <w:sz w:val="18"/>
          <w:szCs w:val="18"/>
        </w:rPr>
        <w:t>的土壤光谱反射率，并且</w:t>
      </w:r>
      <m:oMath>
        <m:r>
          <m:rPr>
            <m:sty m:val="p"/>
          </m:rPr>
          <w:rPr>
            <w:rFonts w:eastAsia="黑体" w:hint="default"/>
            <w:sz w:val="18"/>
            <w:szCs w:val="18"/>
          </w:rPr>
          <m:t>i≠j≠k</m:t>
        </m:r>
      </m:oMath>
      <w:r>
        <w:rPr>
          <w:rFonts w:eastAsia="黑体" w:hint="default"/>
          <w:sz w:val="18"/>
          <w:szCs w:val="18"/>
        </w:rPr>
        <w:t>。</w:t>
      </w:r>
    </w:p>
    <w:p w14:paraId="5815151D" w14:textId="77777777" w:rsidR="00C83319" w:rsidRDefault="00000000">
      <w:pPr>
        <w:pStyle w:val="15"/>
        <w:ind w:firstLineChars="0" w:firstLine="0"/>
        <w:rPr>
          <w:rFonts w:eastAsia="黑体" w:hint="default"/>
          <w:sz w:val="18"/>
          <w:szCs w:val="18"/>
        </w:rPr>
      </w:pPr>
      <w:r>
        <w:rPr>
          <w:rFonts w:eastAsia="黑体" w:hint="default"/>
          <w:sz w:val="18"/>
          <w:szCs w:val="18"/>
        </w:rPr>
        <w:t xml:space="preserve">Note: </w:t>
      </w:r>
      <m:oMath>
        <m:sSub>
          <m:sSubPr>
            <m:ctrlPr>
              <w:rPr>
                <w:rFonts w:ascii="Cambria Math" w:eastAsia="黑体" w:hAnsi="Cambria Math" w:hint="default"/>
                <w:sz w:val="18"/>
                <w:szCs w:val="18"/>
              </w:rPr>
            </m:ctrlPr>
          </m:sSubPr>
          <m:e>
            <m:r>
              <m:rPr>
                <m:sty m:val="p"/>
              </m:rPr>
              <w:rPr>
                <w:rFonts w:eastAsia="黑体" w:hint="default"/>
                <w:sz w:val="18"/>
                <w:szCs w:val="18"/>
              </w:rPr>
              <m:t>R</m:t>
            </m:r>
          </m:e>
          <m:sub>
            <m:r>
              <m:rPr>
                <m:sty m:val="p"/>
              </m:rPr>
              <w:rPr>
                <w:rFonts w:eastAsia="黑体" w:hint="default"/>
                <w:sz w:val="18"/>
                <w:szCs w:val="18"/>
              </w:rPr>
              <m:t>i</m:t>
            </m:r>
          </m:sub>
        </m:sSub>
      </m:oMath>
      <w:r>
        <w:rPr>
          <w:rFonts w:eastAsia="黑体" w:hint="default"/>
          <w:sz w:val="18"/>
          <w:szCs w:val="18"/>
        </w:rPr>
        <w:t xml:space="preserve">, </w:t>
      </w:r>
      <m:oMath>
        <m:sSub>
          <m:sSubPr>
            <m:ctrlPr>
              <w:rPr>
                <w:rFonts w:ascii="Cambria Math" w:eastAsia="黑体" w:hAnsi="Cambria Math" w:hint="default"/>
                <w:sz w:val="18"/>
                <w:szCs w:val="18"/>
              </w:rPr>
            </m:ctrlPr>
          </m:sSubPr>
          <m:e>
            <m:r>
              <m:rPr>
                <m:sty m:val="p"/>
              </m:rPr>
              <w:rPr>
                <w:rFonts w:eastAsia="黑体" w:hint="default"/>
                <w:sz w:val="18"/>
                <w:szCs w:val="18"/>
              </w:rPr>
              <m:t>R</m:t>
            </m:r>
          </m:e>
          <m:sub>
            <m:r>
              <m:rPr>
                <m:sty m:val="p"/>
              </m:rPr>
              <w:rPr>
                <w:rFonts w:eastAsia="黑体" w:hint="default"/>
                <w:sz w:val="18"/>
                <w:szCs w:val="18"/>
              </w:rPr>
              <m:t>j</m:t>
            </m:r>
          </m:sub>
        </m:sSub>
      </m:oMath>
      <w:r>
        <w:rPr>
          <w:rFonts w:eastAsia="黑体" w:hint="default"/>
          <w:sz w:val="18"/>
          <w:szCs w:val="18"/>
        </w:rPr>
        <w:t xml:space="preserve">, and </w:t>
      </w:r>
      <m:oMath>
        <m:sSub>
          <m:sSubPr>
            <m:ctrlPr>
              <w:rPr>
                <w:rFonts w:ascii="Cambria Math" w:eastAsia="黑体" w:hAnsi="Cambria Math" w:hint="default"/>
                <w:sz w:val="18"/>
                <w:szCs w:val="18"/>
              </w:rPr>
            </m:ctrlPr>
          </m:sSubPr>
          <m:e>
            <m:r>
              <m:rPr>
                <m:sty m:val="p"/>
              </m:rPr>
              <w:rPr>
                <w:rFonts w:eastAsia="黑体" w:hint="default"/>
                <w:sz w:val="18"/>
                <w:szCs w:val="18"/>
              </w:rPr>
              <m:t>R</m:t>
            </m:r>
          </m:e>
          <m:sub>
            <m:r>
              <m:rPr>
                <m:sty m:val="p"/>
              </m:rPr>
              <w:rPr>
                <w:rFonts w:eastAsia="黑体" w:hint="default"/>
                <w:sz w:val="18"/>
                <w:szCs w:val="18"/>
              </w:rPr>
              <m:t>k</m:t>
            </m:r>
          </m:sub>
        </m:sSub>
      </m:oMath>
      <w:r>
        <w:rPr>
          <w:rFonts w:eastAsia="黑体" w:hint="default"/>
          <w:sz w:val="18"/>
          <w:szCs w:val="18"/>
        </w:rPr>
        <w:t xml:space="preserve"> represent the soil spectral reflectances at wavelengths </w:t>
      </w:r>
      <m:oMath>
        <m:r>
          <m:rPr>
            <m:sty m:val="p"/>
          </m:rPr>
          <w:rPr>
            <w:rFonts w:eastAsia="黑体" w:hint="default"/>
            <w:sz w:val="18"/>
            <w:szCs w:val="18"/>
          </w:rPr>
          <m:t>i</m:t>
        </m:r>
      </m:oMath>
      <w:r>
        <w:rPr>
          <w:rFonts w:eastAsia="黑体" w:hint="default"/>
          <w:sz w:val="18"/>
          <w:szCs w:val="18"/>
        </w:rPr>
        <w:t xml:space="preserve">, </w:t>
      </w:r>
      <m:oMath>
        <m:r>
          <m:rPr>
            <m:sty m:val="p"/>
          </m:rPr>
          <w:rPr>
            <w:rFonts w:eastAsia="黑体" w:hint="default"/>
            <w:sz w:val="18"/>
            <w:szCs w:val="18"/>
          </w:rPr>
          <m:t>j</m:t>
        </m:r>
      </m:oMath>
      <w:r>
        <w:rPr>
          <w:rFonts w:eastAsia="黑体" w:hint="default"/>
          <w:sz w:val="18"/>
          <w:szCs w:val="18"/>
        </w:rPr>
        <w:t xml:space="preserve">, and </w:t>
      </w:r>
      <m:oMath>
        <m:r>
          <m:rPr>
            <m:sty m:val="p"/>
          </m:rPr>
          <w:rPr>
            <w:rFonts w:eastAsia="黑体" w:hint="default"/>
            <w:sz w:val="18"/>
            <w:szCs w:val="18"/>
          </w:rPr>
          <m:t>k</m:t>
        </m:r>
      </m:oMath>
      <w:r>
        <w:rPr>
          <w:rFonts w:eastAsia="黑体" w:hint="default"/>
          <w:sz w:val="18"/>
          <w:szCs w:val="18"/>
        </w:rPr>
        <w:t xml:space="preserve"> between 400 and 1000 nm, where </w:t>
      </w:r>
      <m:oMath>
        <m:r>
          <m:rPr>
            <m:sty m:val="p"/>
          </m:rPr>
          <w:rPr>
            <w:rFonts w:eastAsia="黑体" w:hint="default"/>
            <w:sz w:val="18"/>
            <w:szCs w:val="18"/>
          </w:rPr>
          <m:t>i≠j≠k</m:t>
        </m:r>
      </m:oMath>
      <w:r>
        <w:rPr>
          <w:rFonts w:eastAsia="黑体" w:hint="default"/>
          <w:sz w:val="18"/>
          <w:szCs w:val="18"/>
        </w:rPr>
        <w:t>.</w:t>
      </w:r>
    </w:p>
    <w:p w14:paraId="3BD7D360" w14:textId="77777777" w:rsidR="00C83319" w:rsidRDefault="00000000">
      <w:pPr>
        <w:pStyle w:val="2"/>
      </w:pPr>
      <w:r>
        <w:t>模型构建与精度评价</w:t>
      </w:r>
    </w:p>
    <w:p w14:paraId="61D4DB8C" w14:textId="77777777" w:rsidR="00C83319" w:rsidRDefault="00000000">
      <w:pPr>
        <w:pStyle w:val="3"/>
        <w:rPr>
          <w:rFonts w:hint="eastAsia"/>
        </w:rPr>
      </w:pPr>
      <w:r>
        <w:rPr>
          <w:rFonts w:hint="eastAsia"/>
        </w:rPr>
        <w:t>单阶次模型构建</w:t>
      </w:r>
    </w:p>
    <w:p w14:paraId="3DF76340" w14:textId="6374739C" w:rsidR="00C83319" w:rsidRDefault="00000000">
      <w:pPr>
        <w:pStyle w:val="15"/>
        <w:rPr>
          <w:rFonts w:hint="default"/>
        </w:rPr>
      </w:pPr>
      <w:r>
        <w:rPr>
          <w:rFonts w:hint="default"/>
        </w:rPr>
        <w:t>本研究分别采用</w:t>
      </w:r>
      <w:r>
        <w:rPr>
          <w:rFonts w:hint="default"/>
        </w:rPr>
        <w:t>PLSR</w:t>
      </w:r>
      <w:r>
        <w:rPr>
          <w:rFonts w:hint="default"/>
        </w:rPr>
        <w:t>、</w:t>
      </w:r>
      <w:r>
        <w:rPr>
          <w:rFonts w:hint="default"/>
        </w:rPr>
        <w:t>SVM</w:t>
      </w:r>
      <w:r>
        <w:rPr>
          <w:rFonts w:hint="default"/>
        </w:rPr>
        <w:t>、</w:t>
      </w:r>
      <w:r>
        <w:rPr>
          <w:rFonts w:hint="default"/>
        </w:rPr>
        <w:t>RF</w:t>
      </w:r>
      <w:r>
        <w:rPr>
          <w:rFonts w:hint="default"/>
        </w:rPr>
        <w:t>和</w:t>
      </w:r>
      <w:r>
        <w:rPr>
          <w:rFonts w:hint="default"/>
        </w:rPr>
        <w:t>XGBoost</w:t>
      </w:r>
      <w:r>
        <w:rPr>
          <w:rFonts w:hint="default"/>
        </w:rPr>
        <w:t>模型进行土壤盐分反演。</w:t>
      </w:r>
      <w:r>
        <w:rPr>
          <w:rFonts w:hint="default"/>
        </w:rPr>
        <w:t>PLSR</w:t>
      </w:r>
      <w:r>
        <w:rPr>
          <w:rFonts w:hint="default"/>
        </w:rPr>
        <w:t>是一种基于潜在变量的线性回归方法，能够在高维、多重共线性较强的光谱数据中提取与盐分含量最相关的潜在成分，并建立线性回归关系</w:t>
      </w:r>
      <w:r>
        <w:rPr>
          <w:rFonts w:hint="default"/>
          <w:vertAlign w:val="superscript"/>
        </w:rPr>
        <w:t>[29]</w:t>
      </w:r>
      <w:r>
        <w:rPr>
          <w:rFonts w:hint="default"/>
        </w:rPr>
        <w:t>。</w:t>
      </w:r>
      <w:r>
        <w:rPr>
          <w:rFonts w:hint="default"/>
        </w:rPr>
        <w:t>SVM</w:t>
      </w:r>
      <w:r>
        <w:rPr>
          <w:rFonts w:hint="default"/>
        </w:rPr>
        <w:t>通过核函数将原始数据映射到高维特征空间，并在该空间中找到一个最优超平面，以实现数据回归拟合</w:t>
      </w:r>
      <w:r>
        <w:rPr>
          <w:rFonts w:hint="default"/>
          <w:vertAlign w:val="superscript"/>
        </w:rPr>
        <w:t>[30]</w:t>
      </w:r>
      <w:r>
        <w:rPr>
          <w:rFonts w:hint="default"/>
        </w:rPr>
        <w:t>。</w:t>
      </w:r>
      <w:r>
        <w:rPr>
          <w:rFonts w:hint="default"/>
        </w:rPr>
        <w:t>RF</w:t>
      </w:r>
      <w:r>
        <w:rPr>
          <w:rFonts w:hint="default"/>
        </w:rPr>
        <w:t>是一种集成学习算法，通过构建多个决策树并取其平均结果进行预测，在处理高维数据和非线性问题时表现出色，且对数据中的异常值和噪声不敏感</w:t>
      </w:r>
      <w:r>
        <w:rPr>
          <w:rFonts w:hint="default"/>
          <w:vertAlign w:val="superscript"/>
        </w:rPr>
        <w:t>[16]</w:t>
      </w:r>
      <w:r>
        <w:rPr>
          <w:rFonts w:hint="default"/>
        </w:rPr>
        <w:t>。</w:t>
      </w:r>
      <w:r>
        <w:rPr>
          <w:rFonts w:hint="default"/>
        </w:rPr>
        <w:t>XGBoost</w:t>
      </w:r>
      <w:r>
        <w:rPr>
          <w:rFonts w:hint="default"/>
        </w:rPr>
        <w:t>是一种通过串行构建决策树来不断拟合前序模型残差的集成算法，并利用内置的</w:t>
      </w:r>
      <w:proofErr w:type="gramStart"/>
      <w:r>
        <w:rPr>
          <w:rFonts w:hint="default"/>
        </w:rPr>
        <w:t>正则化项来</w:t>
      </w:r>
      <w:proofErr w:type="gramEnd"/>
      <w:r>
        <w:rPr>
          <w:rFonts w:hint="default"/>
        </w:rPr>
        <w:t>有效控制模型复杂度</w:t>
      </w:r>
      <w:r>
        <w:rPr>
          <w:rFonts w:hint="default"/>
          <w:vertAlign w:val="superscript"/>
        </w:rPr>
        <w:t>[31]</w:t>
      </w:r>
      <w:r>
        <w:rPr>
          <w:rFonts w:hint="default"/>
        </w:rPr>
        <w:t>。上述</w:t>
      </w:r>
      <w:r>
        <w:rPr>
          <w:rFonts w:hint="default"/>
        </w:rPr>
        <w:t>4</w:t>
      </w:r>
      <w:r>
        <w:rPr>
          <w:rFonts w:hint="default"/>
        </w:rPr>
        <w:t>种模型均采用</w:t>
      </w:r>
      <w:r>
        <w:rPr>
          <w:rFonts w:hint="default"/>
        </w:rPr>
        <w:t>Optuna</w:t>
      </w:r>
      <w:r>
        <w:rPr>
          <w:rFonts w:hint="default"/>
        </w:rPr>
        <w:t>框架基于</w:t>
      </w:r>
      <w:r>
        <w:rPr>
          <w:rFonts w:hint="default"/>
        </w:rPr>
        <w:t>TPE</w:t>
      </w:r>
      <w:r>
        <w:rPr>
          <w:rFonts w:hint="default"/>
        </w:rPr>
        <w:t>（</w:t>
      </w:r>
      <w:r>
        <w:rPr>
          <w:rFonts w:hint="default"/>
        </w:rPr>
        <w:t>Tree-structured Parzen Estimator</w:t>
      </w:r>
      <w:r>
        <w:rPr>
          <w:rFonts w:hint="default"/>
        </w:rPr>
        <w:t>）采样策略结合五折交叉验证进行超参数优化</w:t>
      </w:r>
      <w:r>
        <w:rPr>
          <w:rFonts w:hint="default"/>
          <w:vertAlign w:val="superscript"/>
        </w:rPr>
        <w:t>[32]</w:t>
      </w:r>
      <w:r>
        <w:rPr>
          <w:rFonts w:hint="default"/>
        </w:rPr>
        <w:t>。在每个</w:t>
      </w:r>
      <w:r>
        <w:rPr>
          <w:rFonts w:hint="default"/>
        </w:rPr>
        <w:t>FOD</w:t>
      </w:r>
      <w:r>
        <w:rPr>
          <w:rFonts w:hint="default"/>
        </w:rPr>
        <w:t>阶次下，以该阶次优选的</w:t>
      </w:r>
      <w:r>
        <w:rPr>
          <w:rFonts w:hint="default"/>
        </w:rPr>
        <w:t>9</w:t>
      </w:r>
      <w:r>
        <w:rPr>
          <w:rFonts w:hint="default"/>
        </w:rPr>
        <w:t>个光谱指数作为输入特征，分别构建</w:t>
      </w:r>
      <w:r>
        <w:rPr>
          <w:rFonts w:hint="default"/>
        </w:rPr>
        <w:t>4</w:t>
      </w:r>
      <w:r>
        <w:rPr>
          <w:rFonts w:hint="default"/>
        </w:rPr>
        <w:t>种模型并比较其反演性能。</w:t>
      </w:r>
    </w:p>
    <w:p w14:paraId="56A75C79" w14:textId="77777777" w:rsidR="00C83319" w:rsidRDefault="00000000">
      <w:pPr>
        <w:pStyle w:val="3"/>
        <w:rPr>
          <w:rFonts w:hint="eastAsia"/>
        </w:rPr>
      </w:pPr>
      <w:r>
        <w:rPr>
          <w:rFonts w:hint="eastAsia"/>
        </w:rPr>
        <w:t>多阶次组合模型构建</w:t>
      </w:r>
    </w:p>
    <w:p w14:paraId="6D938012" w14:textId="77777777" w:rsidR="00C83319" w:rsidRDefault="00000000">
      <w:pPr>
        <w:pStyle w:val="15"/>
        <w:rPr>
          <w:rFonts w:hint="default"/>
        </w:rPr>
      </w:pPr>
      <w:r>
        <w:rPr>
          <w:rFonts w:hint="default"/>
        </w:rPr>
        <w:t>为进一步验证多阶次</w:t>
      </w:r>
      <w:r>
        <w:rPr>
          <w:rFonts w:hint="default"/>
        </w:rPr>
        <w:t>FOD</w:t>
      </w:r>
      <w:r>
        <w:rPr>
          <w:rFonts w:hint="default"/>
        </w:rPr>
        <w:t>光谱指数组合建模的适用性，本研究从</w:t>
      </w:r>
      <w:r>
        <w:rPr>
          <w:rFonts w:hint="default"/>
        </w:rPr>
        <w:t>0.2</w:t>
      </w:r>
      <m:oMath>
        <m:r>
          <m:rPr>
            <m:sty m:val="p"/>
          </m:rPr>
          <w:rPr>
            <w:rFonts w:ascii="Cambria Math" w:hAnsi="Cambria Math" w:hint="default"/>
          </w:rPr>
          <m:t>∼</m:t>
        </m:r>
      </m:oMath>
      <w:r>
        <w:rPr>
          <w:rFonts w:hint="default"/>
        </w:rPr>
        <w:t>2.0</w:t>
      </w:r>
      <w:proofErr w:type="gramStart"/>
      <w:r>
        <w:rPr>
          <w:rFonts w:hint="default"/>
        </w:rPr>
        <w:t>阶共</w:t>
      </w:r>
      <w:r>
        <w:rPr>
          <w:rFonts w:hint="default"/>
        </w:rPr>
        <w:t>10</w:t>
      </w:r>
      <w:r>
        <w:rPr>
          <w:rFonts w:hint="default"/>
        </w:rPr>
        <w:t>个</w:t>
      </w:r>
      <w:proofErr w:type="gramEnd"/>
      <w:r>
        <w:rPr>
          <w:rFonts w:hint="default"/>
        </w:rPr>
        <w:t>阶次中遍历所有组合（共</w:t>
      </w:r>
      <w:r>
        <w:rPr>
          <w:rFonts w:hint="default"/>
        </w:rPr>
        <w:t>1023</w:t>
      </w:r>
      <w:r>
        <w:rPr>
          <w:rFonts w:hint="default"/>
        </w:rPr>
        <w:t>种）。对于每种组合，首先在各阶次内依据</w:t>
      </w:r>
      <w:r>
        <w:rPr>
          <w:rFonts w:hint="default"/>
        </w:rPr>
        <w:t>Pearson</w:t>
      </w:r>
      <w:r>
        <w:rPr>
          <w:rFonts w:hint="default"/>
        </w:rPr>
        <w:t>相关系数筛选光谱指数以控制总特征维度。然后，由于不同阶次</w:t>
      </w:r>
      <w:r>
        <w:rPr>
          <w:rFonts w:hint="default"/>
        </w:rPr>
        <w:t>FOD</w:t>
      </w:r>
      <w:r>
        <w:rPr>
          <w:rFonts w:hint="default"/>
        </w:rPr>
        <w:t>变换后光谱指数的数值范围存在差异，对各阶次筛选后的光谱指数分别进行</w:t>
      </w:r>
      <w:r>
        <w:rPr>
          <w:rFonts w:hint="default"/>
        </w:rPr>
        <w:t>Z-score</w:t>
      </w:r>
      <w:r>
        <w:rPr>
          <w:rFonts w:hint="default"/>
        </w:rPr>
        <w:t>标准化后横向拼接作为输入特征，采用单阶次实验中表现最优的模型结合</w:t>
      </w:r>
      <w:r>
        <w:rPr>
          <w:rFonts w:hint="default"/>
        </w:rPr>
        <w:t>Optuna</w:t>
      </w:r>
      <w:r>
        <w:rPr>
          <w:rFonts w:hint="default"/>
        </w:rPr>
        <w:t>进行建模与调参。</w:t>
      </w:r>
    </w:p>
    <w:p w14:paraId="4EA524E1" w14:textId="77777777" w:rsidR="00C83319" w:rsidRDefault="00000000">
      <w:pPr>
        <w:pStyle w:val="3"/>
        <w:rPr>
          <w:rFonts w:hint="eastAsia"/>
        </w:rPr>
      </w:pPr>
      <w:r>
        <w:rPr>
          <w:rFonts w:hint="eastAsia"/>
        </w:rPr>
        <w:t>精度评价指标</w:t>
      </w:r>
    </w:p>
    <w:p w14:paraId="3084ACC6" w14:textId="77777777" w:rsidR="00C83319" w:rsidRDefault="00000000">
      <w:pPr>
        <w:ind w:firstLineChars="200" w:firstLine="420"/>
        <w:rPr>
          <w:rFonts w:ascii="Times New Roman" w:hAnsi="Times New Roman"/>
          <w:szCs w:val="21"/>
        </w:rPr>
      </w:pPr>
      <w:r>
        <w:rPr>
          <w:rFonts w:ascii="Times New Roman" w:hAnsi="Times New Roman" w:hint="eastAsia"/>
          <w:szCs w:val="21"/>
        </w:rPr>
        <w:t>为确保训练集和测试集样本数据范围基本一致且分布均匀，本研究采用分层抽样</w:t>
      </w:r>
      <w:proofErr w:type="gramStart"/>
      <w:r>
        <w:rPr>
          <w:rFonts w:ascii="Times New Roman" w:hAnsi="Times New Roman" w:hint="eastAsia"/>
          <w:szCs w:val="21"/>
        </w:rPr>
        <w:t>法按照</w:t>
      </w:r>
      <w:proofErr w:type="gramEnd"/>
      <w:r>
        <w:rPr>
          <w:rFonts w:ascii="Times New Roman" w:hAnsi="Times New Roman" w:hint="eastAsia"/>
          <w:szCs w:val="21"/>
        </w:rPr>
        <w:t>2:1</w:t>
      </w:r>
      <w:r>
        <w:rPr>
          <w:rFonts w:ascii="Times New Roman" w:hAnsi="Times New Roman" w:hint="eastAsia"/>
          <w:szCs w:val="21"/>
        </w:rPr>
        <w:t>的比例划分训练与测试集。采用决定系数（</w:t>
      </w:r>
      <w:r>
        <w:rPr>
          <w:rFonts w:ascii="Times New Roman" w:hAnsi="Times New Roman" w:hint="eastAsia"/>
          <w:szCs w:val="21"/>
        </w:rPr>
        <w:t>coefficient of determination</w:t>
      </w:r>
      <w:r>
        <w:rPr>
          <w:rFonts w:ascii="Times New Roman" w:hAnsi="Times New Roman" w:hint="eastAsia"/>
          <w:szCs w:val="21"/>
        </w:rPr>
        <w:t>，</w:t>
      </w:r>
      <m:oMath>
        <m:sSup>
          <m:sSupPr>
            <m:ctrlPr>
              <w:rPr>
                <w:rFonts w:ascii="Cambria Math" w:hAnsi="Cambria Math" w:hint="eastAsia"/>
                <w:szCs w:val="21"/>
              </w:rPr>
            </m:ctrlPr>
          </m:sSupPr>
          <m:e>
            <m:r>
              <m:rPr>
                <m:sty m:val="p"/>
              </m:rPr>
              <w:rPr>
                <w:rFonts w:ascii="Times New Roman" w:hAnsi="Times New Roman" w:hint="eastAsia"/>
                <w:szCs w:val="21"/>
              </w:rPr>
              <m:t>R</m:t>
            </m:r>
          </m:e>
          <m:sup>
            <m:r>
              <m:rPr>
                <m:sty m:val="p"/>
              </m:rPr>
              <w:rPr>
                <w:rFonts w:ascii="Times New Roman" w:hAnsi="Times New Roman" w:hint="eastAsia"/>
                <w:szCs w:val="21"/>
              </w:rPr>
              <m:t>2</m:t>
            </m:r>
          </m:sup>
        </m:sSup>
      </m:oMath>
      <w:r>
        <w:rPr>
          <w:rFonts w:ascii="Times New Roman" w:hAnsi="Times New Roman" w:hint="eastAsia"/>
          <w:szCs w:val="21"/>
        </w:rPr>
        <w:t>）、均方根误差（</w:t>
      </w:r>
      <w:r>
        <w:rPr>
          <w:rFonts w:ascii="Times New Roman" w:hAnsi="Times New Roman" w:hint="eastAsia"/>
          <w:szCs w:val="21"/>
        </w:rPr>
        <w:t>root mean square error</w:t>
      </w:r>
      <w:r>
        <w:rPr>
          <w:rFonts w:ascii="Times New Roman" w:hAnsi="Times New Roman" w:hint="eastAsia"/>
          <w:szCs w:val="21"/>
        </w:rPr>
        <w:t>，</w:t>
      </w:r>
      <w:r>
        <w:rPr>
          <w:rFonts w:ascii="Times New Roman" w:hAnsi="Times New Roman" w:hint="eastAsia"/>
          <w:szCs w:val="21"/>
        </w:rPr>
        <w:t>RMSE</w:t>
      </w:r>
      <w:r>
        <w:rPr>
          <w:rFonts w:ascii="Times New Roman" w:hAnsi="Times New Roman" w:hint="eastAsia"/>
          <w:szCs w:val="21"/>
        </w:rPr>
        <w:t>）和相对分析误差（</w:t>
      </w:r>
      <w:r>
        <w:rPr>
          <w:rFonts w:ascii="Times New Roman" w:hAnsi="Times New Roman" w:hint="eastAsia"/>
          <w:szCs w:val="21"/>
        </w:rPr>
        <w:t>relative performance deviation</w:t>
      </w:r>
      <w:r>
        <w:rPr>
          <w:rFonts w:ascii="Times New Roman" w:hAnsi="Times New Roman" w:hint="eastAsia"/>
          <w:szCs w:val="21"/>
        </w:rPr>
        <w:t>，</w:t>
      </w:r>
      <w:r>
        <w:rPr>
          <w:rFonts w:ascii="Times New Roman" w:hAnsi="Times New Roman" w:hint="eastAsia"/>
          <w:szCs w:val="21"/>
        </w:rPr>
        <w:t>RPD</w:t>
      </w:r>
      <w:r>
        <w:rPr>
          <w:rFonts w:ascii="Times New Roman" w:hAnsi="Times New Roman" w:hint="eastAsia"/>
          <w:szCs w:val="21"/>
        </w:rPr>
        <w:t>）对模型的精度进行评价</w:t>
      </w:r>
      <w:r>
        <w:rPr>
          <w:rFonts w:ascii="Times New Roman" w:hAnsi="Times New Roman" w:hint="eastAsia"/>
          <w:szCs w:val="21"/>
          <w:vertAlign w:val="superscript"/>
        </w:rPr>
        <w:t>[22]</w:t>
      </w:r>
      <w:r>
        <w:rPr>
          <w:rFonts w:ascii="Times New Roman" w:hAnsi="Times New Roman" w:hint="eastAsia"/>
          <w:szCs w:val="21"/>
        </w:rPr>
        <w:t>。</w:t>
      </w:r>
      <m:oMath>
        <m:sSup>
          <m:sSupPr>
            <m:ctrlPr>
              <w:rPr>
                <w:rFonts w:ascii="Cambria Math" w:hAnsi="Cambria Math" w:hint="eastAsia"/>
                <w:szCs w:val="21"/>
              </w:rPr>
            </m:ctrlPr>
          </m:sSupPr>
          <m:e>
            <m:r>
              <m:rPr>
                <m:sty m:val="p"/>
              </m:rPr>
              <w:rPr>
                <w:rFonts w:ascii="Times New Roman" w:hAnsi="Times New Roman" w:hint="eastAsia"/>
                <w:szCs w:val="21"/>
              </w:rPr>
              <m:t>R</m:t>
            </m:r>
          </m:e>
          <m:sup>
            <m:r>
              <m:rPr>
                <m:sty m:val="p"/>
              </m:rPr>
              <w:rPr>
                <w:rFonts w:ascii="Times New Roman" w:hAnsi="Times New Roman" w:hint="eastAsia"/>
                <w:szCs w:val="21"/>
              </w:rPr>
              <m:t>2</m:t>
            </m:r>
          </m:sup>
        </m:sSup>
      </m:oMath>
      <w:r>
        <w:rPr>
          <w:rFonts w:ascii="Times New Roman" w:hAnsi="Times New Roman" w:hint="eastAsia"/>
          <w:szCs w:val="21"/>
        </w:rPr>
        <w:t>越接近</w:t>
      </w:r>
      <w:r>
        <w:rPr>
          <w:rFonts w:ascii="Times New Roman" w:hAnsi="Times New Roman" w:hint="eastAsia"/>
          <w:szCs w:val="21"/>
        </w:rPr>
        <w:t>1</w:t>
      </w:r>
      <w:r>
        <w:rPr>
          <w:rFonts w:ascii="Times New Roman" w:hAnsi="Times New Roman" w:hint="eastAsia"/>
          <w:szCs w:val="21"/>
        </w:rPr>
        <w:t>，</w:t>
      </w:r>
      <w:r>
        <w:rPr>
          <w:rFonts w:ascii="Times New Roman" w:hAnsi="Times New Roman" w:hint="eastAsia"/>
          <w:szCs w:val="21"/>
        </w:rPr>
        <w:t>RMSE</w:t>
      </w:r>
      <w:r>
        <w:rPr>
          <w:rFonts w:ascii="Times New Roman" w:hAnsi="Times New Roman" w:hint="eastAsia"/>
          <w:szCs w:val="21"/>
        </w:rPr>
        <w:t>越接近</w:t>
      </w:r>
      <w:r>
        <w:rPr>
          <w:rFonts w:ascii="Times New Roman" w:hAnsi="Times New Roman" w:hint="eastAsia"/>
          <w:szCs w:val="21"/>
        </w:rPr>
        <w:t>0</w:t>
      </w:r>
      <w:r>
        <w:rPr>
          <w:rFonts w:ascii="Times New Roman" w:hAnsi="Times New Roman" w:hint="eastAsia"/>
          <w:szCs w:val="21"/>
        </w:rPr>
        <w:t>，</w:t>
      </w:r>
      <w:r>
        <w:rPr>
          <w:rFonts w:ascii="Times New Roman" w:hAnsi="Times New Roman" w:hint="eastAsia"/>
          <w:szCs w:val="21"/>
        </w:rPr>
        <w:t>RPD</w:t>
      </w:r>
      <w:r>
        <w:rPr>
          <w:rFonts w:ascii="Times New Roman" w:hAnsi="Times New Roman" w:hint="eastAsia"/>
          <w:szCs w:val="21"/>
        </w:rPr>
        <w:t>越高，表示模型的反演能力越好。当</w:t>
      </w:r>
      <w:r>
        <w:rPr>
          <w:rFonts w:ascii="Times New Roman" w:hAnsi="Times New Roman" w:hint="eastAsia"/>
          <w:szCs w:val="21"/>
        </w:rPr>
        <w:t>RPD</w:t>
      </w:r>
      <m:oMath>
        <m:r>
          <m:rPr>
            <m:sty m:val="p"/>
          </m:rPr>
          <w:rPr>
            <w:rFonts w:ascii="Times New Roman" w:hAnsi="Times New Roman" w:hint="eastAsia"/>
            <w:szCs w:val="21"/>
          </w:rPr>
          <m:t>≥</m:t>
        </m:r>
      </m:oMath>
      <w:r>
        <w:rPr>
          <w:rFonts w:ascii="Times New Roman" w:hAnsi="Times New Roman" w:hint="eastAsia"/>
          <w:szCs w:val="21"/>
        </w:rPr>
        <w:t>2.0</w:t>
      </w:r>
      <w:r>
        <w:rPr>
          <w:rFonts w:ascii="Times New Roman" w:hAnsi="Times New Roman" w:hint="eastAsia"/>
          <w:szCs w:val="21"/>
        </w:rPr>
        <w:t>时，表明模型具有较好的反演能力；当</w:t>
      </w:r>
      <w:r>
        <w:rPr>
          <w:rFonts w:ascii="Times New Roman" w:hAnsi="Times New Roman" w:hint="eastAsia"/>
          <w:szCs w:val="21"/>
        </w:rPr>
        <w:t>1.4</w:t>
      </w:r>
      <m:oMath>
        <m:r>
          <m:rPr>
            <m:sty m:val="p"/>
          </m:rPr>
          <w:rPr>
            <w:rFonts w:ascii="Times New Roman" w:hAnsi="Times New Roman" w:hint="eastAsia"/>
            <w:szCs w:val="21"/>
          </w:rPr>
          <m:t>≤</m:t>
        </m:r>
      </m:oMath>
      <w:r>
        <w:rPr>
          <w:rFonts w:ascii="Times New Roman" w:hAnsi="Times New Roman" w:hint="eastAsia"/>
          <w:szCs w:val="21"/>
        </w:rPr>
        <w:t>RPD</w:t>
      </w:r>
      <m:oMath>
        <m:r>
          <m:rPr>
            <m:sty m:val="p"/>
          </m:rPr>
          <w:rPr>
            <w:rFonts w:ascii="Times New Roman" w:hAnsi="Times New Roman" w:hint="eastAsia"/>
            <w:szCs w:val="21"/>
          </w:rPr>
          <m:t>&lt;</m:t>
        </m:r>
      </m:oMath>
      <w:r>
        <w:rPr>
          <w:rFonts w:ascii="Times New Roman" w:hAnsi="Times New Roman" w:hint="eastAsia"/>
          <w:szCs w:val="21"/>
        </w:rPr>
        <w:t>2.0</w:t>
      </w:r>
      <w:r>
        <w:rPr>
          <w:rFonts w:ascii="Times New Roman" w:hAnsi="Times New Roman" w:hint="eastAsia"/>
          <w:szCs w:val="21"/>
        </w:rPr>
        <w:t>时，表明模型能进</w:t>
      </w:r>
      <w:r>
        <w:rPr>
          <w:rFonts w:ascii="Times New Roman" w:hAnsi="Times New Roman" w:hint="eastAsia"/>
          <w:szCs w:val="21"/>
        </w:rPr>
        <w:lastRenderedPageBreak/>
        <w:t>行粗略反演；当</w:t>
      </w:r>
      <w:r>
        <w:rPr>
          <w:rFonts w:ascii="Times New Roman" w:hAnsi="Times New Roman" w:hint="eastAsia"/>
          <w:szCs w:val="21"/>
        </w:rPr>
        <w:t>RPD</w:t>
      </w:r>
      <m:oMath>
        <m:r>
          <m:rPr>
            <m:sty m:val="p"/>
          </m:rPr>
          <w:rPr>
            <w:rFonts w:ascii="Times New Roman" w:hAnsi="Times New Roman" w:hint="eastAsia"/>
            <w:szCs w:val="21"/>
          </w:rPr>
          <m:t>&lt;</m:t>
        </m:r>
      </m:oMath>
      <w:r>
        <w:rPr>
          <w:rFonts w:ascii="Times New Roman" w:hAnsi="Times New Roman" w:hint="eastAsia"/>
          <w:szCs w:val="21"/>
        </w:rPr>
        <w:t>1.4</w:t>
      </w:r>
      <w:r>
        <w:rPr>
          <w:rFonts w:ascii="Times New Roman" w:hAnsi="Times New Roman" w:hint="eastAsia"/>
          <w:szCs w:val="21"/>
        </w:rPr>
        <w:t>时，表明模型无法进行可靠反演。</w:t>
      </w:r>
    </w:p>
    <w:p w14:paraId="6CE4E405" w14:textId="77777777" w:rsidR="00C83319" w:rsidRDefault="00000000">
      <w:pPr>
        <w:pStyle w:val="1"/>
      </w:pPr>
      <w:r>
        <w:rPr>
          <w:rFonts w:hint="eastAsia"/>
        </w:rPr>
        <w:t>结果与分析</w:t>
      </w:r>
    </w:p>
    <w:p w14:paraId="240C8795" w14:textId="77777777" w:rsidR="00C83319" w:rsidRDefault="00000000">
      <w:pPr>
        <w:pStyle w:val="2"/>
      </w:pPr>
      <w:r>
        <w:rPr>
          <w:rFonts w:hint="eastAsia"/>
        </w:rPr>
        <w:t>土壤全盐量描述性统计分析</w:t>
      </w:r>
    </w:p>
    <w:p w14:paraId="0FBA2B09" w14:textId="77777777" w:rsidR="00C83319" w:rsidRDefault="00000000">
      <w:pPr>
        <w:ind w:firstLineChars="200" w:firstLine="420"/>
        <w:rPr>
          <w:rFonts w:ascii="Times New Roman" w:hAnsi="Times New Roman"/>
          <w:szCs w:val="21"/>
        </w:rPr>
      </w:pPr>
      <w:r>
        <w:rPr>
          <w:rFonts w:ascii="Times New Roman" w:hAnsi="Times New Roman" w:hint="eastAsia"/>
          <w:szCs w:val="21"/>
        </w:rPr>
        <w:t>研究区采集的土壤样本全盐量描述性统计结果如表</w:t>
      </w:r>
      <w:hyperlink w:anchor="tab:soil_stats">
        <w:r w:rsidR="00C83319">
          <w:rPr>
            <w:rFonts w:ascii="Times New Roman" w:hAnsi="Times New Roman" w:hint="eastAsia"/>
            <w:szCs w:val="21"/>
          </w:rPr>
          <w:t>2</w:t>
        </w:r>
      </w:hyperlink>
      <w:r>
        <w:rPr>
          <w:rFonts w:ascii="Times New Roman" w:hAnsi="Times New Roman" w:hint="eastAsia"/>
          <w:szCs w:val="21"/>
        </w:rPr>
        <w:t>所示。训练集与测试集的全盐量均值分别为</w:t>
      </w:r>
      <w:r>
        <w:rPr>
          <w:rFonts w:ascii="Times New Roman" w:hAnsi="Times New Roman" w:hint="eastAsia"/>
          <w:szCs w:val="21"/>
        </w:rPr>
        <w:t>4.55g/kg</w:t>
      </w:r>
      <w:r>
        <w:rPr>
          <w:rFonts w:ascii="Times New Roman" w:hAnsi="Times New Roman" w:hint="eastAsia"/>
          <w:szCs w:val="21"/>
        </w:rPr>
        <w:t>和</w:t>
      </w:r>
      <w:r>
        <w:rPr>
          <w:rFonts w:ascii="Times New Roman" w:hAnsi="Times New Roman" w:hint="eastAsia"/>
          <w:szCs w:val="21"/>
        </w:rPr>
        <w:t>5.03g/kg</w:t>
      </w:r>
      <w:r>
        <w:rPr>
          <w:rFonts w:ascii="Times New Roman" w:hAnsi="Times New Roman" w:hint="eastAsia"/>
          <w:szCs w:val="21"/>
        </w:rPr>
        <w:t>，变异系数分别为</w:t>
      </w:r>
      <w:r>
        <w:rPr>
          <w:rFonts w:ascii="Times New Roman" w:hAnsi="Times New Roman" w:hint="eastAsia"/>
          <w:szCs w:val="21"/>
        </w:rPr>
        <w:t>67.33%</w:t>
      </w:r>
      <w:r>
        <w:rPr>
          <w:rFonts w:ascii="Times New Roman" w:hAnsi="Times New Roman" w:hint="eastAsia"/>
          <w:szCs w:val="21"/>
        </w:rPr>
        <w:t>和</w:t>
      </w:r>
      <w:r>
        <w:rPr>
          <w:rFonts w:ascii="Times New Roman" w:hAnsi="Times New Roman" w:hint="eastAsia"/>
          <w:szCs w:val="21"/>
        </w:rPr>
        <w:t>59.49%</w:t>
      </w:r>
      <w:r>
        <w:rPr>
          <w:rFonts w:ascii="Times New Roman" w:hAnsi="Times New Roman" w:hint="eastAsia"/>
          <w:szCs w:val="21"/>
        </w:rPr>
        <w:t>。总样本的全盐量均值为</w:t>
      </w:r>
      <w:r>
        <w:rPr>
          <w:rFonts w:ascii="Times New Roman" w:hAnsi="Times New Roman" w:hint="eastAsia"/>
          <w:szCs w:val="21"/>
        </w:rPr>
        <w:t>4.72g/kg</w:t>
      </w:r>
      <w:r>
        <w:rPr>
          <w:rFonts w:ascii="Times New Roman" w:hAnsi="Times New Roman" w:hint="eastAsia"/>
          <w:szCs w:val="21"/>
        </w:rPr>
        <w:t>，变异系数为</w:t>
      </w:r>
      <w:r>
        <w:rPr>
          <w:rFonts w:ascii="Times New Roman" w:hAnsi="Times New Roman" w:hint="eastAsia"/>
          <w:szCs w:val="21"/>
        </w:rPr>
        <w:t>64.21%</w:t>
      </w:r>
      <w:r>
        <w:rPr>
          <w:rFonts w:ascii="Times New Roman" w:hAnsi="Times New Roman" w:hint="eastAsia"/>
          <w:szCs w:val="21"/>
        </w:rPr>
        <w:t>，属中等变异程度。</w:t>
      </w:r>
    </w:p>
    <w:p w14:paraId="7411ABD1" w14:textId="77777777" w:rsidR="00C83319" w:rsidRDefault="00000000">
      <w:pPr>
        <w:pStyle w:val="aff5"/>
      </w:pPr>
      <w:r>
        <w:rPr>
          <w:rFonts w:hint="eastAsia"/>
        </w:rPr>
        <w:t>表</w:t>
      </w:r>
      <w:r>
        <w:rPr>
          <w:rFonts w:hint="eastAsia"/>
        </w:rPr>
        <w:t xml:space="preserve">2 </w:t>
      </w:r>
      <w:r>
        <w:rPr>
          <w:rFonts w:hint="eastAsia"/>
        </w:rPr>
        <w:t>土壤全盐量描述性统计</w:t>
      </w:r>
    </w:p>
    <w:p w14:paraId="64F96FED" w14:textId="77777777" w:rsidR="00C83319" w:rsidRDefault="00000000">
      <w:pPr>
        <w:pStyle w:val="aff5"/>
      </w:pPr>
      <w:r>
        <w:rPr>
          <w:rFonts w:hint="eastAsia"/>
        </w:rPr>
        <w:t>Tab. 2 Descriptive statistics of soil total salt content</w:t>
      </w:r>
    </w:p>
    <w:tbl>
      <w:tblPr>
        <w:tblStyle w:val="Table"/>
        <w:tblW w:w="0" w:type="auto"/>
        <w:jc w:val="center"/>
        <w:tblInd w:w="0" w:type="dxa"/>
        <w:tblLook w:val="04A0" w:firstRow="1" w:lastRow="0" w:firstColumn="1" w:lastColumn="0" w:noHBand="0" w:noVBand="1"/>
        <w:tblCaption w:val="土壤全盐量描述性统计"/>
      </w:tblPr>
      <w:tblGrid>
        <w:gridCol w:w="756"/>
        <w:gridCol w:w="756"/>
        <w:gridCol w:w="1291"/>
        <w:gridCol w:w="1291"/>
        <w:gridCol w:w="1111"/>
        <w:gridCol w:w="1291"/>
        <w:gridCol w:w="1206"/>
      </w:tblGrid>
      <w:tr w:rsidR="00C83319" w14:paraId="05B9E9B5" w14:textId="77777777" w:rsidTr="00C83319">
        <w:trPr>
          <w:cnfStyle w:val="100000000000" w:firstRow="1" w:lastRow="0" w:firstColumn="0" w:lastColumn="0" w:oddVBand="0" w:evenVBand="0" w:oddHBand="0" w:evenHBand="0" w:firstRowFirstColumn="0" w:firstRowLastColumn="0" w:lastRowFirstColumn="0" w:lastRowLastColumn="0"/>
          <w:jc w:val="center"/>
        </w:trPr>
        <w:tc>
          <w:tcPr>
            <w:tcW w:w="0" w:type="auto"/>
            <w:tcBorders>
              <w:top w:val="single" w:sz="12" w:space="0" w:color="000000"/>
              <w:left w:val="nil"/>
              <w:bottom w:val="single" w:sz="4" w:space="0" w:color="000000"/>
              <w:right w:val="nil"/>
              <w:tl2br w:val="nil"/>
            </w:tcBorders>
            <w:shd w:val="clear" w:color="auto" w:fill="FFFFFF"/>
            <w:vAlign w:val="center"/>
          </w:tcPr>
          <w:p w14:paraId="5047D2CE" w14:textId="77777777" w:rsidR="00C83319" w:rsidRDefault="00000000">
            <w:pPr>
              <w:jc w:val="center"/>
              <w:rPr>
                <w:rFonts w:ascii="Times New Roman" w:hAnsi="Times New Roman"/>
                <w:color w:val="000000"/>
                <w:sz w:val="18"/>
                <w:szCs w:val="18"/>
              </w:rPr>
            </w:pPr>
            <w:bookmarkStart w:id="7" w:name="tab:soil_stats"/>
            <w:bookmarkEnd w:id="7"/>
            <w:r>
              <w:rPr>
                <w:rFonts w:ascii="Times New Roman" w:hAnsi="Times New Roman"/>
                <w:color w:val="000000"/>
                <w:sz w:val="18"/>
                <w:szCs w:val="18"/>
              </w:rPr>
              <w:t>数据集</w:t>
            </w:r>
          </w:p>
        </w:tc>
        <w:tc>
          <w:tcPr>
            <w:tcW w:w="0" w:type="auto"/>
            <w:tcBorders>
              <w:top w:val="single" w:sz="12" w:space="0" w:color="000000"/>
              <w:left w:val="nil"/>
              <w:bottom w:val="single" w:sz="4" w:space="0" w:color="000000"/>
              <w:right w:val="nil"/>
            </w:tcBorders>
            <w:shd w:val="clear" w:color="auto" w:fill="FFFFFF"/>
            <w:vAlign w:val="center"/>
          </w:tcPr>
          <w:p w14:paraId="6E6EFE67" w14:textId="77777777" w:rsidR="00C83319" w:rsidRDefault="00000000">
            <w:pPr>
              <w:jc w:val="center"/>
              <w:rPr>
                <w:rFonts w:ascii="Times New Roman" w:hAnsi="Times New Roman"/>
                <w:color w:val="000000"/>
                <w:sz w:val="18"/>
                <w:szCs w:val="18"/>
              </w:rPr>
            </w:pPr>
            <w:r>
              <w:rPr>
                <w:rFonts w:ascii="Times New Roman" w:hAnsi="Times New Roman"/>
                <w:color w:val="000000"/>
                <w:sz w:val="18"/>
                <w:szCs w:val="18"/>
              </w:rPr>
              <w:t>样本数</w:t>
            </w:r>
          </w:p>
        </w:tc>
        <w:tc>
          <w:tcPr>
            <w:tcW w:w="0" w:type="auto"/>
            <w:tcBorders>
              <w:top w:val="single" w:sz="12" w:space="0" w:color="000000"/>
              <w:left w:val="nil"/>
              <w:bottom w:val="single" w:sz="4" w:space="0" w:color="000000"/>
              <w:right w:val="nil"/>
            </w:tcBorders>
            <w:shd w:val="clear" w:color="auto" w:fill="FFFFFF"/>
            <w:vAlign w:val="center"/>
          </w:tcPr>
          <w:p w14:paraId="33229FE4" w14:textId="77777777" w:rsidR="00C83319" w:rsidRDefault="00000000">
            <w:pPr>
              <w:jc w:val="center"/>
              <w:rPr>
                <w:rFonts w:ascii="Times New Roman" w:hAnsi="Times New Roman"/>
                <w:color w:val="000000"/>
                <w:sz w:val="18"/>
                <w:szCs w:val="18"/>
              </w:rPr>
            </w:pPr>
            <w:r>
              <w:rPr>
                <w:rFonts w:ascii="Times New Roman" w:hAnsi="Times New Roman"/>
                <w:color w:val="000000"/>
                <w:sz w:val="18"/>
                <w:szCs w:val="18"/>
              </w:rPr>
              <w:t>最大值</w:t>
            </w:r>
            <w:r>
              <w:rPr>
                <w:rFonts w:ascii="Times New Roman" w:hAnsi="Times New Roman" w:hint="eastAsia"/>
                <w:color w:val="000000"/>
                <w:sz w:val="18"/>
                <w:szCs w:val="18"/>
              </w:rPr>
              <w:t>(g</w:t>
            </w:r>
            <m:oMath>
              <m:r>
                <w:rPr>
                  <w:rFonts w:ascii="Cambria Math" w:hAnsi="Cambria Math"/>
                  <w:color w:val="000000"/>
                  <w:sz w:val="18"/>
                  <w:szCs w:val="18"/>
                </w:rPr>
                <m:t>∙</m:t>
              </m:r>
            </m:oMath>
            <w:r>
              <w:rPr>
                <w:rFonts w:ascii="Times New Roman" w:hAnsi="Times New Roman"/>
                <w:color w:val="000000"/>
                <w:sz w:val="18"/>
                <w:szCs w:val="18"/>
              </w:rPr>
              <w:t>kg</w:t>
            </w:r>
            <w:r>
              <w:rPr>
                <w:rFonts w:ascii="Times New Roman" w:hAnsi="Times New Roman"/>
                <w:color w:val="000000"/>
                <w:sz w:val="18"/>
                <w:szCs w:val="18"/>
                <w:vertAlign w:val="superscript"/>
              </w:rPr>
              <w:t>-1</w:t>
            </w:r>
            <w:r>
              <w:rPr>
                <w:rFonts w:ascii="Times New Roman" w:hAnsi="Times New Roman" w:hint="eastAsia"/>
                <w:color w:val="000000"/>
                <w:sz w:val="18"/>
                <w:szCs w:val="18"/>
              </w:rPr>
              <w:t>)</w:t>
            </w:r>
          </w:p>
        </w:tc>
        <w:tc>
          <w:tcPr>
            <w:tcW w:w="0" w:type="auto"/>
            <w:tcBorders>
              <w:top w:val="single" w:sz="12" w:space="0" w:color="000000"/>
              <w:left w:val="nil"/>
              <w:bottom w:val="single" w:sz="4" w:space="0" w:color="000000"/>
              <w:right w:val="nil"/>
            </w:tcBorders>
            <w:shd w:val="clear" w:color="auto" w:fill="FFFFFF"/>
            <w:vAlign w:val="center"/>
          </w:tcPr>
          <w:p w14:paraId="525CCC03" w14:textId="77777777" w:rsidR="00C83319" w:rsidRDefault="00000000">
            <w:pPr>
              <w:jc w:val="center"/>
              <w:rPr>
                <w:rFonts w:ascii="Times New Roman" w:hAnsi="Times New Roman"/>
                <w:color w:val="000000"/>
                <w:sz w:val="18"/>
                <w:szCs w:val="18"/>
              </w:rPr>
            </w:pPr>
            <w:r>
              <w:rPr>
                <w:rFonts w:ascii="Times New Roman" w:hAnsi="Times New Roman"/>
                <w:color w:val="000000"/>
                <w:sz w:val="18"/>
                <w:szCs w:val="18"/>
              </w:rPr>
              <w:t>最小值</w:t>
            </w:r>
            <w:r>
              <w:rPr>
                <w:rFonts w:ascii="Times New Roman" w:hAnsi="Times New Roman" w:hint="eastAsia"/>
                <w:color w:val="000000"/>
                <w:sz w:val="18"/>
                <w:szCs w:val="18"/>
              </w:rPr>
              <w:t>(g</w:t>
            </w:r>
            <m:oMath>
              <m:r>
                <w:rPr>
                  <w:rFonts w:ascii="Cambria Math" w:hAnsi="Cambria Math"/>
                  <w:color w:val="000000"/>
                  <w:sz w:val="18"/>
                  <w:szCs w:val="18"/>
                </w:rPr>
                <m:t>∙</m:t>
              </m:r>
            </m:oMath>
            <w:r>
              <w:rPr>
                <w:rFonts w:ascii="Times New Roman" w:hAnsi="Times New Roman"/>
                <w:color w:val="000000"/>
                <w:sz w:val="18"/>
                <w:szCs w:val="18"/>
              </w:rPr>
              <w:t>kg</w:t>
            </w:r>
            <w:r>
              <w:rPr>
                <w:rFonts w:ascii="Times New Roman" w:hAnsi="Times New Roman"/>
                <w:color w:val="000000"/>
                <w:sz w:val="18"/>
                <w:szCs w:val="18"/>
                <w:vertAlign w:val="superscript"/>
              </w:rPr>
              <w:t>-1</w:t>
            </w:r>
            <w:r>
              <w:rPr>
                <w:rFonts w:ascii="Times New Roman" w:hAnsi="Times New Roman" w:hint="eastAsia"/>
                <w:color w:val="000000"/>
                <w:sz w:val="18"/>
                <w:szCs w:val="18"/>
              </w:rPr>
              <w:t>)</w:t>
            </w:r>
          </w:p>
        </w:tc>
        <w:tc>
          <w:tcPr>
            <w:tcW w:w="0" w:type="auto"/>
            <w:tcBorders>
              <w:top w:val="single" w:sz="12" w:space="0" w:color="000000"/>
              <w:left w:val="nil"/>
              <w:bottom w:val="single" w:sz="4" w:space="0" w:color="000000"/>
              <w:right w:val="nil"/>
            </w:tcBorders>
            <w:shd w:val="clear" w:color="auto" w:fill="FFFFFF"/>
            <w:vAlign w:val="center"/>
          </w:tcPr>
          <w:p w14:paraId="4D0B754B" w14:textId="77777777" w:rsidR="00C83319" w:rsidRDefault="00000000">
            <w:pPr>
              <w:jc w:val="center"/>
              <w:rPr>
                <w:rFonts w:ascii="Times New Roman" w:hAnsi="Times New Roman"/>
                <w:color w:val="000000"/>
                <w:sz w:val="18"/>
                <w:szCs w:val="18"/>
              </w:rPr>
            </w:pPr>
            <w:r>
              <w:rPr>
                <w:rFonts w:ascii="Times New Roman" w:hAnsi="Times New Roman"/>
                <w:color w:val="000000"/>
                <w:sz w:val="18"/>
                <w:szCs w:val="18"/>
              </w:rPr>
              <w:t>均值</w:t>
            </w:r>
            <w:r>
              <w:rPr>
                <w:rFonts w:ascii="Times New Roman" w:hAnsi="Times New Roman" w:hint="eastAsia"/>
                <w:color w:val="000000"/>
                <w:sz w:val="18"/>
                <w:szCs w:val="18"/>
              </w:rPr>
              <w:t>(g</w:t>
            </w:r>
            <m:oMath>
              <m:r>
                <w:rPr>
                  <w:rFonts w:ascii="Cambria Math" w:hAnsi="Cambria Math"/>
                  <w:color w:val="000000"/>
                  <w:sz w:val="18"/>
                  <w:szCs w:val="18"/>
                </w:rPr>
                <m:t>∙</m:t>
              </m:r>
            </m:oMath>
            <w:r>
              <w:rPr>
                <w:rFonts w:ascii="Times New Roman" w:hAnsi="Times New Roman"/>
                <w:color w:val="000000"/>
                <w:sz w:val="18"/>
                <w:szCs w:val="18"/>
              </w:rPr>
              <w:t>kg</w:t>
            </w:r>
            <w:r>
              <w:rPr>
                <w:rFonts w:ascii="Times New Roman" w:hAnsi="Times New Roman"/>
                <w:color w:val="000000"/>
                <w:sz w:val="18"/>
                <w:szCs w:val="18"/>
                <w:vertAlign w:val="superscript"/>
              </w:rPr>
              <w:t>-1</w:t>
            </w:r>
            <w:r>
              <w:rPr>
                <w:rFonts w:ascii="Times New Roman" w:hAnsi="Times New Roman" w:hint="eastAsia"/>
                <w:color w:val="000000"/>
                <w:sz w:val="18"/>
                <w:szCs w:val="18"/>
              </w:rPr>
              <w:t>)</w:t>
            </w:r>
          </w:p>
        </w:tc>
        <w:tc>
          <w:tcPr>
            <w:tcW w:w="0" w:type="auto"/>
            <w:tcBorders>
              <w:top w:val="single" w:sz="12" w:space="0" w:color="000000"/>
              <w:left w:val="nil"/>
              <w:bottom w:val="single" w:sz="4" w:space="0" w:color="000000"/>
              <w:right w:val="nil"/>
            </w:tcBorders>
            <w:shd w:val="clear" w:color="auto" w:fill="FFFFFF"/>
            <w:vAlign w:val="center"/>
          </w:tcPr>
          <w:p w14:paraId="4B9F8ECB" w14:textId="77777777" w:rsidR="00C83319" w:rsidRDefault="00000000">
            <w:pPr>
              <w:jc w:val="center"/>
              <w:rPr>
                <w:rFonts w:ascii="Times New Roman" w:hAnsi="Times New Roman"/>
                <w:color w:val="000000"/>
                <w:sz w:val="18"/>
                <w:szCs w:val="18"/>
              </w:rPr>
            </w:pPr>
            <w:r>
              <w:rPr>
                <w:rFonts w:ascii="Times New Roman" w:hAnsi="Times New Roman"/>
                <w:color w:val="000000"/>
                <w:sz w:val="18"/>
                <w:szCs w:val="18"/>
              </w:rPr>
              <w:t>标准差</w:t>
            </w:r>
            <w:r>
              <w:rPr>
                <w:rFonts w:ascii="Times New Roman" w:hAnsi="Times New Roman" w:hint="eastAsia"/>
                <w:color w:val="000000"/>
                <w:sz w:val="18"/>
                <w:szCs w:val="18"/>
              </w:rPr>
              <w:t>(g</w:t>
            </w:r>
            <m:oMath>
              <m:r>
                <w:rPr>
                  <w:rFonts w:ascii="Cambria Math" w:hAnsi="Cambria Math"/>
                  <w:color w:val="000000"/>
                  <w:sz w:val="18"/>
                  <w:szCs w:val="18"/>
                </w:rPr>
                <m:t>∙</m:t>
              </m:r>
            </m:oMath>
            <w:r>
              <w:rPr>
                <w:rFonts w:ascii="Times New Roman" w:hAnsi="Times New Roman"/>
                <w:color w:val="000000"/>
                <w:sz w:val="18"/>
                <w:szCs w:val="18"/>
              </w:rPr>
              <w:t>kg</w:t>
            </w:r>
            <w:r>
              <w:rPr>
                <w:rFonts w:ascii="Times New Roman" w:hAnsi="Times New Roman"/>
                <w:color w:val="000000"/>
                <w:sz w:val="18"/>
                <w:szCs w:val="18"/>
                <w:vertAlign w:val="superscript"/>
              </w:rPr>
              <w:t>-1</w:t>
            </w:r>
            <w:r>
              <w:rPr>
                <w:rFonts w:ascii="Times New Roman" w:hAnsi="Times New Roman" w:hint="eastAsia"/>
                <w:color w:val="000000"/>
                <w:sz w:val="18"/>
                <w:szCs w:val="18"/>
              </w:rPr>
              <w:t>)</w:t>
            </w:r>
          </w:p>
        </w:tc>
        <w:tc>
          <w:tcPr>
            <w:tcW w:w="0" w:type="auto"/>
            <w:tcBorders>
              <w:top w:val="single" w:sz="12" w:space="0" w:color="000000"/>
              <w:left w:val="nil"/>
              <w:bottom w:val="single" w:sz="4" w:space="0" w:color="000000"/>
              <w:right w:val="nil"/>
            </w:tcBorders>
            <w:shd w:val="clear" w:color="auto" w:fill="FFFFFF"/>
            <w:vAlign w:val="center"/>
          </w:tcPr>
          <w:p w14:paraId="4335E5B3" w14:textId="77777777" w:rsidR="00C83319" w:rsidRDefault="00000000">
            <w:pPr>
              <w:jc w:val="center"/>
              <w:rPr>
                <w:rFonts w:ascii="Times New Roman" w:hAnsi="Times New Roman"/>
                <w:color w:val="000000"/>
                <w:sz w:val="18"/>
                <w:szCs w:val="18"/>
              </w:rPr>
            </w:pPr>
            <w:r>
              <w:rPr>
                <w:rFonts w:ascii="Times New Roman" w:hAnsi="Times New Roman"/>
                <w:color w:val="000000"/>
                <w:sz w:val="18"/>
                <w:szCs w:val="18"/>
              </w:rPr>
              <w:t>变异系数</w:t>
            </w:r>
            <w:r>
              <w:rPr>
                <w:rFonts w:ascii="Times New Roman" w:hAnsi="Times New Roman" w:hint="eastAsia"/>
                <w:color w:val="000000"/>
                <w:sz w:val="18"/>
                <w:szCs w:val="18"/>
              </w:rPr>
              <w:t>(%)</w:t>
            </w:r>
          </w:p>
        </w:tc>
      </w:tr>
      <w:tr w:rsidR="00C83319" w14:paraId="79347009" w14:textId="77777777" w:rsidTr="00C83319">
        <w:trPr>
          <w:jc w:val="center"/>
        </w:trPr>
        <w:tc>
          <w:tcPr>
            <w:tcW w:w="0" w:type="auto"/>
            <w:tcBorders>
              <w:top w:val="nil"/>
              <w:left w:val="nil"/>
              <w:bottom w:val="nil"/>
              <w:right w:val="nil"/>
            </w:tcBorders>
            <w:shd w:val="clear" w:color="auto" w:fill="FFFFFF"/>
            <w:vAlign w:val="center"/>
          </w:tcPr>
          <w:p w14:paraId="48478AE3" w14:textId="77777777" w:rsidR="00C83319" w:rsidRDefault="00000000">
            <w:pPr>
              <w:jc w:val="center"/>
              <w:rPr>
                <w:rFonts w:ascii="Times New Roman" w:hAnsi="Times New Roman"/>
                <w:color w:val="000000"/>
                <w:sz w:val="18"/>
                <w:szCs w:val="18"/>
              </w:rPr>
            </w:pPr>
            <w:r>
              <w:rPr>
                <w:rFonts w:ascii="Times New Roman" w:hAnsi="Times New Roman"/>
                <w:color w:val="000000"/>
                <w:sz w:val="18"/>
                <w:szCs w:val="18"/>
              </w:rPr>
              <w:t>总样本</w:t>
            </w:r>
          </w:p>
        </w:tc>
        <w:tc>
          <w:tcPr>
            <w:tcW w:w="0" w:type="auto"/>
            <w:tcBorders>
              <w:top w:val="nil"/>
              <w:left w:val="nil"/>
              <w:bottom w:val="nil"/>
              <w:right w:val="nil"/>
            </w:tcBorders>
            <w:shd w:val="clear" w:color="auto" w:fill="FFFFFF"/>
            <w:vAlign w:val="center"/>
          </w:tcPr>
          <w:p w14:paraId="7BA800E6" w14:textId="77777777" w:rsidR="00C83319" w:rsidRDefault="00000000">
            <w:pPr>
              <w:jc w:val="center"/>
              <w:rPr>
                <w:rFonts w:ascii="Times New Roman" w:hAnsi="Times New Roman"/>
                <w:color w:val="000000"/>
                <w:sz w:val="18"/>
                <w:szCs w:val="18"/>
              </w:rPr>
            </w:pPr>
            <w:r>
              <w:rPr>
                <w:rFonts w:ascii="Times New Roman" w:hAnsi="Times New Roman"/>
                <w:color w:val="000000"/>
                <w:sz w:val="18"/>
                <w:szCs w:val="18"/>
              </w:rPr>
              <w:t>68</w:t>
            </w:r>
          </w:p>
        </w:tc>
        <w:tc>
          <w:tcPr>
            <w:tcW w:w="0" w:type="auto"/>
            <w:tcBorders>
              <w:top w:val="nil"/>
              <w:left w:val="nil"/>
              <w:bottom w:val="nil"/>
              <w:right w:val="nil"/>
            </w:tcBorders>
            <w:shd w:val="clear" w:color="auto" w:fill="FFFFFF"/>
            <w:vAlign w:val="center"/>
          </w:tcPr>
          <w:p w14:paraId="773780F8" w14:textId="77777777" w:rsidR="00C83319" w:rsidRDefault="00000000">
            <w:pPr>
              <w:jc w:val="center"/>
              <w:rPr>
                <w:rFonts w:ascii="Times New Roman" w:hAnsi="Times New Roman"/>
                <w:color w:val="000000"/>
                <w:sz w:val="18"/>
                <w:szCs w:val="18"/>
              </w:rPr>
            </w:pPr>
            <w:r>
              <w:rPr>
                <w:rFonts w:ascii="Times New Roman" w:hAnsi="Times New Roman"/>
                <w:color w:val="000000"/>
                <w:sz w:val="18"/>
                <w:szCs w:val="18"/>
              </w:rPr>
              <w:t>12.88</w:t>
            </w:r>
          </w:p>
        </w:tc>
        <w:tc>
          <w:tcPr>
            <w:tcW w:w="0" w:type="auto"/>
            <w:tcBorders>
              <w:top w:val="nil"/>
              <w:left w:val="nil"/>
              <w:bottom w:val="nil"/>
              <w:right w:val="nil"/>
            </w:tcBorders>
            <w:shd w:val="clear" w:color="auto" w:fill="FFFFFF"/>
            <w:vAlign w:val="center"/>
          </w:tcPr>
          <w:p w14:paraId="275BAF65" w14:textId="77777777" w:rsidR="00C83319" w:rsidRDefault="00000000">
            <w:pPr>
              <w:jc w:val="center"/>
              <w:rPr>
                <w:rFonts w:ascii="Times New Roman" w:hAnsi="Times New Roman"/>
                <w:color w:val="000000"/>
                <w:sz w:val="18"/>
                <w:szCs w:val="18"/>
              </w:rPr>
            </w:pPr>
            <w:r>
              <w:rPr>
                <w:rFonts w:ascii="Times New Roman" w:hAnsi="Times New Roman"/>
                <w:color w:val="000000"/>
                <w:sz w:val="18"/>
                <w:szCs w:val="18"/>
              </w:rPr>
              <w:t>1.32</w:t>
            </w:r>
          </w:p>
        </w:tc>
        <w:tc>
          <w:tcPr>
            <w:tcW w:w="0" w:type="auto"/>
            <w:tcBorders>
              <w:top w:val="nil"/>
              <w:left w:val="nil"/>
              <w:bottom w:val="nil"/>
              <w:right w:val="nil"/>
            </w:tcBorders>
            <w:shd w:val="clear" w:color="auto" w:fill="FFFFFF"/>
            <w:vAlign w:val="center"/>
          </w:tcPr>
          <w:p w14:paraId="03646E91" w14:textId="77777777" w:rsidR="00C83319" w:rsidRDefault="00000000">
            <w:pPr>
              <w:jc w:val="center"/>
              <w:rPr>
                <w:rFonts w:ascii="Times New Roman" w:hAnsi="Times New Roman"/>
                <w:color w:val="000000"/>
                <w:sz w:val="18"/>
                <w:szCs w:val="18"/>
              </w:rPr>
            </w:pPr>
            <w:r>
              <w:rPr>
                <w:rFonts w:ascii="Times New Roman" w:hAnsi="Times New Roman"/>
                <w:color w:val="000000"/>
                <w:sz w:val="18"/>
                <w:szCs w:val="18"/>
              </w:rPr>
              <w:t>4.72</w:t>
            </w:r>
          </w:p>
        </w:tc>
        <w:tc>
          <w:tcPr>
            <w:tcW w:w="0" w:type="auto"/>
            <w:tcBorders>
              <w:top w:val="nil"/>
              <w:left w:val="nil"/>
              <w:bottom w:val="nil"/>
              <w:right w:val="nil"/>
            </w:tcBorders>
            <w:shd w:val="clear" w:color="auto" w:fill="FFFFFF"/>
            <w:vAlign w:val="center"/>
          </w:tcPr>
          <w:p w14:paraId="3EF25EFB" w14:textId="77777777" w:rsidR="00C83319" w:rsidRDefault="00000000">
            <w:pPr>
              <w:jc w:val="center"/>
              <w:rPr>
                <w:rFonts w:ascii="Times New Roman" w:hAnsi="Times New Roman"/>
                <w:color w:val="000000"/>
                <w:sz w:val="18"/>
                <w:szCs w:val="18"/>
              </w:rPr>
            </w:pPr>
            <w:r>
              <w:rPr>
                <w:rFonts w:ascii="Times New Roman" w:hAnsi="Times New Roman"/>
                <w:color w:val="000000"/>
                <w:sz w:val="18"/>
                <w:szCs w:val="18"/>
              </w:rPr>
              <w:t>3.03</w:t>
            </w:r>
          </w:p>
        </w:tc>
        <w:tc>
          <w:tcPr>
            <w:tcW w:w="0" w:type="auto"/>
            <w:tcBorders>
              <w:top w:val="nil"/>
              <w:left w:val="nil"/>
              <w:bottom w:val="nil"/>
              <w:right w:val="nil"/>
            </w:tcBorders>
            <w:shd w:val="clear" w:color="auto" w:fill="FFFFFF"/>
            <w:vAlign w:val="center"/>
          </w:tcPr>
          <w:p w14:paraId="7332A6C3" w14:textId="77777777" w:rsidR="00C83319" w:rsidRDefault="00000000">
            <w:pPr>
              <w:jc w:val="center"/>
              <w:rPr>
                <w:rFonts w:ascii="Times New Roman" w:hAnsi="Times New Roman"/>
                <w:color w:val="000000"/>
                <w:sz w:val="18"/>
                <w:szCs w:val="18"/>
              </w:rPr>
            </w:pPr>
            <w:r>
              <w:rPr>
                <w:rFonts w:ascii="Times New Roman" w:hAnsi="Times New Roman"/>
                <w:color w:val="000000"/>
                <w:sz w:val="18"/>
                <w:szCs w:val="18"/>
              </w:rPr>
              <w:t>64.21</w:t>
            </w:r>
          </w:p>
        </w:tc>
      </w:tr>
      <w:tr w:rsidR="00C83319" w14:paraId="082C10AA" w14:textId="77777777" w:rsidTr="00C83319">
        <w:trPr>
          <w:jc w:val="center"/>
        </w:trPr>
        <w:tc>
          <w:tcPr>
            <w:tcW w:w="0" w:type="auto"/>
            <w:tcBorders>
              <w:top w:val="nil"/>
              <w:left w:val="nil"/>
              <w:bottom w:val="nil"/>
              <w:right w:val="nil"/>
            </w:tcBorders>
            <w:shd w:val="clear" w:color="auto" w:fill="FFFFFF"/>
            <w:vAlign w:val="center"/>
          </w:tcPr>
          <w:p w14:paraId="6BBB0A5E" w14:textId="77777777" w:rsidR="00C83319" w:rsidRDefault="00000000">
            <w:pPr>
              <w:jc w:val="center"/>
              <w:rPr>
                <w:rFonts w:ascii="Times New Roman" w:hAnsi="Times New Roman"/>
                <w:color w:val="000000"/>
                <w:sz w:val="18"/>
                <w:szCs w:val="18"/>
              </w:rPr>
            </w:pPr>
            <w:r>
              <w:rPr>
                <w:rFonts w:ascii="Times New Roman" w:hAnsi="Times New Roman"/>
                <w:color w:val="000000"/>
                <w:sz w:val="18"/>
                <w:szCs w:val="18"/>
              </w:rPr>
              <w:t>训练集</w:t>
            </w:r>
          </w:p>
        </w:tc>
        <w:tc>
          <w:tcPr>
            <w:tcW w:w="0" w:type="auto"/>
            <w:tcBorders>
              <w:top w:val="nil"/>
              <w:left w:val="nil"/>
              <w:bottom w:val="nil"/>
              <w:right w:val="nil"/>
            </w:tcBorders>
            <w:shd w:val="clear" w:color="auto" w:fill="FFFFFF"/>
            <w:vAlign w:val="center"/>
          </w:tcPr>
          <w:p w14:paraId="0189B728" w14:textId="77777777" w:rsidR="00C83319" w:rsidRDefault="00000000">
            <w:pPr>
              <w:jc w:val="center"/>
              <w:rPr>
                <w:rFonts w:ascii="Times New Roman" w:hAnsi="Times New Roman"/>
                <w:color w:val="000000"/>
                <w:sz w:val="18"/>
                <w:szCs w:val="18"/>
              </w:rPr>
            </w:pPr>
            <w:r>
              <w:rPr>
                <w:rFonts w:ascii="Times New Roman" w:hAnsi="Times New Roman"/>
                <w:color w:val="000000"/>
                <w:sz w:val="18"/>
                <w:szCs w:val="18"/>
              </w:rPr>
              <w:t>45</w:t>
            </w:r>
          </w:p>
        </w:tc>
        <w:tc>
          <w:tcPr>
            <w:tcW w:w="0" w:type="auto"/>
            <w:tcBorders>
              <w:top w:val="nil"/>
              <w:left w:val="nil"/>
              <w:bottom w:val="nil"/>
              <w:right w:val="nil"/>
            </w:tcBorders>
            <w:shd w:val="clear" w:color="auto" w:fill="FFFFFF"/>
            <w:vAlign w:val="center"/>
          </w:tcPr>
          <w:p w14:paraId="1B442884" w14:textId="77777777" w:rsidR="00C83319" w:rsidRDefault="00000000">
            <w:pPr>
              <w:jc w:val="center"/>
              <w:rPr>
                <w:rFonts w:ascii="Times New Roman" w:hAnsi="Times New Roman"/>
                <w:color w:val="000000"/>
                <w:sz w:val="18"/>
                <w:szCs w:val="18"/>
              </w:rPr>
            </w:pPr>
            <w:r>
              <w:rPr>
                <w:rFonts w:ascii="Times New Roman" w:hAnsi="Times New Roman"/>
                <w:color w:val="000000"/>
                <w:sz w:val="18"/>
                <w:szCs w:val="18"/>
              </w:rPr>
              <w:t>12.88</w:t>
            </w:r>
          </w:p>
        </w:tc>
        <w:tc>
          <w:tcPr>
            <w:tcW w:w="0" w:type="auto"/>
            <w:tcBorders>
              <w:top w:val="nil"/>
              <w:left w:val="nil"/>
              <w:bottom w:val="nil"/>
              <w:right w:val="nil"/>
            </w:tcBorders>
            <w:shd w:val="clear" w:color="auto" w:fill="FFFFFF"/>
            <w:vAlign w:val="center"/>
          </w:tcPr>
          <w:p w14:paraId="20D2FF29" w14:textId="77777777" w:rsidR="00C83319" w:rsidRDefault="00000000">
            <w:pPr>
              <w:jc w:val="center"/>
              <w:rPr>
                <w:rFonts w:ascii="Times New Roman" w:hAnsi="Times New Roman"/>
                <w:color w:val="000000"/>
                <w:sz w:val="18"/>
                <w:szCs w:val="18"/>
              </w:rPr>
            </w:pPr>
            <w:r>
              <w:rPr>
                <w:rFonts w:ascii="Times New Roman" w:hAnsi="Times New Roman"/>
                <w:color w:val="000000"/>
                <w:sz w:val="18"/>
                <w:szCs w:val="18"/>
              </w:rPr>
              <w:t>1.32</w:t>
            </w:r>
          </w:p>
        </w:tc>
        <w:tc>
          <w:tcPr>
            <w:tcW w:w="0" w:type="auto"/>
            <w:tcBorders>
              <w:top w:val="nil"/>
              <w:left w:val="nil"/>
              <w:bottom w:val="nil"/>
              <w:right w:val="nil"/>
            </w:tcBorders>
            <w:shd w:val="clear" w:color="auto" w:fill="FFFFFF"/>
            <w:vAlign w:val="center"/>
          </w:tcPr>
          <w:p w14:paraId="59939781" w14:textId="77777777" w:rsidR="00C83319" w:rsidRDefault="00000000">
            <w:pPr>
              <w:jc w:val="center"/>
              <w:rPr>
                <w:rFonts w:ascii="Times New Roman" w:hAnsi="Times New Roman"/>
                <w:color w:val="000000"/>
                <w:sz w:val="18"/>
                <w:szCs w:val="18"/>
              </w:rPr>
            </w:pPr>
            <w:r>
              <w:rPr>
                <w:rFonts w:ascii="Times New Roman" w:hAnsi="Times New Roman"/>
                <w:color w:val="000000"/>
                <w:sz w:val="18"/>
                <w:szCs w:val="18"/>
              </w:rPr>
              <w:t>4.55</w:t>
            </w:r>
          </w:p>
        </w:tc>
        <w:tc>
          <w:tcPr>
            <w:tcW w:w="0" w:type="auto"/>
            <w:tcBorders>
              <w:top w:val="nil"/>
              <w:left w:val="nil"/>
              <w:bottom w:val="nil"/>
              <w:right w:val="nil"/>
            </w:tcBorders>
            <w:shd w:val="clear" w:color="auto" w:fill="FFFFFF"/>
            <w:vAlign w:val="center"/>
          </w:tcPr>
          <w:p w14:paraId="0E281CA0" w14:textId="77777777" w:rsidR="00C83319" w:rsidRDefault="00000000">
            <w:pPr>
              <w:jc w:val="center"/>
              <w:rPr>
                <w:rFonts w:ascii="Times New Roman" w:hAnsi="Times New Roman"/>
                <w:color w:val="000000"/>
                <w:sz w:val="18"/>
                <w:szCs w:val="18"/>
              </w:rPr>
            </w:pPr>
            <w:r>
              <w:rPr>
                <w:rFonts w:ascii="Times New Roman" w:hAnsi="Times New Roman"/>
                <w:color w:val="000000"/>
                <w:sz w:val="18"/>
                <w:szCs w:val="18"/>
              </w:rPr>
              <w:t>3.06</w:t>
            </w:r>
          </w:p>
        </w:tc>
        <w:tc>
          <w:tcPr>
            <w:tcW w:w="0" w:type="auto"/>
            <w:tcBorders>
              <w:top w:val="nil"/>
              <w:left w:val="nil"/>
              <w:bottom w:val="nil"/>
              <w:right w:val="nil"/>
            </w:tcBorders>
            <w:shd w:val="clear" w:color="auto" w:fill="FFFFFF"/>
            <w:vAlign w:val="center"/>
          </w:tcPr>
          <w:p w14:paraId="33DEDF5F" w14:textId="77777777" w:rsidR="00C83319" w:rsidRDefault="00000000">
            <w:pPr>
              <w:jc w:val="center"/>
              <w:rPr>
                <w:rFonts w:ascii="Times New Roman" w:hAnsi="Times New Roman"/>
                <w:color w:val="000000"/>
                <w:sz w:val="18"/>
                <w:szCs w:val="18"/>
              </w:rPr>
            </w:pPr>
            <w:r>
              <w:rPr>
                <w:rFonts w:ascii="Times New Roman" w:hAnsi="Times New Roman"/>
                <w:color w:val="000000"/>
                <w:sz w:val="18"/>
                <w:szCs w:val="18"/>
              </w:rPr>
              <w:t>67.33</w:t>
            </w:r>
          </w:p>
        </w:tc>
      </w:tr>
      <w:tr w:rsidR="00C83319" w14:paraId="735C857A" w14:textId="77777777" w:rsidTr="00C83319">
        <w:trPr>
          <w:jc w:val="center"/>
        </w:trPr>
        <w:tc>
          <w:tcPr>
            <w:tcW w:w="0" w:type="auto"/>
            <w:tcBorders>
              <w:top w:val="nil"/>
              <w:left w:val="nil"/>
              <w:bottom w:val="single" w:sz="12" w:space="0" w:color="000000"/>
              <w:right w:val="nil"/>
            </w:tcBorders>
            <w:shd w:val="clear" w:color="auto" w:fill="FFFFFF"/>
            <w:vAlign w:val="center"/>
          </w:tcPr>
          <w:p w14:paraId="1D87F25F" w14:textId="77777777" w:rsidR="00C83319" w:rsidRDefault="00000000">
            <w:pPr>
              <w:jc w:val="center"/>
              <w:rPr>
                <w:rFonts w:ascii="Times New Roman" w:hAnsi="Times New Roman"/>
                <w:color w:val="000000"/>
                <w:sz w:val="18"/>
                <w:szCs w:val="18"/>
              </w:rPr>
            </w:pPr>
            <w:r>
              <w:rPr>
                <w:rFonts w:ascii="Times New Roman" w:hAnsi="Times New Roman"/>
                <w:color w:val="000000"/>
                <w:sz w:val="18"/>
                <w:szCs w:val="18"/>
              </w:rPr>
              <w:t>测试集</w:t>
            </w:r>
          </w:p>
        </w:tc>
        <w:tc>
          <w:tcPr>
            <w:tcW w:w="0" w:type="auto"/>
            <w:tcBorders>
              <w:top w:val="nil"/>
              <w:left w:val="nil"/>
              <w:bottom w:val="single" w:sz="12" w:space="0" w:color="000000"/>
              <w:right w:val="nil"/>
            </w:tcBorders>
            <w:shd w:val="clear" w:color="auto" w:fill="FFFFFF"/>
            <w:vAlign w:val="center"/>
          </w:tcPr>
          <w:p w14:paraId="0369EB3A" w14:textId="77777777" w:rsidR="00C83319" w:rsidRDefault="00000000">
            <w:pPr>
              <w:jc w:val="center"/>
              <w:rPr>
                <w:rFonts w:ascii="Times New Roman" w:hAnsi="Times New Roman"/>
                <w:color w:val="000000"/>
                <w:sz w:val="18"/>
                <w:szCs w:val="18"/>
              </w:rPr>
            </w:pPr>
            <w:r>
              <w:rPr>
                <w:rFonts w:ascii="Times New Roman" w:hAnsi="Times New Roman"/>
                <w:color w:val="000000"/>
                <w:sz w:val="18"/>
                <w:szCs w:val="18"/>
              </w:rPr>
              <w:t>23</w:t>
            </w:r>
          </w:p>
        </w:tc>
        <w:tc>
          <w:tcPr>
            <w:tcW w:w="0" w:type="auto"/>
            <w:tcBorders>
              <w:top w:val="nil"/>
              <w:left w:val="nil"/>
              <w:bottom w:val="single" w:sz="12" w:space="0" w:color="000000"/>
              <w:right w:val="nil"/>
            </w:tcBorders>
            <w:shd w:val="clear" w:color="auto" w:fill="FFFFFF"/>
            <w:vAlign w:val="center"/>
          </w:tcPr>
          <w:p w14:paraId="1171B2D7" w14:textId="77777777" w:rsidR="00C83319" w:rsidRDefault="00000000">
            <w:pPr>
              <w:jc w:val="center"/>
              <w:rPr>
                <w:rFonts w:ascii="Times New Roman" w:hAnsi="Times New Roman"/>
                <w:color w:val="000000"/>
                <w:sz w:val="18"/>
                <w:szCs w:val="18"/>
              </w:rPr>
            </w:pPr>
            <w:r>
              <w:rPr>
                <w:rFonts w:ascii="Times New Roman" w:hAnsi="Times New Roman"/>
                <w:color w:val="000000"/>
                <w:sz w:val="18"/>
                <w:szCs w:val="18"/>
              </w:rPr>
              <w:t>11.20</w:t>
            </w:r>
          </w:p>
        </w:tc>
        <w:tc>
          <w:tcPr>
            <w:tcW w:w="0" w:type="auto"/>
            <w:tcBorders>
              <w:top w:val="nil"/>
              <w:left w:val="nil"/>
              <w:bottom w:val="single" w:sz="12" w:space="0" w:color="000000"/>
              <w:right w:val="nil"/>
            </w:tcBorders>
            <w:shd w:val="clear" w:color="auto" w:fill="FFFFFF"/>
            <w:vAlign w:val="center"/>
          </w:tcPr>
          <w:p w14:paraId="51E6A05F" w14:textId="77777777" w:rsidR="00C83319" w:rsidRDefault="00000000">
            <w:pPr>
              <w:jc w:val="center"/>
              <w:rPr>
                <w:rFonts w:ascii="Times New Roman" w:hAnsi="Times New Roman"/>
                <w:color w:val="000000"/>
                <w:sz w:val="18"/>
                <w:szCs w:val="18"/>
              </w:rPr>
            </w:pPr>
            <w:r>
              <w:rPr>
                <w:rFonts w:ascii="Times New Roman" w:hAnsi="Times New Roman"/>
                <w:color w:val="000000"/>
                <w:sz w:val="18"/>
                <w:szCs w:val="18"/>
              </w:rPr>
              <w:t>1.57</w:t>
            </w:r>
          </w:p>
        </w:tc>
        <w:tc>
          <w:tcPr>
            <w:tcW w:w="0" w:type="auto"/>
            <w:tcBorders>
              <w:top w:val="nil"/>
              <w:left w:val="nil"/>
              <w:bottom w:val="single" w:sz="12" w:space="0" w:color="000000"/>
              <w:right w:val="nil"/>
            </w:tcBorders>
            <w:shd w:val="clear" w:color="auto" w:fill="FFFFFF"/>
            <w:vAlign w:val="center"/>
          </w:tcPr>
          <w:p w14:paraId="17A3342E" w14:textId="77777777" w:rsidR="00C83319" w:rsidRDefault="00000000">
            <w:pPr>
              <w:jc w:val="center"/>
              <w:rPr>
                <w:rFonts w:ascii="Times New Roman" w:hAnsi="Times New Roman"/>
                <w:color w:val="000000"/>
                <w:sz w:val="18"/>
                <w:szCs w:val="18"/>
              </w:rPr>
            </w:pPr>
            <w:r>
              <w:rPr>
                <w:rFonts w:ascii="Times New Roman" w:hAnsi="Times New Roman"/>
                <w:color w:val="000000"/>
                <w:sz w:val="18"/>
                <w:szCs w:val="18"/>
              </w:rPr>
              <w:t>5.03</w:t>
            </w:r>
          </w:p>
        </w:tc>
        <w:tc>
          <w:tcPr>
            <w:tcW w:w="0" w:type="auto"/>
            <w:tcBorders>
              <w:top w:val="nil"/>
              <w:left w:val="nil"/>
              <w:bottom w:val="single" w:sz="12" w:space="0" w:color="000000"/>
              <w:right w:val="nil"/>
            </w:tcBorders>
            <w:shd w:val="clear" w:color="auto" w:fill="FFFFFF"/>
            <w:vAlign w:val="center"/>
          </w:tcPr>
          <w:p w14:paraId="6B15901E" w14:textId="77777777" w:rsidR="00C83319" w:rsidRDefault="00000000">
            <w:pPr>
              <w:jc w:val="center"/>
              <w:rPr>
                <w:rFonts w:ascii="Times New Roman" w:hAnsi="Times New Roman"/>
                <w:color w:val="000000"/>
                <w:sz w:val="18"/>
                <w:szCs w:val="18"/>
              </w:rPr>
            </w:pPr>
            <w:r>
              <w:rPr>
                <w:rFonts w:ascii="Times New Roman" w:hAnsi="Times New Roman"/>
                <w:color w:val="000000"/>
                <w:sz w:val="18"/>
                <w:szCs w:val="18"/>
              </w:rPr>
              <w:t>3.00</w:t>
            </w:r>
          </w:p>
        </w:tc>
        <w:tc>
          <w:tcPr>
            <w:tcW w:w="0" w:type="auto"/>
            <w:tcBorders>
              <w:top w:val="nil"/>
              <w:left w:val="nil"/>
              <w:bottom w:val="single" w:sz="12" w:space="0" w:color="000000"/>
              <w:right w:val="nil"/>
            </w:tcBorders>
            <w:shd w:val="clear" w:color="auto" w:fill="FFFFFF"/>
            <w:vAlign w:val="center"/>
          </w:tcPr>
          <w:p w14:paraId="3546ACB6" w14:textId="77777777" w:rsidR="00C83319" w:rsidRDefault="00000000">
            <w:pPr>
              <w:jc w:val="center"/>
              <w:rPr>
                <w:rFonts w:ascii="Times New Roman" w:hAnsi="Times New Roman"/>
                <w:color w:val="000000"/>
                <w:sz w:val="18"/>
                <w:szCs w:val="18"/>
              </w:rPr>
            </w:pPr>
            <w:r>
              <w:rPr>
                <w:rFonts w:ascii="Times New Roman" w:hAnsi="Times New Roman"/>
                <w:color w:val="000000"/>
                <w:sz w:val="18"/>
                <w:szCs w:val="18"/>
              </w:rPr>
              <w:t>59.49</w:t>
            </w:r>
          </w:p>
        </w:tc>
      </w:tr>
    </w:tbl>
    <w:p w14:paraId="3F797E79" w14:textId="77777777" w:rsidR="00C83319" w:rsidRDefault="00000000">
      <w:pPr>
        <w:pStyle w:val="2"/>
      </w:pPr>
      <w:r>
        <w:rPr>
          <w:rFonts w:hint="eastAsia"/>
        </w:rPr>
        <w:t>土壤光谱特征分析</w:t>
      </w:r>
    </w:p>
    <w:p w14:paraId="32F5CA30" w14:textId="77777777" w:rsidR="00C83319" w:rsidRDefault="00000000">
      <w:pPr>
        <w:pStyle w:val="15"/>
        <w:rPr>
          <w:rFonts w:hint="default"/>
        </w:rPr>
      </w:pPr>
      <w:r>
        <w:t>图</w:t>
      </w:r>
      <w:hyperlink w:anchor="fig:reflectance">
        <w:r w:rsidR="00C83319">
          <w:t>3</w:t>
        </w:r>
      </w:hyperlink>
      <w:r>
        <w:t>展示了经</w:t>
      </w:r>
      <w:r>
        <w:t>S-G</w:t>
      </w:r>
      <w:r>
        <w:t>滤波处理后，</w:t>
      </w:r>
      <w:r>
        <w:t>4</w:t>
      </w:r>
      <w:r>
        <w:t>个不同梯度土壤全盐量样本的平均光谱反射率曲线。反射率曲线变化趋势相似且基本平行，光谱反射率介于</w:t>
      </w:r>
      <w:r>
        <w:t>0.05</w:t>
      </w:r>
      <m:oMath>
        <m:r>
          <m:rPr>
            <m:sty m:val="p"/>
          </m:rPr>
          <w:rPr>
            <w:rFonts w:ascii="Cambria Math" w:hAnsi="Cambria Math"/>
          </w:rPr>
          <m:t>∼</m:t>
        </m:r>
      </m:oMath>
      <w:r>
        <w:t>0.35</w:t>
      </w:r>
      <w:r>
        <w:t>之间，整体呈现出</w:t>
      </w:r>
      <w:r>
        <w:t>"</w:t>
      </w:r>
      <w:r>
        <w:t>先升后降</w:t>
      </w:r>
      <w:r>
        <w:t>"</w:t>
      </w:r>
      <w:r>
        <w:t>的趋势。具体而言，在</w:t>
      </w:r>
      <w:r>
        <w:t>400</w:t>
      </w:r>
      <m:oMath>
        <m:r>
          <m:rPr>
            <m:sty m:val="p"/>
          </m:rPr>
          <w:rPr>
            <w:rFonts w:ascii="Cambria Math" w:hAnsi="Cambria Math"/>
          </w:rPr>
          <m:t>∼</m:t>
        </m:r>
      </m:oMath>
      <w:r>
        <w:t>920 nm</w:t>
      </w:r>
      <w:r>
        <w:t>光谱反射率呈上升趋势，于</w:t>
      </w:r>
      <w:r>
        <w:t>918 nm</w:t>
      </w:r>
      <w:r>
        <w:t>附近达到最大值，在</w:t>
      </w:r>
      <w:r>
        <w:t>790 nm</w:t>
      </w:r>
      <w:r>
        <w:t>和</w:t>
      </w:r>
      <w:r>
        <w:t>902 nm</w:t>
      </w:r>
      <w:r>
        <w:t>附近出现了不同深度的吸收谷。此后，在</w:t>
      </w:r>
      <w:r>
        <w:t>920</w:t>
      </w:r>
      <m:oMath>
        <m:r>
          <m:rPr>
            <m:sty m:val="p"/>
          </m:rPr>
          <w:rPr>
            <w:rFonts w:ascii="Cambria Math" w:hAnsi="Cambria Math"/>
          </w:rPr>
          <m:t>∼</m:t>
        </m:r>
      </m:oMath>
      <w:r>
        <w:t>1000 nm</w:t>
      </w:r>
      <w:r>
        <w:t>，光谱反射率呈波动下降趋势，这通常与土壤水分的吸收作用相关。土壤全盐量在</w:t>
      </w:r>
      <w:r>
        <w:t>1</w:t>
      </w:r>
      <m:oMath>
        <m:r>
          <m:rPr>
            <m:sty m:val="p"/>
          </m:rPr>
          <w:rPr>
            <w:rFonts w:ascii="Cambria Math" w:hAnsi="Cambria Math"/>
          </w:rPr>
          <m:t>∼</m:t>
        </m:r>
      </m:oMath>
      <w:r>
        <w:t>10 g/kg</w:t>
      </w:r>
      <w:r>
        <w:t>范围内，光谱反射率与盐分含量呈正相关关系，这可能由于表层盐分累积导致地表泛白所致。当盐分含量达到最高水平（</w:t>
      </w:r>
      <w:r>
        <w:t>10</w:t>
      </w:r>
      <m:oMath>
        <m:r>
          <m:rPr>
            <m:sty m:val="p"/>
          </m:rPr>
          <w:rPr>
            <w:rFonts w:ascii="Cambria Math" w:hAnsi="Cambria Math"/>
          </w:rPr>
          <m:t>∼</m:t>
        </m:r>
      </m:oMath>
      <w:r>
        <w:t>13 g/kg</w:t>
      </w:r>
      <w:r>
        <w:t>）时，反射率低于次高盐分含量组，这可能是较高浓度的盐分引发了其他降低反射率的物理过程</w:t>
      </w:r>
      <w:r>
        <w:rPr>
          <w:vertAlign w:val="superscript"/>
        </w:rPr>
        <w:t>[11]</w:t>
      </w:r>
      <w:r>
        <w:t>。</w:t>
      </w:r>
    </w:p>
    <w:p w14:paraId="1A5A724D" w14:textId="77777777" w:rsidR="00C83319" w:rsidRDefault="00000000">
      <w:pPr>
        <w:jc w:val="center"/>
        <w:rPr>
          <w:rFonts w:ascii="Times New Roman" w:hAnsi="Times New Roman"/>
          <w:szCs w:val="21"/>
        </w:rPr>
      </w:pPr>
      <w:r>
        <w:rPr>
          <w:rFonts w:ascii="Times New Roman" w:hAnsi="Times New Roman" w:hint="eastAsia"/>
          <w:noProof/>
          <w:szCs w:val="21"/>
        </w:rPr>
        <w:drawing>
          <wp:inline distT="0" distB="0" distL="114300" distR="114300" wp14:anchorId="1203F1CC" wp14:editId="3C5FC71F">
            <wp:extent cx="2903220" cy="2351405"/>
            <wp:effectExtent l="0" t="0" r="5080" b="0"/>
            <wp:docPr id="4" name="图片 4" descr="fig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fig3"/>
                    <pic:cNvPicPr>
                      <a:picLocks noChangeAspect="1"/>
                    </pic:cNvPicPr>
                  </pic:nvPicPr>
                  <pic:blipFill>
                    <a:blip r:embed="rId10"/>
                    <a:stretch>
                      <a:fillRect/>
                    </a:stretch>
                  </pic:blipFill>
                  <pic:spPr>
                    <a:xfrm>
                      <a:off x="0" y="0"/>
                      <a:ext cx="2903220" cy="2351405"/>
                    </a:xfrm>
                    <a:prstGeom prst="rect">
                      <a:avLst/>
                    </a:prstGeom>
                  </pic:spPr>
                </pic:pic>
              </a:graphicData>
            </a:graphic>
          </wp:inline>
        </w:drawing>
      </w:r>
    </w:p>
    <w:p w14:paraId="1ADFA5CD" w14:textId="77777777" w:rsidR="00C83319" w:rsidRDefault="00000000">
      <w:pPr>
        <w:pStyle w:val="aff5"/>
      </w:pPr>
      <w:r>
        <w:rPr>
          <w:rFonts w:hint="eastAsia"/>
        </w:rPr>
        <w:t>图</w:t>
      </w:r>
      <w:r>
        <w:rPr>
          <w:rFonts w:hint="eastAsia"/>
        </w:rPr>
        <w:t xml:space="preserve">3 </w:t>
      </w:r>
      <w:r>
        <w:rPr>
          <w:rFonts w:hint="eastAsia"/>
        </w:rPr>
        <w:t>不同土壤全盐量样本的平均反射率曲线</w:t>
      </w:r>
    </w:p>
    <w:p w14:paraId="10E87B4C" w14:textId="77777777" w:rsidR="00C83319" w:rsidRDefault="00000000">
      <w:pPr>
        <w:pStyle w:val="aff5"/>
      </w:pPr>
      <w:r>
        <w:rPr>
          <w:rFonts w:hint="eastAsia"/>
        </w:rPr>
        <w:t xml:space="preserve">Fig. </w:t>
      </w:r>
      <w:proofErr w:type="gramStart"/>
      <w:r>
        <w:rPr>
          <w:rFonts w:hint="eastAsia"/>
        </w:rPr>
        <w:t>3  Averaged</w:t>
      </w:r>
      <w:proofErr w:type="gramEnd"/>
      <w:r>
        <w:rPr>
          <w:rFonts w:hint="eastAsia"/>
        </w:rPr>
        <w:t xml:space="preserve"> reflectance curves of samples with different soil total salt content</w:t>
      </w:r>
    </w:p>
    <w:p w14:paraId="41CED393" w14:textId="77777777" w:rsidR="00C83319" w:rsidRDefault="00000000">
      <w:pPr>
        <w:pStyle w:val="15"/>
        <w:rPr>
          <w:rFonts w:hint="default"/>
        </w:rPr>
      </w:pPr>
      <w:r>
        <w:t>FOD</w:t>
      </w:r>
      <w:r>
        <w:t>处理后土壤光谱曲线如图</w:t>
      </w:r>
      <w:r w:rsidR="00C83319">
        <w:fldChar w:fldCharType="begin"/>
      </w:r>
      <w:r w:rsidR="00C83319">
        <w:instrText>HYPERLINK \l "fig:fod_spectra" \h</w:instrText>
      </w:r>
      <w:r w:rsidR="00C83319">
        <w:fldChar w:fldCharType="separate"/>
      </w:r>
      <w:r w:rsidR="00C83319">
        <w:t>4</w:t>
      </w:r>
      <w:r w:rsidR="00C83319">
        <w:fldChar w:fldCharType="end"/>
      </w:r>
      <w:r>
        <w:t>所示。随着</w:t>
      </w:r>
      <w:proofErr w:type="gramStart"/>
      <w:r>
        <w:t>微分阶数的</w:t>
      </w:r>
      <w:proofErr w:type="gramEnd"/>
      <w:r>
        <w:t>增加，光谱反射率范围减小，光谱反射率值逐渐趋向于</w:t>
      </w:r>
      <w:r>
        <w:t>0</w:t>
      </w:r>
      <w:r>
        <w:t>，说明分数阶微分变换有效地消除了光谱曲线的混合重叠峰和基线漂移问题。在</w:t>
      </w:r>
      <w:r>
        <w:t>0</w:t>
      </w:r>
      <m:oMath>
        <m:r>
          <m:rPr>
            <m:sty m:val="p"/>
          </m:rPr>
          <w:rPr>
            <w:rFonts w:ascii="Cambria Math" w:hAnsi="Cambria Math"/>
          </w:rPr>
          <m:t>∼</m:t>
        </m:r>
      </m:oMath>
      <w:r>
        <w:t>0.6</w:t>
      </w:r>
      <w:r>
        <w:t>阶的微分变换过程中基本保持原有的曲线形态，同时一些微小的起伏和转折点开始被放大，位于</w:t>
      </w:r>
      <w:r>
        <w:t>460nm</w:t>
      </w:r>
      <w:r>
        <w:t>、</w:t>
      </w:r>
      <w:r>
        <w:t>590nm</w:t>
      </w:r>
      <w:r>
        <w:t>附近的反射</w:t>
      </w:r>
      <w:proofErr w:type="gramStart"/>
      <w:r>
        <w:t>峰逐渐</w:t>
      </w:r>
      <w:proofErr w:type="gramEnd"/>
      <w:r>
        <w:t>显现出来，同时</w:t>
      </w:r>
      <w:r>
        <w:t>790nm</w:t>
      </w:r>
      <w:r>
        <w:t>、</w:t>
      </w:r>
      <w:r>
        <w:t>900nm</w:t>
      </w:r>
      <w:r>
        <w:t>和</w:t>
      </w:r>
      <w:r>
        <w:t>940nm</w:t>
      </w:r>
      <w:r>
        <w:t>附近的吸收谷进一步增强。在</w:t>
      </w:r>
      <w:r>
        <w:t>0.8</w:t>
      </w:r>
      <m:oMath>
        <m:r>
          <m:rPr>
            <m:sty m:val="p"/>
          </m:rPr>
          <w:rPr>
            <w:rFonts w:ascii="Cambria Math" w:hAnsi="Cambria Math"/>
          </w:rPr>
          <m:t>∼</m:t>
        </m:r>
      </m:oMath>
      <w:r>
        <w:t>2.0</w:t>
      </w:r>
      <w:r>
        <w:t>阶的微分变换过程中曲线形态变化较小，且</w:t>
      </w:r>
      <w:r>
        <w:t>1.2</w:t>
      </w:r>
      <w:proofErr w:type="gramStart"/>
      <w:r>
        <w:t>阶之后</w:t>
      </w:r>
      <w:proofErr w:type="gramEnd"/>
      <w:r>
        <w:t>光谱曲线出现一些不易于辨认的波动，局部光谱得到了不同程度的放大，出现了多个峰值波段，表明高阶微分变换可能会放大高频噪声。</w:t>
      </w:r>
    </w:p>
    <w:p w14:paraId="36977463" w14:textId="77777777" w:rsidR="00C83319" w:rsidRDefault="00000000">
      <w:pPr>
        <w:pStyle w:val="15"/>
        <w:ind w:firstLineChars="0" w:firstLine="0"/>
        <w:jc w:val="center"/>
        <w:rPr>
          <w:rFonts w:hint="default"/>
        </w:rPr>
      </w:pPr>
      <w:r>
        <w:rPr>
          <w:noProof/>
        </w:rPr>
        <w:lastRenderedPageBreak/>
        <w:drawing>
          <wp:inline distT="0" distB="0" distL="114300" distR="114300" wp14:anchorId="4166C9F3" wp14:editId="7BB1E436">
            <wp:extent cx="5181746" cy="5029200"/>
            <wp:effectExtent l="0" t="0" r="0" b="0"/>
            <wp:docPr id="8" name="图片 8" descr="fig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fig4"/>
                    <pic:cNvPicPr>
                      <a:picLocks noChangeAspect="1"/>
                    </pic:cNvPicPr>
                  </pic:nvPicPr>
                  <pic:blipFill>
                    <a:blip r:embed="rId11"/>
                    <a:stretch>
                      <a:fillRect/>
                    </a:stretch>
                  </pic:blipFill>
                  <pic:spPr>
                    <a:xfrm>
                      <a:off x="0" y="0"/>
                      <a:ext cx="5216679" cy="5063105"/>
                    </a:xfrm>
                    <a:prstGeom prst="rect">
                      <a:avLst/>
                    </a:prstGeom>
                  </pic:spPr>
                </pic:pic>
              </a:graphicData>
            </a:graphic>
          </wp:inline>
        </w:drawing>
      </w:r>
    </w:p>
    <w:p w14:paraId="6B58C677" w14:textId="77777777" w:rsidR="00C83319" w:rsidRDefault="00000000">
      <w:pPr>
        <w:pStyle w:val="aff5"/>
      </w:pPr>
      <w:r>
        <w:rPr>
          <w:rFonts w:hint="eastAsia"/>
        </w:rPr>
        <w:t>图</w:t>
      </w:r>
      <w:r>
        <w:rPr>
          <w:rFonts w:hint="eastAsia"/>
        </w:rPr>
        <w:t>4 0</w:t>
      </w:r>
      <m:oMath>
        <m:r>
          <m:rPr>
            <m:sty m:val="p"/>
          </m:rPr>
          <w:rPr>
            <w:rFonts w:ascii="Cambria Math" w:hAnsi="Cambria Math" w:hint="eastAsia"/>
          </w:rPr>
          <m:t>∼</m:t>
        </m:r>
      </m:oMath>
      <w:r>
        <w:rPr>
          <w:rFonts w:hint="eastAsia"/>
        </w:rPr>
        <w:t>2.0</w:t>
      </w:r>
      <w:r>
        <w:rPr>
          <w:rFonts w:hint="eastAsia"/>
        </w:rPr>
        <w:t>阶分数阶微分土壤反射率光谱曲线</w:t>
      </w:r>
    </w:p>
    <w:p w14:paraId="47C2AE87" w14:textId="77777777" w:rsidR="00C83319" w:rsidRDefault="00000000">
      <w:pPr>
        <w:pStyle w:val="aff5"/>
      </w:pPr>
      <w:r>
        <w:rPr>
          <w:rFonts w:hint="eastAsia"/>
        </w:rPr>
        <w:t xml:space="preserve">Fig. </w:t>
      </w:r>
      <w:proofErr w:type="gramStart"/>
      <w:r>
        <w:rPr>
          <w:rFonts w:hint="eastAsia"/>
        </w:rPr>
        <w:t>4  Fractional</w:t>
      </w:r>
      <w:proofErr w:type="gramEnd"/>
      <w:r>
        <w:rPr>
          <w:rFonts w:hint="eastAsia"/>
        </w:rPr>
        <w:t xml:space="preserve"> order derivative reflectance spectra from 0 to 2.0 order</w:t>
      </w:r>
    </w:p>
    <w:p w14:paraId="12AE4F15" w14:textId="77777777" w:rsidR="00C83319" w:rsidRDefault="00000000">
      <w:pPr>
        <w:pStyle w:val="2"/>
      </w:pPr>
      <w:r>
        <w:rPr>
          <w:rFonts w:hint="eastAsia"/>
        </w:rPr>
        <w:t>光谱指数相关性分析</w:t>
      </w:r>
    </w:p>
    <w:p w14:paraId="441C8A88" w14:textId="77777777" w:rsidR="00C83319" w:rsidRDefault="00000000">
      <w:pPr>
        <w:pStyle w:val="15"/>
        <w:rPr>
          <w:rFonts w:hint="default"/>
        </w:rPr>
      </w:pPr>
      <w:r>
        <w:t>不同光谱指数最优波长与阶次组合如表</w:t>
      </w:r>
      <w:r w:rsidR="00C83319">
        <w:fldChar w:fldCharType="begin"/>
      </w:r>
      <w:r w:rsidR="00C83319">
        <w:instrText>HYPERLINK \l "tab:optimal_bands" \h</w:instrText>
      </w:r>
      <w:r w:rsidR="00C83319">
        <w:rPr>
          <w:rFonts w:hint="default"/>
        </w:rPr>
        <w:fldChar w:fldCharType="separate"/>
      </w:r>
      <w:r w:rsidR="00C83319">
        <w:t>3</w:t>
      </w:r>
      <w:r w:rsidR="00C83319">
        <w:fldChar w:fldCharType="end"/>
      </w:r>
      <w:r>
        <w:t>和图</w:t>
      </w:r>
      <w:r w:rsidR="00C83319">
        <w:fldChar w:fldCharType="begin"/>
      </w:r>
      <w:r w:rsidR="00C83319">
        <w:instrText>HYPERLINK \l "fig:corr" \h</w:instrText>
      </w:r>
      <w:r w:rsidR="00C83319">
        <w:fldChar w:fldCharType="separate"/>
      </w:r>
      <w:r w:rsidR="00C83319">
        <w:t>5</w:t>
      </w:r>
      <w:r w:rsidR="00C83319">
        <w:fldChar w:fldCharType="end"/>
      </w:r>
      <w:r>
        <w:t>所示。所有优选的光谱指数均与土壤盐分含量呈显著相关（</w:t>
      </w:r>
      <m:oMath>
        <m:r>
          <m:rPr>
            <m:sty m:val="p"/>
          </m:rPr>
          <w:rPr>
            <w:rFonts w:ascii="Cambria Math" w:hAnsi="Cambria Math"/>
          </w:rPr>
          <m:t>p&lt;0.01</m:t>
        </m:r>
      </m:oMath>
      <w:r>
        <w:t>）。在</w:t>
      </w:r>
      <w:r>
        <w:t>2D</w:t>
      </w:r>
      <w:r>
        <w:t>光谱指数相关性矩阵（图</w:t>
      </w:r>
      <w:r w:rsidR="00C83319">
        <w:fldChar w:fldCharType="begin"/>
      </w:r>
      <w:r w:rsidR="00C83319">
        <w:instrText>HYPERLINK \l "fig:corr" \h</w:instrText>
      </w:r>
      <w:r w:rsidR="00C83319">
        <w:fldChar w:fldCharType="separate"/>
      </w:r>
      <w:r w:rsidR="00C83319">
        <w:t>5</w:t>
      </w:r>
      <w:r w:rsidR="00C83319">
        <w:fldChar w:fldCharType="end"/>
      </w:r>
      <w:r>
        <w:t>a</w:t>
      </w:r>
      <w:r>
        <w:t>–</w:t>
      </w:r>
      <w:r>
        <w:t>c</w:t>
      </w:r>
      <w:r>
        <w:t>）中，</w:t>
      </w:r>
      <w:r>
        <w:t>RI</w:t>
      </w:r>
      <w:r>
        <w:t>、</w:t>
      </w:r>
      <w:r>
        <w:t>NDI</w:t>
      </w:r>
      <w:r>
        <w:t>在</w:t>
      </w:r>
      <w:r>
        <w:t>0.8</w:t>
      </w:r>
      <w:r>
        <w:t>阶时均显示出最高的相关性，相关系数分别为</w:t>
      </w:r>
      <w:r>
        <w:t>0.77</w:t>
      </w:r>
      <w:r>
        <w:t>和</w:t>
      </w:r>
      <w:r>
        <w:t>0.76</w:t>
      </w:r>
      <w:r>
        <w:t>，而</w:t>
      </w:r>
      <w:r>
        <w:t>DI</w:t>
      </w:r>
      <w:r>
        <w:t>则在</w:t>
      </w:r>
      <w:r>
        <w:t>0.6</w:t>
      </w:r>
      <w:r>
        <w:t>阶时达到最优，相关系数为</w:t>
      </w:r>
      <w:r>
        <w:t>0.78</w:t>
      </w:r>
      <w:r>
        <w:t>。在</w:t>
      </w:r>
      <w:r>
        <w:t>3D</w:t>
      </w:r>
      <w:r>
        <w:t>光谱指数相关性矩阵图（图</w:t>
      </w:r>
      <w:r w:rsidR="00C83319">
        <w:fldChar w:fldCharType="begin"/>
      </w:r>
      <w:r w:rsidR="00C83319">
        <w:instrText>HYPERLINK \l "fig:corr" \h</w:instrText>
      </w:r>
      <w:r w:rsidR="00C83319">
        <w:fldChar w:fldCharType="separate"/>
      </w:r>
      <w:r w:rsidR="00C83319">
        <w:t>5</w:t>
      </w:r>
      <w:r w:rsidR="00C83319">
        <w:fldChar w:fldCharType="end"/>
      </w:r>
      <w:r>
        <w:t>d</w:t>
      </w:r>
      <w:r>
        <w:t>–</w:t>
      </w:r>
      <w:proofErr w:type="spellStart"/>
      <w:r>
        <w:t>i</w:t>
      </w:r>
      <w:proofErr w:type="spellEnd"/>
      <w:r>
        <w:t>）中，</w:t>
      </w:r>
      <w:r>
        <w:t>3D</w:t>
      </w:r>
      <w:r>
        <w:t>光谱指数与土壤盐分的相关性普遍高于</w:t>
      </w:r>
      <w:r>
        <w:t>2D</w:t>
      </w:r>
      <w:r>
        <w:t>指数（</w:t>
      </w:r>
      <w:r>
        <w:t>RI</w:t>
      </w:r>
      <w:r>
        <w:t>、</w:t>
      </w:r>
      <w:r>
        <w:t>DI</w:t>
      </w:r>
      <w:r>
        <w:t>、</w:t>
      </w:r>
      <w:r>
        <w:t>NDI</w:t>
      </w:r>
      <w:r>
        <w:t>），且相关系数均大于</w:t>
      </w:r>
      <w:r>
        <w:t>0.8</w:t>
      </w:r>
      <w:r>
        <w:t>，其中，三维指数</w:t>
      </w:r>
      <w:r>
        <w:t>TBI6</w:t>
      </w:r>
      <w:r>
        <w:t>在</w:t>
      </w:r>
      <w:r>
        <w:t>1.0</w:t>
      </w:r>
      <w:r>
        <w:t>阶微分变换下表现最佳，相关系数为</w:t>
      </w:r>
      <w:r>
        <w:t>0.84</w:t>
      </w:r>
      <w:r>
        <w:t>，对应的波段组合为（</w:t>
      </w:r>
      <w:r>
        <w:t>418 nm</w:t>
      </w:r>
      <w:r>
        <w:t>，</w:t>
      </w:r>
      <w:r>
        <w:t>786 nm</w:t>
      </w:r>
      <w:r>
        <w:t>，</w:t>
      </w:r>
      <w:r>
        <w:t>942 nm</w:t>
      </w:r>
      <w:r>
        <w:t>）。此外，不同光谱指数的最优敏感阶次分布在</w:t>
      </w:r>
      <w:r>
        <w:t>0.6</w:t>
      </w:r>
      <w:r>
        <w:t>至</w:t>
      </w:r>
      <w:r>
        <w:t>1.6</w:t>
      </w:r>
      <w:r>
        <w:t>阶之间，这说明</w:t>
      </w:r>
      <w:r>
        <w:t>FOD</w:t>
      </w:r>
      <w:r>
        <w:t>能够有效增强光谱对盐分的敏感特征，不同指数形式的最佳敏感阶次存在差异。</w:t>
      </w:r>
    </w:p>
    <w:p w14:paraId="15FB5C33" w14:textId="77777777" w:rsidR="00C83319" w:rsidRDefault="00000000">
      <w:pPr>
        <w:pStyle w:val="aff5"/>
      </w:pPr>
      <w:r>
        <w:rPr>
          <w:rFonts w:hint="eastAsia"/>
        </w:rPr>
        <w:t>表</w:t>
      </w:r>
      <w:r>
        <w:rPr>
          <w:rFonts w:hint="eastAsia"/>
        </w:rPr>
        <w:t xml:space="preserve">3 </w:t>
      </w:r>
      <w:r>
        <w:rPr>
          <w:rFonts w:hint="eastAsia"/>
        </w:rPr>
        <w:t>光谱指数最优阶次与波长组合</w:t>
      </w:r>
    </w:p>
    <w:p w14:paraId="670CCD5E" w14:textId="77777777" w:rsidR="00C83319" w:rsidRDefault="00000000">
      <w:pPr>
        <w:pStyle w:val="aff5"/>
      </w:pPr>
      <w:r>
        <w:rPr>
          <w:rFonts w:hint="eastAsia"/>
        </w:rPr>
        <w:t>Tab. 3 Optimal order and wavelength combinations for spectral indices</w:t>
      </w:r>
    </w:p>
    <w:tbl>
      <w:tblPr>
        <w:tblStyle w:val="Table"/>
        <w:tblW w:w="0" w:type="auto"/>
        <w:jc w:val="center"/>
        <w:tblInd w:w="0" w:type="dxa"/>
        <w:tblLook w:val="04A0" w:firstRow="1" w:lastRow="0" w:firstColumn="1" w:lastColumn="0" w:noHBand="0" w:noVBand="1"/>
        <w:tblCaption w:val="光谱指数最优阶次与波长组合"/>
      </w:tblPr>
      <w:tblGrid>
        <w:gridCol w:w="936"/>
        <w:gridCol w:w="1936"/>
        <w:gridCol w:w="1206"/>
        <w:gridCol w:w="2781"/>
      </w:tblGrid>
      <w:tr w:rsidR="00C83319" w14:paraId="5447A504" w14:textId="77777777" w:rsidTr="00C83319">
        <w:trPr>
          <w:cnfStyle w:val="100000000000" w:firstRow="1" w:lastRow="0" w:firstColumn="0" w:lastColumn="0" w:oddVBand="0" w:evenVBand="0" w:oddHBand="0" w:evenHBand="0" w:firstRowFirstColumn="0" w:firstRowLastColumn="0" w:lastRowFirstColumn="0" w:lastRowLastColumn="0"/>
          <w:tblHeader/>
          <w:jc w:val="center"/>
        </w:trPr>
        <w:tc>
          <w:tcPr>
            <w:tcW w:w="0" w:type="auto"/>
            <w:tcBorders>
              <w:top w:val="single" w:sz="12" w:space="0" w:color="000000"/>
              <w:left w:val="nil"/>
              <w:bottom w:val="single" w:sz="4" w:space="0" w:color="000000"/>
              <w:right w:val="nil"/>
              <w:tl2br w:val="nil"/>
            </w:tcBorders>
            <w:shd w:val="clear" w:color="auto" w:fill="FFFFFF"/>
            <w:vAlign w:val="center"/>
          </w:tcPr>
          <w:p w14:paraId="712F7BDE" w14:textId="77777777" w:rsidR="00C83319" w:rsidRDefault="00000000">
            <w:pPr>
              <w:pStyle w:val="15"/>
              <w:ind w:firstLineChars="0" w:firstLine="0"/>
              <w:jc w:val="center"/>
              <w:rPr>
                <w:rFonts w:hint="default"/>
                <w:sz w:val="18"/>
                <w:szCs w:val="18"/>
              </w:rPr>
            </w:pPr>
            <w:r>
              <w:rPr>
                <w:rFonts w:hint="default"/>
                <w:sz w:val="18"/>
                <w:szCs w:val="18"/>
              </w:rPr>
              <w:t>光谱指数</w:t>
            </w:r>
          </w:p>
        </w:tc>
        <w:tc>
          <w:tcPr>
            <w:tcW w:w="0" w:type="auto"/>
            <w:tcBorders>
              <w:top w:val="single" w:sz="12" w:space="0" w:color="000000"/>
              <w:left w:val="nil"/>
              <w:bottom w:val="single" w:sz="4" w:space="0" w:color="000000"/>
              <w:right w:val="nil"/>
            </w:tcBorders>
            <w:shd w:val="clear" w:color="auto" w:fill="FFFFFF"/>
            <w:vAlign w:val="center"/>
          </w:tcPr>
          <w:p w14:paraId="45AFE2FE" w14:textId="77777777" w:rsidR="00C83319" w:rsidRDefault="00000000">
            <w:pPr>
              <w:pStyle w:val="15"/>
              <w:ind w:firstLineChars="0" w:firstLine="0"/>
              <w:jc w:val="center"/>
              <w:rPr>
                <w:rFonts w:hint="default"/>
                <w:sz w:val="18"/>
                <w:szCs w:val="18"/>
              </w:rPr>
            </w:pPr>
            <w:r>
              <w:rPr>
                <w:rFonts w:hint="default"/>
                <w:sz w:val="18"/>
                <w:szCs w:val="18"/>
              </w:rPr>
              <w:t>波长</w:t>
            </w:r>
            <w:r>
              <w:rPr>
                <w:rFonts w:hint="default"/>
                <w:sz w:val="18"/>
                <w:szCs w:val="18"/>
              </w:rPr>
              <w:t xml:space="preserve"> </w:t>
            </w:r>
            <w:r>
              <w:rPr>
                <w:sz w:val="18"/>
                <w:szCs w:val="18"/>
              </w:rPr>
              <w:t>(</w:t>
            </w:r>
            <w:r>
              <w:rPr>
                <w:rFonts w:hint="default"/>
                <w:sz w:val="18"/>
                <w:szCs w:val="18"/>
              </w:rPr>
              <w:t>Wavelength/nm</w:t>
            </w:r>
            <w:r>
              <w:rPr>
                <w:sz w:val="18"/>
                <w:szCs w:val="18"/>
              </w:rPr>
              <w:t>)</w:t>
            </w:r>
          </w:p>
        </w:tc>
        <w:tc>
          <w:tcPr>
            <w:tcW w:w="0" w:type="auto"/>
            <w:tcBorders>
              <w:top w:val="single" w:sz="12" w:space="0" w:color="000000"/>
              <w:left w:val="nil"/>
              <w:bottom w:val="single" w:sz="4" w:space="0" w:color="000000"/>
              <w:right w:val="nil"/>
            </w:tcBorders>
            <w:shd w:val="clear" w:color="auto" w:fill="FFFFFF"/>
            <w:vAlign w:val="center"/>
          </w:tcPr>
          <w:p w14:paraId="07A4011E" w14:textId="77777777" w:rsidR="00C83319" w:rsidRDefault="00000000">
            <w:pPr>
              <w:pStyle w:val="15"/>
              <w:ind w:firstLineChars="0" w:firstLine="0"/>
              <w:jc w:val="center"/>
              <w:rPr>
                <w:rFonts w:hint="default"/>
                <w:sz w:val="18"/>
                <w:szCs w:val="18"/>
              </w:rPr>
            </w:pPr>
            <w:r>
              <w:rPr>
                <w:rFonts w:hint="default"/>
                <w:sz w:val="18"/>
                <w:szCs w:val="18"/>
              </w:rPr>
              <w:t>阶次</w:t>
            </w:r>
            <w:r>
              <w:rPr>
                <w:rFonts w:hint="default"/>
                <w:sz w:val="18"/>
                <w:szCs w:val="18"/>
              </w:rPr>
              <w:t xml:space="preserve"> </w:t>
            </w:r>
            <w:r>
              <w:rPr>
                <w:sz w:val="18"/>
                <w:szCs w:val="18"/>
              </w:rPr>
              <w:t>(</w:t>
            </w:r>
            <w:r>
              <w:rPr>
                <w:rFonts w:hint="default"/>
                <w:sz w:val="18"/>
                <w:szCs w:val="18"/>
              </w:rPr>
              <w:t>Order</w:t>
            </w:r>
            <w:r>
              <w:rPr>
                <w:sz w:val="18"/>
                <w:szCs w:val="18"/>
              </w:rPr>
              <w:t>)</w:t>
            </w:r>
          </w:p>
        </w:tc>
        <w:tc>
          <w:tcPr>
            <w:tcW w:w="0" w:type="auto"/>
            <w:tcBorders>
              <w:top w:val="single" w:sz="12" w:space="0" w:color="000000"/>
              <w:left w:val="nil"/>
              <w:bottom w:val="single" w:sz="4" w:space="0" w:color="000000"/>
              <w:right w:val="nil"/>
            </w:tcBorders>
            <w:shd w:val="clear" w:color="auto" w:fill="FFFFFF"/>
            <w:vAlign w:val="center"/>
          </w:tcPr>
          <w:p w14:paraId="39CBA361" w14:textId="77777777" w:rsidR="00C83319" w:rsidRDefault="00000000">
            <w:pPr>
              <w:pStyle w:val="15"/>
              <w:ind w:firstLineChars="0" w:firstLine="0"/>
              <w:jc w:val="center"/>
              <w:rPr>
                <w:rFonts w:hint="default"/>
                <w:sz w:val="18"/>
                <w:szCs w:val="18"/>
              </w:rPr>
            </w:pPr>
            <w:r>
              <w:rPr>
                <w:rFonts w:hint="default"/>
                <w:sz w:val="18"/>
                <w:szCs w:val="18"/>
              </w:rPr>
              <w:t>相关系数</w:t>
            </w:r>
            <w:r>
              <w:rPr>
                <w:rFonts w:hint="default"/>
                <w:sz w:val="18"/>
                <w:szCs w:val="18"/>
              </w:rPr>
              <w:t xml:space="preserve"> </w:t>
            </w:r>
            <w:r>
              <w:rPr>
                <w:sz w:val="18"/>
                <w:szCs w:val="18"/>
              </w:rPr>
              <w:t>(</w:t>
            </w:r>
            <w:r>
              <w:rPr>
                <w:rFonts w:hint="default"/>
                <w:sz w:val="18"/>
                <w:szCs w:val="18"/>
              </w:rPr>
              <w:t>Correlation coefficient</w:t>
            </w:r>
            <w:r>
              <w:rPr>
                <w:sz w:val="18"/>
                <w:szCs w:val="18"/>
              </w:rPr>
              <w:t>)</w:t>
            </w:r>
          </w:p>
        </w:tc>
      </w:tr>
      <w:tr w:rsidR="00C83319" w14:paraId="10B671DD" w14:textId="77777777" w:rsidTr="00C83319">
        <w:trPr>
          <w:jc w:val="center"/>
        </w:trPr>
        <w:tc>
          <w:tcPr>
            <w:tcW w:w="0" w:type="auto"/>
            <w:tcBorders>
              <w:top w:val="single" w:sz="4" w:space="0" w:color="000000"/>
              <w:left w:val="nil"/>
              <w:bottom w:val="nil"/>
              <w:right w:val="nil"/>
            </w:tcBorders>
            <w:shd w:val="clear" w:color="auto" w:fill="FFFFFF"/>
            <w:vAlign w:val="center"/>
          </w:tcPr>
          <w:p w14:paraId="5B92700E" w14:textId="77777777" w:rsidR="00C83319" w:rsidRDefault="00000000">
            <w:pPr>
              <w:pStyle w:val="15"/>
              <w:ind w:firstLineChars="0" w:firstLine="0"/>
              <w:jc w:val="center"/>
              <w:rPr>
                <w:rFonts w:hint="default"/>
                <w:sz w:val="18"/>
                <w:szCs w:val="18"/>
              </w:rPr>
            </w:pPr>
            <w:r>
              <w:rPr>
                <w:rFonts w:hint="default"/>
                <w:sz w:val="18"/>
                <w:szCs w:val="18"/>
              </w:rPr>
              <w:t>RI</w:t>
            </w:r>
          </w:p>
        </w:tc>
        <w:tc>
          <w:tcPr>
            <w:tcW w:w="0" w:type="auto"/>
            <w:tcBorders>
              <w:top w:val="single" w:sz="4" w:space="0" w:color="000000"/>
              <w:left w:val="nil"/>
              <w:bottom w:val="nil"/>
              <w:right w:val="nil"/>
            </w:tcBorders>
            <w:shd w:val="clear" w:color="auto" w:fill="FFFFFF"/>
            <w:vAlign w:val="center"/>
          </w:tcPr>
          <w:p w14:paraId="1BE1AE9E" w14:textId="77777777" w:rsidR="00C83319" w:rsidRDefault="00000000">
            <w:pPr>
              <w:pStyle w:val="15"/>
              <w:ind w:firstLineChars="0" w:firstLine="0"/>
              <w:jc w:val="center"/>
              <w:rPr>
                <w:rFonts w:hint="default"/>
                <w:sz w:val="18"/>
                <w:szCs w:val="18"/>
              </w:rPr>
            </w:pPr>
            <w:r>
              <w:rPr>
                <w:rFonts w:hint="default"/>
                <w:sz w:val="18"/>
                <w:szCs w:val="18"/>
              </w:rPr>
              <w:t>598</w:t>
            </w:r>
            <w:r>
              <w:rPr>
                <w:rFonts w:hint="default"/>
                <w:sz w:val="18"/>
                <w:szCs w:val="18"/>
              </w:rPr>
              <w:t>、</w:t>
            </w:r>
            <w:r>
              <w:rPr>
                <w:rFonts w:hint="default"/>
                <w:sz w:val="18"/>
                <w:szCs w:val="18"/>
              </w:rPr>
              <w:t>818</w:t>
            </w:r>
          </w:p>
        </w:tc>
        <w:tc>
          <w:tcPr>
            <w:tcW w:w="0" w:type="auto"/>
            <w:tcBorders>
              <w:top w:val="single" w:sz="4" w:space="0" w:color="000000"/>
              <w:left w:val="nil"/>
              <w:bottom w:val="nil"/>
              <w:right w:val="nil"/>
            </w:tcBorders>
            <w:shd w:val="clear" w:color="auto" w:fill="FFFFFF"/>
            <w:vAlign w:val="center"/>
          </w:tcPr>
          <w:p w14:paraId="3BF49B98" w14:textId="77777777" w:rsidR="00C83319" w:rsidRDefault="00000000">
            <w:pPr>
              <w:pStyle w:val="15"/>
              <w:ind w:firstLineChars="0" w:firstLine="0"/>
              <w:jc w:val="center"/>
              <w:rPr>
                <w:rFonts w:hint="default"/>
                <w:sz w:val="18"/>
                <w:szCs w:val="18"/>
              </w:rPr>
            </w:pPr>
            <w:r>
              <w:rPr>
                <w:rFonts w:hint="default"/>
                <w:sz w:val="18"/>
                <w:szCs w:val="18"/>
              </w:rPr>
              <w:t>0.8</w:t>
            </w:r>
          </w:p>
        </w:tc>
        <w:tc>
          <w:tcPr>
            <w:tcW w:w="0" w:type="auto"/>
            <w:tcBorders>
              <w:top w:val="single" w:sz="4" w:space="0" w:color="000000"/>
              <w:left w:val="nil"/>
              <w:bottom w:val="nil"/>
              <w:right w:val="nil"/>
            </w:tcBorders>
            <w:shd w:val="clear" w:color="auto" w:fill="FFFFFF"/>
            <w:vAlign w:val="center"/>
          </w:tcPr>
          <w:p w14:paraId="3201F8E7" w14:textId="77777777" w:rsidR="00C83319" w:rsidRDefault="00000000">
            <w:pPr>
              <w:pStyle w:val="15"/>
              <w:ind w:firstLineChars="0" w:firstLine="0"/>
              <w:jc w:val="center"/>
              <w:rPr>
                <w:rFonts w:hint="default"/>
                <w:sz w:val="18"/>
                <w:szCs w:val="18"/>
              </w:rPr>
            </w:pPr>
            <w:r>
              <w:rPr>
                <w:rFonts w:hint="default"/>
                <w:sz w:val="18"/>
                <w:szCs w:val="18"/>
              </w:rPr>
              <w:t>0.77*</w:t>
            </w:r>
          </w:p>
        </w:tc>
      </w:tr>
      <w:tr w:rsidR="00C83319" w14:paraId="086B3BF1" w14:textId="77777777" w:rsidTr="00C83319">
        <w:trPr>
          <w:jc w:val="center"/>
        </w:trPr>
        <w:tc>
          <w:tcPr>
            <w:tcW w:w="0" w:type="auto"/>
            <w:tcBorders>
              <w:top w:val="nil"/>
              <w:left w:val="nil"/>
              <w:bottom w:val="nil"/>
              <w:right w:val="nil"/>
            </w:tcBorders>
            <w:shd w:val="clear" w:color="auto" w:fill="FFFFFF"/>
            <w:vAlign w:val="center"/>
          </w:tcPr>
          <w:p w14:paraId="423AEAC0" w14:textId="77777777" w:rsidR="00C83319" w:rsidRDefault="00000000">
            <w:pPr>
              <w:pStyle w:val="15"/>
              <w:ind w:firstLineChars="0" w:firstLine="0"/>
              <w:jc w:val="center"/>
              <w:rPr>
                <w:rFonts w:hint="default"/>
                <w:sz w:val="18"/>
                <w:szCs w:val="18"/>
              </w:rPr>
            </w:pPr>
            <w:r>
              <w:rPr>
                <w:rFonts w:hint="default"/>
                <w:sz w:val="18"/>
                <w:szCs w:val="18"/>
              </w:rPr>
              <w:t>DI</w:t>
            </w:r>
          </w:p>
        </w:tc>
        <w:tc>
          <w:tcPr>
            <w:tcW w:w="0" w:type="auto"/>
            <w:tcBorders>
              <w:top w:val="nil"/>
              <w:left w:val="nil"/>
              <w:bottom w:val="nil"/>
              <w:right w:val="nil"/>
            </w:tcBorders>
            <w:shd w:val="clear" w:color="auto" w:fill="FFFFFF"/>
            <w:vAlign w:val="center"/>
          </w:tcPr>
          <w:p w14:paraId="694C9BD1" w14:textId="77777777" w:rsidR="00C83319" w:rsidRDefault="00000000">
            <w:pPr>
              <w:pStyle w:val="15"/>
              <w:ind w:firstLineChars="0" w:firstLine="0"/>
              <w:jc w:val="center"/>
              <w:rPr>
                <w:rFonts w:hint="default"/>
                <w:sz w:val="18"/>
                <w:szCs w:val="18"/>
              </w:rPr>
            </w:pPr>
            <w:r>
              <w:rPr>
                <w:rFonts w:hint="default"/>
                <w:sz w:val="18"/>
                <w:szCs w:val="18"/>
              </w:rPr>
              <w:t>602</w:t>
            </w:r>
            <w:r>
              <w:rPr>
                <w:rFonts w:hint="default"/>
                <w:sz w:val="18"/>
                <w:szCs w:val="18"/>
              </w:rPr>
              <w:t>、</w:t>
            </w:r>
            <w:r>
              <w:rPr>
                <w:rFonts w:hint="default"/>
                <w:sz w:val="18"/>
                <w:szCs w:val="18"/>
              </w:rPr>
              <w:t>786</w:t>
            </w:r>
          </w:p>
        </w:tc>
        <w:tc>
          <w:tcPr>
            <w:tcW w:w="0" w:type="auto"/>
            <w:tcBorders>
              <w:top w:val="nil"/>
              <w:left w:val="nil"/>
              <w:bottom w:val="nil"/>
              <w:right w:val="nil"/>
            </w:tcBorders>
            <w:shd w:val="clear" w:color="auto" w:fill="FFFFFF"/>
            <w:vAlign w:val="center"/>
          </w:tcPr>
          <w:p w14:paraId="3B02997C" w14:textId="77777777" w:rsidR="00C83319" w:rsidRDefault="00000000">
            <w:pPr>
              <w:pStyle w:val="15"/>
              <w:ind w:firstLineChars="0" w:firstLine="0"/>
              <w:jc w:val="center"/>
              <w:rPr>
                <w:rFonts w:hint="default"/>
                <w:sz w:val="18"/>
                <w:szCs w:val="18"/>
              </w:rPr>
            </w:pPr>
            <w:r>
              <w:rPr>
                <w:rFonts w:hint="default"/>
                <w:sz w:val="18"/>
                <w:szCs w:val="18"/>
              </w:rPr>
              <w:t>0.6</w:t>
            </w:r>
          </w:p>
        </w:tc>
        <w:tc>
          <w:tcPr>
            <w:tcW w:w="0" w:type="auto"/>
            <w:tcBorders>
              <w:top w:val="nil"/>
              <w:left w:val="nil"/>
              <w:bottom w:val="nil"/>
              <w:right w:val="nil"/>
            </w:tcBorders>
            <w:shd w:val="clear" w:color="auto" w:fill="FFFFFF"/>
            <w:vAlign w:val="center"/>
          </w:tcPr>
          <w:p w14:paraId="6DC70DD9" w14:textId="77777777" w:rsidR="00C83319" w:rsidRDefault="00000000">
            <w:pPr>
              <w:pStyle w:val="15"/>
              <w:ind w:firstLineChars="0" w:firstLine="0"/>
              <w:jc w:val="center"/>
              <w:rPr>
                <w:rFonts w:hint="default"/>
                <w:sz w:val="18"/>
                <w:szCs w:val="18"/>
              </w:rPr>
            </w:pPr>
            <w:r>
              <w:rPr>
                <w:rFonts w:hint="default"/>
                <w:sz w:val="18"/>
                <w:szCs w:val="18"/>
              </w:rPr>
              <w:t>0.78*</w:t>
            </w:r>
          </w:p>
        </w:tc>
      </w:tr>
      <w:tr w:rsidR="00C83319" w14:paraId="78C28552" w14:textId="77777777" w:rsidTr="00C83319">
        <w:trPr>
          <w:jc w:val="center"/>
        </w:trPr>
        <w:tc>
          <w:tcPr>
            <w:tcW w:w="0" w:type="auto"/>
            <w:tcBorders>
              <w:top w:val="nil"/>
              <w:left w:val="nil"/>
              <w:bottom w:val="nil"/>
              <w:right w:val="nil"/>
            </w:tcBorders>
            <w:shd w:val="clear" w:color="auto" w:fill="FFFFFF"/>
            <w:vAlign w:val="center"/>
          </w:tcPr>
          <w:p w14:paraId="14E734A4" w14:textId="77777777" w:rsidR="00C83319" w:rsidRDefault="00000000">
            <w:pPr>
              <w:pStyle w:val="15"/>
              <w:ind w:firstLineChars="0" w:firstLine="0"/>
              <w:jc w:val="center"/>
              <w:rPr>
                <w:rFonts w:hint="default"/>
                <w:sz w:val="18"/>
                <w:szCs w:val="18"/>
              </w:rPr>
            </w:pPr>
            <w:r>
              <w:rPr>
                <w:rFonts w:hint="default"/>
                <w:sz w:val="18"/>
                <w:szCs w:val="18"/>
              </w:rPr>
              <w:t>NDI</w:t>
            </w:r>
          </w:p>
        </w:tc>
        <w:tc>
          <w:tcPr>
            <w:tcW w:w="0" w:type="auto"/>
            <w:tcBorders>
              <w:top w:val="nil"/>
              <w:left w:val="nil"/>
              <w:bottom w:val="nil"/>
              <w:right w:val="nil"/>
            </w:tcBorders>
            <w:shd w:val="clear" w:color="auto" w:fill="FFFFFF"/>
            <w:vAlign w:val="center"/>
          </w:tcPr>
          <w:p w14:paraId="04DB31E0" w14:textId="77777777" w:rsidR="00C83319" w:rsidRDefault="00000000">
            <w:pPr>
              <w:pStyle w:val="15"/>
              <w:ind w:firstLineChars="0" w:firstLine="0"/>
              <w:jc w:val="center"/>
              <w:rPr>
                <w:rFonts w:hint="default"/>
                <w:sz w:val="18"/>
                <w:szCs w:val="18"/>
              </w:rPr>
            </w:pPr>
            <w:r>
              <w:rPr>
                <w:rFonts w:hint="default"/>
                <w:sz w:val="18"/>
                <w:szCs w:val="18"/>
              </w:rPr>
              <w:t>598</w:t>
            </w:r>
            <w:r>
              <w:rPr>
                <w:rFonts w:hint="default"/>
                <w:sz w:val="18"/>
                <w:szCs w:val="18"/>
              </w:rPr>
              <w:t>、</w:t>
            </w:r>
            <w:r>
              <w:rPr>
                <w:rFonts w:hint="default"/>
                <w:sz w:val="18"/>
                <w:szCs w:val="18"/>
              </w:rPr>
              <w:t>818</w:t>
            </w:r>
          </w:p>
        </w:tc>
        <w:tc>
          <w:tcPr>
            <w:tcW w:w="0" w:type="auto"/>
            <w:tcBorders>
              <w:top w:val="nil"/>
              <w:left w:val="nil"/>
              <w:bottom w:val="nil"/>
              <w:right w:val="nil"/>
            </w:tcBorders>
            <w:shd w:val="clear" w:color="auto" w:fill="FFFFFF"/>
            <w:vAlign w:val="center"/>
          </w:tcPr>
          <w:p w14:paraId="68151DFD" w14:textId="77777777" w:rsidR="00C83319" w:rsidRDefault="00000000">
            <w:pPr>
              <w:pStyle w:val="15"/>
              <w:ind w:firstLineChars="0" w:firstLine="0"/>
              <w:jc w:val="center"/>
              <w:rPr>
                <w:rFonts w:hint="default"/>
                <w:sz w:val="18"/>
                <w:szCs w:val="18"/>
              </w:rPr>
            </w:pPr>
            <w:r>
              <w:rPr>
                <w:rFonts w:hint="default"/>
                <w:sz w:val="18"/>
                <w:szCs w:val="18"/>
              </w:rPr>
              <w:t>0.8</w:t>
            </w:r>
          </w:p>
        </w:tc>
        <w:tc>
          <w:tcPr>
            <w:tcW w:w="0" w:type="auto"/>
            <w:tcBorders>
              <w:top w:val="nil"/>
              <w:left w:val="nil"/>
              <w:bottom w:val="nil"/>
              <w:right w:val="nil"/>
            </w:tcBorders>
            <w:shd w:val="clear" w:color="auto" w:fill="FFFFFF"/>
            <w:vAlign w:val="center"/>
          </w:tcPr>
          <w:p w14:paraId="0D2C54EB" w14:textId="77777777" w:rsidR="00C83319" w:rsidRDefault="00000000">
            <w:pPr>
              <w:pStyle w:val="15"/>
              <w:ind w:firstLineChars="0" w:firstLine="0"/>
              <w:jc w:val="center"/>
              <w:rPr>
                <w:rFonts w:hint="default"/>
                <w:sz w:val="18"/>
                <w:szCs w:val="18"/>
              </w:rPr>
            </w:pPr>
            <w:r>
              <w:rPr>
                <w:rFonts w:hint="default"/>
                <w:sz w:val="18"/>
                <w:szCs w:val="18"/>
              </w:rPr>
              <w:t>0.76*</w:t>
            </w:r>
          </w:p>
        </w:tc>
      </w:tr>
      <w:tr w:rsidR="00C83319" w14:paraId="41B0F850" w14:textId="77777777" w:rsidTr="00C83319">
        <w:trPr>
          <w:jc w:val="center"/>
        </w:trPr>
        <w:tc>
          <w:tcPr>
            <w:tcW w:w="0" w:type="auto"/>
            <w:tcBorders>
              <w:top w:val="nil"/>
              <w:left w:val="nil"/>
              <w:bottom w:val="nil"/>
              <w:right w:val="nil"/>
            </w:tcBorders>
            <w:shd w:val="clear" w:color="auto" w:fill="FFFFFF"/>
            <w:vAlign w:val="center"/>
          </w:tcPr>
          <w:p w14:paraId="5981A5B4" w14:textId="77777777" w:rsidR="00C83319" w:rsidRDefault="00000000">
            <w:pPr>
              <w:pStyle w:val="15"/>
              <w:ind w:firstLineChars="0" w:firstLine="0"/>
              <w:jc w:val="center"/>
              <w:rPr>
                <w:rFonts w:hint="default"/>
                <w:sz w:val="18"/>
                <w:szCs w:val="18"/>
              </w:rPr>
            </w:pPr>
            <w:r>
              <w:rPr>
                <w:rFonts w:hint="default"/>
                <w:sz w:val="18"/>
                <w:szCs w:val="18"/>
              </w:rPr>
              <w:t>TBI1</w:t>
            </w:r>
          </w:p>
        </w:tc>
        <w:tc>
          <w:tcPr>
            <w:tcW w:w="0" w:type="auto"/>
            <w:tcBorders>
              <w:top w:val="nil"/>
              <w:left w:val="nil"/>
              <w:bottom w:val="nil"/>
              <w:right w:val="nil"/>
            </w:tcBorders>
            <w:shd w:val="clear" w:color="auto" w:fill="FFFFFF"/>
            <w:vAlign w:val="center"/>
          </w:tcPr>
          <w:p w14:paraId="5DBEE19A" w14:textId="77777777" w:rsidR="00C83319" w:rsidRDefault="00000000">
            <w:pPr>
              <w:pStyle w:val="15"/>
              <w:ind w:firstLineChars="0" w:firstLine="0"/>
              <w:jc w:val="center"/>
              <w:rPr>
                <w:rFonts w:hint="default"/>
                <w:sz w:val="18"/>
                <w:szCs w:val="18"/>
              </w:rPr>
            </w:pPr>
            <w:r>
              <w:rPr>
                <w:rFonts w:hint="default"/>
                <w:sz w:val="18"/>
                <w:szCs w:val="18"/>
              </w:rPr>
              <w:t>414</w:t>
            </w:r>
            <w:r>
              <w:rPr>
                <w:rFonts w:hint="default"/>
                <w:sz w:val="18"/>
                <w:szCs w:val="18"/>
              </w:rPr>
              <w:t>、</w:t>
            </w:r>
            <w:r>
              <w:rPr>
                <w:rFonts w:hint="default"/>
                <w:sz w:val="18"/>
                <w:szCs w:val="18"/>
              </w:rPr>
              <w:t>406</w:t>
            </w:r>
            <w:r>
              <w:rPr>
                <w:rFonts w:hint="default"/>
                <w:sz w:val="18"/>
                <w:szCs w:val="18"/>
              </w:rPr>
              <w:t>、</w:t>
            </w:r>
            <w:r>
              <w:rPr>
                <w:rFonts w:hint="default"/>
                <w:sz w:val="18"/>
                <w:szCs w:val="18"/>
              </w:rPr>
              <w:t>822</w:t>
            </w:r>
          </w:p>
        </w:tc>
        <w:tc>
          <w:tcPr>
            <w:tcW w:w="0" w:type="auto"/>
            <w:tcBorders>
              <w:top w:val="nil"/>
              <w:left w:val="nil"/>
              <w:bottom w:val="nil"/>
              <w:right w:val="nil"/>
            </w:tcBorders>
            <w:shd w:val="clear" w:color="auto" w:fill="FFFFFF"/>
            <w:vAlign w:val="center"/>
          </w:tcPr>
          <w:p w14:paraId="7EE1AA68" w14:textId="77777777" w:rsidR="00C83319" w:rsidRDefault="00000000">
            <w:pPr>
              <w:pStyle w:val="15"/>
              <w:ind w:firstLineChars="0" w:firstLine="0"/>
              <w:jc w:val="center"/>
              <w:rPr>
                <w:rFonts w:hint="default"/>
                <w:sz w:val="18"/>
                <w:szCs w:val="18"/>
              </w:rPr>
            </w:pPr>
            <w:r>
              <w:rPr>
                <w:rFonts w:hint="default"/>
                <w:sz w:val="18"/>
                <w:szCs w:val="18"/>
              </w:rPr>
              <w:t>1.0</w:t>
            </w:r>
          </w:p>
        </w:tc>
        <w:tc>
          <w:tcPr>
            <w:tcW w:w="0" w:type="auto"/>
            <w:tcBorders>
              <w:top w:val="nil"/>
              <w:left w:val="nil"/>
              <w:bottom w:val="nil"/>
              <w:right w:val="nil"/>
            </w:tcBorders>
            <w:shd w:val="clear" w:color="auto" w:fill="FFFFFF"/>
            <w:vAlign w:val="center"/>
          </w:tcPr>
          <w:p w14:paraId="32535357" w14:textId="77777777" w:rsidR="00C83319" w:rsidRDefault="00000000">
            <w:pPr>
              <w:pStyle w:val="15"/>
              <w:ind w:firstLineChars="0" w:firstLine="0"/>
              <w:jc w:val="center"/>
              <w:rPr>
                <w:rFonts w:hint="default"/>
                <w:sz w:val="18"/>
                <w:szCs w:val="18"/>
              </w:rPr>
            </w:pPr>
            <w:r>
              <w:rPr>
                <w:rFonts w:hint="default"/>
                <w:sz w:val="18"/>
                <w:szCs w:val="18"/>
              </w:rPr>
              <w:t>0.81*</w:t>
            </w:r>
          </w:p>
        </w:tc>
      </w:tr>
      <w:tr w:rsidR="00C83319" w14:paraId="4CBF192F" w14:textId="77777777" w:rsidTr="00C83319">
        <w:trPr>
          <w:jc w:val="center"/>
        </w:trPr>
        <w:tc>
          <w:tcPr>
            <w:tcW w:w="0" w:type="auto"/>
            <w:tcBorders>
              <w:top w:val="nil"/>
              <w:left w:val="nil"/>
              <w:bottom w:val="nil"/>
              <w:right w:val="nil"/>
            </w:tcBorders>
            <w:shd w:val="clear" w:color="auto" w:fill="FFFFFF"/>
            <w:vAlign w:val="center"/>
          </w:tcPr>
          <w:p w14:paraId="3D32E862" w14:textId="77777777" w:rsidR="00C83319" w:rsidRDefault="00000000">
            <w:pPr>
              <w:pStyle w:val="15"/>
              <w:ind w:firstLineChars="0" w:firstLine="0"/>
              <w:jc w:val="center"/>
              <w:rPr>
                <w:rFonts w:hint="default"/>
                <w:sz w:val="18"/>
                <w:szCs w:val="18"/>
              </w:rPr>
            </w:pPr>
            <w:r>
              <w:rPr>
                <w:rFonts w:hint="default"/>
                <w:sz w:val="18"/>
                <w:szCs w:val="18"/>
              </w:rPr>
              <w:t>TBI2</w:t>
            </w:r>
          </w:p>
        </w:tc>
        <w:tc>
          <w:tcPr>
            <w:tcW w:w="0" w:type="auto"/>
            <w:tcBorders>
              <w:top w:val="nil"/>
              <w:left w:val="nil"/>
              <w:bottom w:val="nil"/>
              <w:right w:val="nil"/>
            </w:tcBorders>
            <w:shd w:val="clear" w:color="auto" w:fill="FFFFFF"/>
            <w:vAlign w:val="center"/>
          </w:tcPr>
          <w:p w14:paraId="6509D0D7" w14:textId="77777777" w:rsidR="00C83319" w:rsidRDefault="00000000">
            <w:pPr>
              <w:pStyle w:val="15"/>
              <w:ind w:firstLineChars="0" w:firstLine="0"/>
              <w:jc w:val="center"/>
              <w:rPr>
                <w:rFonts w:hint="default"/>
                <w:sz w:val="18"/>
                <w:szCs w:val="18"/>
              </w:rPr>
            </w:pPr>
            <w:r>
              <w:rPr>
                <w:rFonts w:hint="default"/>
                <w:sz w:val="18"/>
                <w:szCs w:val="18"/>
              </w:rPr>
              <w:t>786</w:t>
            </w:r>
            <w:r>
              <w:rPr>
                <w:rFonts w:hint="default"/>
                <w:sz w:val="18"/>
                <w:szCs w:val="18"/>
              </w:rPr>
              <w:t>、</w:t>
            </w:r>
            <w:r>
              <w:rPr>
                <w:rFonts w:hint="default"/>
                <w:sz w:val="18"/>
                <w:szCs w:val="18"/>
              </w:rPr>
              <w:t>614</w:t>
            </w:r>
            <w:r>
              <w:rPr>
                <w:rFonts w:hint="default"/>
                <w:sz w:val="18"/>
                <w:szCs w:val="18"/>
              </w:rPr>
              <w:t>、</w:t>
            </w:r>
            <w:r>
              <w:rPr>
                <w:rFonts w:hint="default"/>
                <w:sz w:val="18"/>
                <w:szCs w:val="18"/>
              </w:rPr>
              <w:t>914</w:t>
            </w:r>
          </w:p>
        </w:tc>
        <w:tc>
          <w:tcPr>
            <w:tcW w:w="0" w:type="auto"/>
            <w:tcBorders>
              <w:top w:val="nil"/>
              <w:left w:val="nil"/>
              <w:bottom w:val="nil"/>
              <w:right w:val="nil"/>
            </w:tcBorders>
            <w:shd w:val="clear" w:color="auto" w:fill="FFFFFF"/>
            <w:vAlign w:val="center"/>
          </w:tcPr>
          <w:p w14:paraId="449DAEC2" w14:textId="77777777" w:rsidR="00C83319" w:rsidRDefault="00000000">
            <w:pPr>
              <w:pStyle w:val="15"/>
              <w:ind w:firstLineChars="0" w:firstLine="0"/>
              <w:jc w:val="center"/>
              <w:rPr>
                <w:rFonts w:hint="default"/>
                <w:sz w:val="18"/>
                <w:szCs w:val="18"/>
              </w:rPr>
            </w:pPr>
            <w:r>
              <w:rPr>
                <w:rFonts w:hint="default"/>
                <w:sz w:val="18"/>
                <w:szCs w:val="18"/>
              </w:rPr>
              <w:t>1.0</w:t>
            </w:r>
          </w:p>
        </w:tc>
        <w:tc>
          <w:tcPr>
            <w:tcW w:w="0" w:type="auto"/>
            <w:tcBorders>
              <w:top w:val="nil"/>
              <w:left w:val="nil"/>
              <w:bottom w:val="nil"/>
              <w:right w:val="nil"/>
            </w:tcBorders>
            <w:shd w:val="clear" w:color="auto" w:fill="FFFFFF"/>
            <w:vAlign w:val="center"/>
          </w:tcPr>
          <w:p w14:paraId="70461C78" w14:textId="77777777" w:rsidR="00C83319" w:rsidRDefault="00000000">
            <w:pPr>
              <w:pStyle w:val="15"/>
              <w:ind w:firstLineChars="0" w:firstLine="0"/>
              <w:jc w:val="center"/>
              <w:rPr>
                <w:rFonts w:hint="default"/>
                <w:sz w:val="18"/>
                <w:szCs w:val="18"/>
              </w:rPr>
            </w:pPr>
            <w:r>
              <w:rPr>
                <w:rFonts w:hint="default"/>
                <w:sz w:val="18"/>
                <w:szCs w:val="18"/>
              </w:rPr>
              <w:t>0.83*</w:t>
            </w:r>
          </w:p>
        </w:tc>
      </w:tr>
      <w:tr w:rsidR="00C83319" w14:paraId="7E50A61B" w14:textId="77777777" w:rsidTr="00C83319">
        <w:trPr>
          <w:jc w:val="center"/>
        </w:trPr>
        <w:tc>
          <w:tcPr>
            <w:tcW w:w="0" w:type="auto"/>
            <w:tcBorders>
              <w:top w:val="nil"/>
              <w:left w:val="nil"/>
              <w:bottom w:val="nil"/>
              <w:right w:val="nil"/>
            </w:tcBorders>
            <w:shd w:val="clear" w:color="auto" w:fill="FFFFFF"/>
            <w:vAlign w:val="center"/>
          </w:tcPr>
          <w:p w14:paraId="5A360800" w14:textId="77777777" w:rsidR="00C83319" w:rsidRDefault="00000000">
            <w:pPr>
              <w:pStyle w:val="15"/>
              <w:ind w:firstLineChars="0" w:firstLine="0"/>
              <w:jc w:val="center"/>
              <w:rPr>
                <w:rFonts w:hint="default"/>
                <w:sz w:val="18"/>
                <w:szCs w:val="18"/>
              </w:rPr>
            </w:pPr>
            <w:r>
              <w:rPr>
                <w:rFonts w:hint="default"/>
                <w:sz w:val="18"/>
                <w:szCs w:val="18"/>
              </w:rPr>
              <w:lastRenderedPageBreak/>
              <w:t>TBI3</w:t>
            </w:r>
          </w:p>
        </w:tc>
        <w:tc>
          <w:tcPr>
            <w:tcW w:w="0" w:type="auto"/>
            <w:tcBorders>
              <w:top w:val="nil"/>
              <w:left w:val="nil"/>
              <w:bottom w:val="nil"/>
              <w:right w:val="nil"/>
            </w:tcBorders>
            <w:shd w:val="clear" w:color="auto" w:fill="FFFFFF"/>
            <w:vAlign w:val="center"/>
          </w:tcPr>
          <w:p w14:paraId="65DDBF5D" w14:textId="77777777" w:rsidR="00C83319" w:rsidRDefault="00000000">
            <w:pPr>
              <w:pStyle w:val="15"/>
              <w:ind w:firstLineChars="0" w:firstLine="0"/>
              <w:jc w:val="center"/>
              <w:rPr>
                <w:rFonts w:hint="default"/>
                <w:sz w:val="18"/>
                <w:szCs w:val="18"/>
              </w:rPr>
            </w:pPr>
            <w:r>
              <w:rPr>
                <w:rFonts w:hint="default"/>
                <w:sz w:val="18"/>
                <w:szCs w:val="18"/>
              </w:rPr>
              <w:t>402</w:t>
            </w:r>
            <w:r>
              <w:rPr>
                <w:rFonts w:hint="default"/>
                <w:sz w:val="18"/>
                <w:szCs w:val="18"/>
              </w:rPr>
              <w:t>、</w:t>
            </w:r>
            <w:r>
              <w:rPr>
                <w:rFonts w:hint="default"/>
                <w:sz w:val="18"/>
                <w:szCs w:val="18"/>
              </w:rPr>
              <w:t>434</w:t>
            </w:r>
            <w:r>
              <w:rPr>
                <w:rFonts w:hint="default"/>
                <w:sz w:val="18"/>
                <w:szCs w:val="18"/>
              </w:rPr>
              <w:t>、</w:t>
            </w:r>
            <w:r>
              <w:rPr>
                <w:rFonts w:hint="default"/>
                <w:sz w:val="18"/>
                <w:szCs w:val="18"/>
              </w:rPr>
              <w:t>454</w:t>
            </w:r>
          </w:p>
        </w:tc>
        <w:tc>
          <w:tcPr>
            <w:tcW w:w="0" w:type="auto"/>
            <w:tcBorders>
              <w:top w:val="nil"/>
              <w:left w:val="nil"/>
              <w:bottom w:val="nil"/>
              <w:right w:val="nil"/>
            </w:tcBorders>
            <w:shd w:val="clear" w:color="auto" w:fill="FFFFFF"/>
            <w:vAlign w:val="center"/>
          </w:tcPr>
          <w:p w14:paraId="07034B0D" w14:textId="77777777" w:rsidR="00C83319" w:rsidRDefault="00000000">
            <w:pPr>
              <w:pStyle w:val="15"/>
              <w:ind w:firstLineChars="0" w:firstLine="0"/>
              <w:jc w:val="center"/>
              <w:rPr>
                <w:rFonts w:hint="default"/>
                <w:sz w:val="18"/>
                <w:szCs w:val="18"/>
              </w:rPr>
            </w:pPr>
            <w:r>
              <w:rPr>
                <w:rFonts w:hint="default"/>
                <w:sz w:val="18"/>
                <w:szCs w:val="18"/>
              </w:rPr>
              <w:t>1.6</w:t>
            </w:r>
          </w:p>
        </w:tc>
        <w:tc>
          <w:tcPr>
            <w:tcW w:w="0" w:type="auto"/>
            <w:tcBorders>
              <w:top w:val="nil"/>
              <w:left w:val="nil"/>
              <w:bottom w:val="nil"/>
              <w:right w:val="nil"/>
            </w:tcBorders>
            <w:shd w:val="clear" w:color="auto" w:fill="FFFFFF"/>
            <w:vAlign w:val="center"/>
          </w:tcPr>
          <w:p w14:paraId="2462D34B" w14:textId="77777777" w:rsidR="00C83319" w:rsidRDefault="00000000">
            <w:pPr>
              <w:pStyle w:val="15"/>
              <w:ind w:firstLineChars="0" w:firstLine="0"/>
              <w:jc w:val="center"/>
              <w:rPr>
                <w:rFonts w:hint="default"/>
                <w:sz w:val="18"/>
                <w:szCs w:val="18"/>
              </w:rPr>
            </w:pPr>
            <w:r>
              <w:rPr>
                <w:rFonts w:hint="default"/>
                <w:sz w:val="18"/>
                <w:szCs w:val="18"/>
              </w:rPr>
              <w:t>0.82*</w:t>
            </w:r>
          </w:p>
        </w:tc>
      </w:tr>
      <w:tr w:rsidR="00C83319" w14:paraId="57B37FC1" w14:textId="77777777" w:rsidTr="00C83319">
        <w:trPr>
          <w:jc w:val="center"/>
        </w:trPr>
        <w:tc>
          <w:tcPr>
            <w:tcW w:w="0" w:type="auto"/>
            <w:tcBorders>
              <w:top w:val="nil"/>
              <w:left w:val="nil"/>
              <w:bottom w:val="nil"/>
              <w:right w:val="nil"/>
            </w:tcBorders>
            <w:shd w:val="clear" w:color="auto" w:fill="FFFFFF"/>
            <w:vAlign w:val="center"/>
          </w:tcPr>
          <w:p w14:paraId="77014D0C" w14:textId="77777777" w:rsidR="00C83319" w:rsidRDefault="00000000">
            <w:pPr>
              <w:pStyle w:val="15"/>
              <w:ind w:firstLineChars="0" w:firstLine="0"/>
              <w:jc w:val="center"/>
              <w:rPr>
                <w:rFonts w:hint="default"/>
                <w:sz w:val="18"/>
                <w:szCs w:val="18"/>
              </w:rPr>
            </w:pPr>
            <w:r>
              <w:rPr>
                <w:rFonts w:hint="default"/>
                <w:sz w:val="18"/>
                <w:szCs w:val="18"/>
              </w:rPr>
              <w:t>TBI4</w:t>
            </w:r>
          </w:p>
        </w:tc>
        <w:tc>
          <w:tcPr>
            <w:tcW w:w="0" w:type="auto"/>
            <w:tcBorders>
              <w:top w:val="nil"/>
              <w:left w:val="nil"/>
              <w:bottom w:val="nil"/>
              <w:right w:val="nil"/>
            </w:tcBorders>
            <w:shd w:val="clear" w:color="auto" w:fill="FFFFFF"/>
            <w:vAlign w:val="center"/>
          </w:tcPr>
          <w:p w14:paraId="07F5AD4A" w14:textId="77777777" w:rsidR="00C83319" w:rsidRDefault="00000000">
            <w:pPr>
              <w:pStyle w:val="15"/>
              <w:ind w:firstLineChars="0" w:firstLine="0"/>
              <w:jc w:val="center"/>
              <w:rPr>
                <w:rFonts w:hint="default"/>
                <w:sz w:val="18"/>
                <w:szCs w:val="18"/>
              </w:rPr>
            </w:pPr>
            <w:r>
              <w:rPr>
                <w:rFonts w:hint="default"/>
                <w:sz w:val="18"/>
                <w:szCs w:val="18"/>
              </w:rPr>
              <w:t>786</w:t>
            </w:r>
            <w:r>
              <w:rPr>
                <w:rFonts w:hint="default"/>
                <w:sz w:val="18"/>
                <w:szCs w:val="18"/>
              </w:rPr>
              <w:t>、</w:t>
            </w:r>
            <w:r>
              <w:rPr>
                <w:rFonts w:hint="default"/>
                <w:sz w:val="18"/>
                <w:szCs w:val="18"/>
              </w:rPr>
              <w:t>418</w:t>
            </w:r>
            <w:r>
              <w:rPr>
                <w:rFonts w:hint="default"/>
                <w:sz w:val="18"/>
                <w:szCs w:val="18"/>
              </w:rPr>
              <w:t>、</w:t>
            </w:r>
            <w:r>
              <w:rPr>
                <w:rFonts w:hint="default"/>
                <w:sz w:val="18"/>
                <w:szCs w:val="18"/>
              </w:rPr>
              <w:t>458</w:t>
            </w:r>
          </w:p>
        </w:tc>
        <w:tc>
          <w:tcPr>
            <w:tcW w:w="0" w:type="auto"/>
            <w:tcBorders>
              <w:top w:val="nil"/>
              <w:left w:val="nil"/>
              <w:bottom w:val="nil"/>
              <w:right w:val="nil"/>
            </w:tcBorders>
            <w:shd w:val="clear" w:color="auto" w:fill="FFFFFF"/>
            <w:vAlign w:val="center"/>
          </w:tcPr>
          <w:p w14:paraId="7705A0F5" w14:textId="77777777" w:rsidR="00C83319" w:rsidRDefault="00000000">
            <w:pPr>
              <w:pStyle w:val="15"/>
              <w:ind w:firstLineChars="0" w:firstLine="0"/>
              <w:jc w:val="center"/>
              <w:rPr>
                <w:rFonts w:hint="default"/>
                <w:sz w:val="18"/>
                <w:szCs w:val="18"/>
              </w:rPr>
            </w:pPr>
            <w:r>
              <w:rPr>
                <w:rFonts w:hint="default"/>
                <w:sz w:val="18"/>
                <w:szCs w:val="18"/>
              </w:rPr>
              <w:t>0.8</w:t>
            </w:r>
          </w:p>
        </w:tc>
        <w:tc>
          <w:tcPr>
            <w:tcW w:w="0" w:type="auto"/>
            <w:tcBorders>
              <w:top w:val="nil"/>
              <w:left w:val="nil"/>
              <w:bottom w:val="nil"/>
              <w:right w:val="nil"/>
            </w:tcBorders>
            <w:shd w:val="clear" w:color="auto" w:fill="FFFFFF"/>
            <w:vAlign w:val="center"/>
          </w:tcPr>
          <w:p w14:paraId="2DFCD63C" w14:textId="77777777" w:rsidR="00C83319" w:rsidRDefault="00000000">
            <w:pPr>
              <w:pStyle w:val="15"/>
              <w:ind w:firstLineChars="0" w:firstLine="0"/>
              <w:jc w:val="center"/>
              <w:rPr>
                <w:rFonts w:hint="default"/>
                <w:sz w:val="18"/>
                <w:szCs w:val="18"/>
              </w:rPr>
            </w:pPr>
            <w:r>
              <w:rPr>
                <w:rFonts w:hint="default"/>
                <w:sz w:val="18"/>
                <w:szCs w:val="18"/>
              </w:rPr>
              <w:t>0.83*</w:t>
            </w:r>
          </w:p>
        </w:tc>
      </w:tr>
      <w:tr w:rsidR="00C83319" w14:paraId="73A6E039" w14:textId="77777777" w:rsidTr="00C83319">
        <w:trPr>
          <w:jc w:val="center"/>
        </w:trPr>
        <w:tc>
          <w:tcPr>
            <w:tcW w:w="0" w:type="auto"/>
            <w:tcBorders>
              <w:top w:val="nil"/>
              <w:left w:val="nil"/>
              <w:bottom w:val="nil"/>
              <w:right w:val="nil"/>
            </w:tcBorders>
            <w:shd w:val="clear" w:color="auto" w:fill="FFFFFF"/>
            <w:vAlign w:val="center"/>
          </w:tcPr>
          <w:p w14:paraId="1C3905A7" w14:textId="77777777" w:rsidR="00C83319" w:rsidRDefault="00000000">
            <w:pPr>
              <w:pStyle w:val="15"/>
              <w:ind w:firstLineChars="0" w:firstLine="0"/>
              <w:jc w:val="center"/>
              <w:rPr>
                <w:rFonts w:hint="default"/>
                <w:sz w:val="18"/>
                <w:szCs w:val="18"/>
              </w:rPr>
            </w:pPr>
            <w:r>
              <w:rPr>
                <w:rFonts w:hint="default"/>
                <w:sz w:val="18"/>
                <w:szCs w:val="18"/>
              </w:rPr>
              <w:t>TBI5</w:t>
            </w:r>
          </w:p>
        </w:tc>
        <w:tc>
          <w:tcPr>
            <w:tcW w:w="0" w:type="auto"/>
            <w:tcBorders>
              <w:top w:val="nil"/>
              <w:left w:val="nil"/>
              <w:bottom w:val="nil"/>
              <w:right w:val="nil"/>
            </w:tcBorders>
            <w:shd w:val="clear" w:color="auto" w:fill="FFFFFF"/>
            <w:vAlign w:val="center"/>
          </w:tcPr>
          <w:p w14:paraId="529A98C8" w14:textId="77777777" w:rsidR="00C83319" w:rsidRDefault="00000000">
            <w:pPr>
              <w:pStyle w:val="15"/>
              <w:ind w:firstLineChars="0" w:firstLine="0"/>
              <w:jc w:val="center"/>
              <w:rPr>
                <w:rFonts w:hint="default"/>
                <w:sz w:val="18"/>
                <w:szCs w:val="18"/>
              </w:rPr>
            </w:pPr>
            <w:r>
              <w:rPr>
                <w:rFonts w:hint="default"/>
                <w:sz w:val="18"/>
                <w:szCs w:val="18"/>
              </w:rPr>
              <w:t>934</w:t>
            </w:r>
            <w:r>
              <w:rPr>
                <w:rFonts w:hint="default"/>
                <w:sz w:val="18"/>
                <w:szCs w:val="18"/>
              </w:rPr>
              <w:t>、</w:t>
            </w:r>
            <w:r>
              <w:rPr>
                <w:rFonts w:hint="default"/>
                <w:sz w:val="18"/>
                <w:szCs w:val="18"/>
              </w:rPr>
              <w:t>402</w:t>
            </w:r>
            <w:r>
              <w:rPr>
                <w:rFonts w:hint="default"/>
                <w:sz w:val="18"/>
                <w:szCs w:val="18"/>
              </w:rPr>
              <w:t>、</w:t>
            </w:r>
            <w:r>
              <w:rPr>
                <w:rFonts w:hint="default"/>
                <w:sz w:val="18"/>
                <w:szCs w:val="18"/>
              </w:rPr>
              <w:t>614</w:t>
            </w:r>
          </w:p>
        </w:tc>
        <w:tc>
          <w:tcPr>
            <w:tcW w:w="0" w:type="auto"/>
            <w:tcBorders>
              <w:top w:val="nil"/>
              <w:left w:val="nil"/>
              <w:bottom w:val="nil"/>
              <w:right w:val="nil"/>
            </w:tcBorders>
            <w:shd w:val="clear" w:color="auto" w:fill="FFFFFF"/>
            <w:vAlign w:val="center"/>
          </w:tcPr>
          <w:p w14:paraId="0FE40494" w14:textId="77777777" w:rsidR="00C83319" w:rsidRDefault="00000000">
            <w:pPr>
              <w:pStyle w:val="15"/>
              <w:ind w:firstLineChars="0" w:firstLine="0"/>
              <w:jc w:val="center"/>
              <w:rPr>
                <w:rFonts w:hint="default"/>
                <w:sz w:val="18"/>
                <w:szCs w:val="18"/>
              </w:rPr>
            </w:pPr>
            <w:r>
              <w:rPr>
                <w:rFonts w:hint="default"/>
                <w:sz w:val="18"/>
                <w:szCs w:val="18"/>
              </w:rPr>
              <w:t>1.4</w:t>
            </w:r>
          </w:p>
        </w:tc>
        <w:tc>
          <w:tcPr>
            <w:tcW w:w="0" w:type="auto"/>
            <w:tcBorders>
              <w:top w:val="nil"/>
              <w:left w:val="nil"/>
              <w:bottom w:val="nil"/>
              <w:right w:val="nil"/>
            </w:tcBorders>
            <w:shd w:val="clear" w:color="auto" w:fill="FFFFFF"/>
            <w:vAlign w:val="center"/>
          </w:tcPr>
          <w:p w14:paraId="39906607" w14:textId="77777777" w:rsidR="00C83319" w:rsidRDefault="00000000">
            <w:pPr>
              <w:pStyle w:val="15"/>
              <w:ind w:firstLineChars="0" w:firstLine="0"/>
              <w:jc w:val="center"/>
              <w:rPr>
                <w:rFonts w:hint="default"/>
                <w:sz w:val="18"/>
                <w:szCs w:val="18"/>
              </w:rPr>
            </w:pPr>
            <w:r>
              <w:rPr>
                <w:rFonts w:hint="default"/>
                <w:sz w:val="18"/>
                <w:szCs w:val="18"/>
              </w:rPr>
              <w:t>0.81*</w:t>
            </w:r>
          </w:p>
        </w:tc>
      </w:tr>
      <w:tr w:rsidR="00C83319" w14:paraId="76D82E19" w14:textId="77777777" w:rsidTr="00C83319">
        <w:trPr>
          <w:jc w:val="center"/>
        </w:trPr>
        <w:tc>
          <w:tcPr>
            <w:tcW w:w="0" w:type="auto"/>
            <w:tcBorders>
              <w:top w:val="nil"/>
              <w:left w:val="nil"/>
              <w:bottom w:val="single" w:sz="12" w:space="0" w:color="000000"/>
              <w:right w:val="nil"/>
            </w:tcBorders>
            <w:shd w:val="clear" w:color="auto" w:fill="FFFFFF"/>
            <w:vAlign w:val="center"/>
          </w:tcPr>
          <w:p w14:paraId="63F4E80F" w14:textId="77777777" w:rsidR="00C83319" w:rsidRDefault="00000000">
            <w:pPr>
              <w:pStyle w:val="15"/>
              <w:ind w:firstLineChars="0" w:firstLine="0"/>
              <w:jc w:val="center"/>
              <w:rPr>
                <w:rFonts w:hint="default"/>
                <w:sz w:val="18"/>
                <w:szCs w:val="18"/>
              </w:rPr>
            </w:pPr>
            <w:r>
              <w:rPr>
                <w:rFonts w:hint="default"/>
                <w:sz w:val="18"/>
                <w:szCs w:val="18"/>
              </w:rPr>
              <w:t>TBI6</w:t>
            </w:r>
          </w:p>
        </w:tc>
        <w:tc>
          <w:tcPr>
            <w:tcW w:w="0" w:type="auto"/>
            <w:tcBorders>
              <w:top w:val="nil"/>
              <w:left w:val="nil"/>
              <w:bottom w:val="single" w:sz="12" w:space="0" w:color="000000"/>
              <w:right w:val="nil"/>
            </w:tcBorders>
            <w:shd w:val="clear" w:color="auto" w:fill="FFFFFF"/>
            <w:vAlign w:val="center"/>
          </w:tcPr>
          <w:p w14:paraId="4577834E" w14:textId="77777777" w:rsidR="00C83319" w:rsidRDefault="00000000">
            <w:pPr>
              <w:pStyle w:val="15"/>
              <w:ind w:firstLineChars="0" w:firstLine="0"/>
              <w:jc w:val="center"/>
              <w:rPr>
                <w:rFonts w:hint="default"/>
                <w:sz w:val="18"/>
                <w:szCs w:val="18"/>
              </w:rPr>
            </w:pPr>
            <w:r>
              <w:rPr>
                <w:rFonts w:hint="default"/>
                <w:sz w:val="18"/>
                <w:szCs w:val="18"/>
              </w:rPr>
              <w:t>418</w:t>
            </w:r>
            <w:r>
              <w:rPr>
                <w:rFonts w:hint="default"/>
                <w:sz w:val="18"/>
                <w:szCs w:val="18"/>
              </w:rPr>
              <w:t>、</w:t>
            </w:r>
            <w:r>
              <w:rPr>
                <w:rFonts w:hint="default"/>
                <w:sz w:val="18"/>
                <w:szCs w:val="18"/>
              </w:rPr>
              <w:t>786</w:t>
            </w:r>
            <w:r>
              <w:rPr>
                <w:rFonts w:hint="default"/>
                <w:sz w:val="18"/>
                <w:szCs w:val="18"/>
              </w:rPr>
              <w:t>、</w:t>
            </w:r>
            <w:r>
              <w:rPr>
                <w:rFonts w:hint="default"/>
                <w:sz w:val="18"/>
                <w:szCs w:val="18"/>
              </w:rPr>
              <w:t>942</w:t>
            </w:r>
          </w:p>
        </w:tc>
        <w:tc>
          <w:tcPr>
            <w:tcW w:w="0" w:type="auto"/>
            <w:tcBorders>
              <w:top w:val="nil"/>
              <w:left w:val="nil"/>
              <w:bottom w:val="single" w:sz="12" w:space="0" w:color="000000"/>
              <w:right w:val="nil"/>
            </w:tcBorders>
            <w:shd w:val="clear" w:color="auto" w:fill="FFFFFF"/>
            <w:vAlign w:val="center"/>
          </w:tcPr>
          <w:p w14:paraId="14F52AD8" w14:textId="77777777" w:rsidR="00C83319" w:rsidRDefault="00000000">
            <w:pPr>
              <w:pStyle w:val="15"/>
              <w:ind w:firstLineChars="0" w:firstLine="0"/>
              <w:jc w:val="center"/>
              <w:rPr>
                <w:rFonts w:hint="default"/>
                <w:sz w:val="18"/>
                <w:szCs w:val="18"/>
              </w:rPr>
            </w:pPr>
            <w:r>
              <w:rPr>
                <w:rFonts w:hint="default"/>
                <w:sz w:val="18"/>
                <w:szCs w:val="18"/>
              </w:rPr>
              <w:t>1.0</w:t>
            </w:r>
          </w:p>
        </w:tc>
        <w:tc>
          <w:tcPr>
            <w:tcW w:w="0" w:type="auto"/>
            <w:tcBorders>
              <w:top w:val="nil"/>
              <w:left w:val="nil"/>
              <w:bottom w:val="single" w:sz="12" w:space="0" w:color="000000"/>
              <w:right w:val="nil"/>
            </w:tcBorders>
            <w:shd w:val="clear" w:color="auto" w:fill="FFFFFF"/>
            <w:vAlign w:val="center"/>
          </w:tcPr>
          <w:p w14:paraId="1C795C57" w14:textId="77777777" w:rsidR="00C83319" w:rsidRDefault="00000000">
            <w:pPr>
              <w:pStyle w:val="15"/>
              <w:ind w:firstLineChars="0" w:firstLine="0"/>
              <w:jc w:val="center"/>
              <w:rPr>
                <w:rFonts w:hint="default"/>
                <w:sz w:val="18"/>
                <w:szCs w:val="18"/>
              </w:rPr>
            </w:pPr>
            <w:r>
              <w:rPr>
                <w:rFonts w:hint="default"/>
                <w:sz w:val="18"/>
                <w:szCs w:val="18"/>
              </w:rPr>
              <w:t>0.84*</w:t>
            </w:r>
          </w:p>
        </w:tc>
      </w:tr>
    </w:tbl>
    <w:p w14:paraId="5E6D73A2" w14:textId="77777777" w:rsidR="00C83319" w:rsidRDefault="00000000">
      <w:pPr>
        <w:pStyle w:val="15"/>
        <w:ind w:firstLineChars="0" w:firstLine="0"/>
        <w:rPr>
          <w:rFonts w:hint="default"/>
        </w:rPr>
      </w:pPr>
      <w:r>
        <w:rPr>
          <w:rFonts w:eastAsia="黑体" w:hint="default"/>
          <w:sz w:val="18"/>
          <w:szCs w:val="18"/>
        </w:rPr>
        <w:t>注：</w:t>
      </w:r>
      <w:r>
        <w:rPr>
          <w:rFonts w:eastAsia="黑体" w:hint="default"/>
          <w:sz w:val="18"/>
          <w:szCs w:val="18"/>
        </w:rPr>
        <w:t>*</w:t>
      </w:r>
      <w:r>
        <w:rPr>
          <w:rFonts w:eastAsia="黑体" w:hint="default"/>
          <w:sz w:val="18"/>
          <w:szCs w:val="18"/>
        </w:rPr>
        <w:t>表示在</w:t>
      </w:r>
      <m:oMath>
        <m:r>
          <m:rPr>
            <m:nor/>
          </m:rPr>
          <w:rPr>
            <w:rFonts w:eastAsia="黑体" w:hint="default"/>
            <w:sz w:val="18"/>
            <w:szCs w:val="18"/>
          </w:rPr>
          <m:t>p&lt;0.01</m:t>
        </m:r>
      </m:oMath>
      <w:r>
        <w:rPr>
          <w:rFonts w:eastAsia="黑体" w:hint="default"/>
          <w:sz w:val="18"/>
          <w:szCs w:val="18"/>
        </w:rPr>
        <w:t>水平上显著。</w:t>
      </w:r>
      <w:r>
        <w:rPr>
          <w:rFonts w:eastAsia="黑体" w:hint="default"/>
          <w:sz w:val="18"/>
          <w:szCs w:val="18"/>
        </w:rPr>
        <w:t xml:space="preserve">Note: * indicates significance at </w:t>
      </w:r>
      <m:oMath>
        <m:r>
          <m:rPr>
            <m:nor/>
          </m:rPr>
          <w:rPr>
            <w:rFonts w:eastAsia="黑体" w:hint="default"/>
            <w:sz w:val="18"/>
            <w:szCs w:val="18"/>
          </w:rPr>
          <m:t>p&lt;0.01</m:t>
        </m:r>
      </m:oMath>
      <w:r>
        <w:rPr>
          <w:rFonts w:eastAsia="黑体" w:hint="default"/>
          <w:sz w:val="18"/>
          <w:szCs w:val="18"/>
        </w:rPr>
        <w:t xml:space="preserve"> level.</w:t>
      </w:r>
    </w:p>
    <w:p w14:paraId="27FA061D" w14:textId="77777777" w:rsidR="00C83319" w:rsidRDefault="00000000">
      <w:pPr>
        <w:pStyle w:val="afe"/>
        <w:ind w:firstLineChars="0" w:firstLine="0"/>
        <w:jc w:val="center"/>
        <w:rPr>
          <w:rFonts w:ascii="Times New Roman" w:hAnsi="Times New Roman"/>
        </w:rPr>
      </w:pPr>
      <w:r>
        <w:rPr>
          <w:rFonts w:ascii="Times New Roman" w:hAnsi="Times New Roman" w:hint="eastAsia"/>
          <w:noProof/>
        </w:rPr>
        <w:drawing>
          <wp:inline distT="0" distB="0" distL="114300" distR="114300" wp14:anchorId="01979983" wp14:editId="0DDC18C3">
            <wp:extent cx="5637796" cy="4954137"/>
            <wp:effectExtent l="0" t="0" r="1270" b="0"/>
            <wp:docPr id="9" name="图片 9" descr="fig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fig5"/>
                    <pic:cNvPicPr>
                      <a:picLocks noChangeAspect="1"/>
                    </pic:cNvPicPr>
                  </pic:nvPicPr>
                  <pic:blipFill>
                    <a:blip r:embed="rId12"/>
                    <a:stretch>
                      <a:fillRect/>
                    </a:stretch>
                  </pic:blipFill>
                  <pic:spPr>
                    <a:xfrm>
                      <a:off x="0" y="0"/>
                      <a:ext cx="5668376" cy="4981009"/>
                    </a:xfrm>
                    <a:prstGeom prst="rect">
                      <a:avLst/>
                    </a:prstGeom>
                  </pic:spPr>
                </pic:pic>
              </a:graphicData>
            </a:graphic>
          </wp:inline>
        </w:drawing>
      </w:r>
    </w:p>
    <w:p w14:paraId="3DC94E77" w14:textId="77777777" w:rsidR="00C83319" w:rsidRDefault="00000000">
      <w:pPr>
        <w:pStyle w:val="aff5"/>
      </w:pPr>
      <w:r>
        <w:rPr>
          <w:rFonts w:hint="eastAsia"/>
        </w:rPr>
        <w:t>图</w:t>
      </w:r>
      <w:r>
        <w:rPr>
          <w:rFonts w:hint="eastAsia"/>
        </w:rPr>
        <w:t xml:space="preserve">5 </w:t>
      </w:r>
      <w:r>
        <w:rPr>
          <w:rFonts w:hint="eastAsia"/>
        </w:rPr>
        <w:t>多维光谱指数与土壤全盐量相关系数</w:t>
      </w:r>
    </w:p>
    <w:p w14:paraId="6ED41374" w14:textId="77777777" w:rsidR="00C83319" w:rsidRDefault="00000000">
      <w:pPr>
        <w:pStyle w:val="aff5"/>
      </w:pPr>
      <w:r>
        <w:rPr>
          <w:rFonts w:hint="eastAsia"/>
        </w:rPr>
        <w:t xml:space="preserve">Fig. </w:t>
      </w:r>
      <w:proofErr w:type="gramStart"/>
      <w:r>
        <w:rPr>
          <w:rFonts w:hint="eastAsia"/>
        </w:rPr>
        <w:t>5  Correlation</w:t>
      </w:r>
      <w:proofErr w:type="gramEnd"/>
      <w:r>
        <w:rPr>
          <w:rFonts w:hint="eastAsia"/>
        </w:rPr>
        <w:t xml:space="preserve"> coefficients between multi-dimensional spectral indices and soil total salt content</w:t>
      </w:r>
    </w:p>
    <w:p w14:paraId="58FB3C61" w14:textId="77777777" w:rsidR="00C83319" w:rsidRDefault="00000000">
      <w:pPr>
        <w:pStyle w:val="2"/>
      </w:pPr>
      <w:r>
        <w:rPr>
          <w:rFonts w:hint="eastAsia"/>
        </w:rPr>
        <w:t>单阶次模型反演精度分析</w:t>
      </w:r>
    </w:p>
    <w:p w14:paraId="39483D2A" w14:textId="77777777" w:rsidR="00C83319" w:rsidRDefault="00000000">
      <w:pPr>
        <w:pStyle w:val="15"/>
        <w:rPr>
          <w:rFonts w:hint="default"/>
        </w:rPr>
      </w:pPr>
      <w:r>
        <w:t>本研究对比了</w:t>
      </w:r>
      <w:r>
        <w:t>PLSR</w:t>
      </w:r>
      <w:r>
        <w:t>、</w:t>
      </w:r>
      <w:r>
        <w:t>SVM</w:t>
      </w:r>
      <w:r>
        <w:t>、</w:t>
      </w:r>
      <w:r>
        <w:t>RF</w:t>
      </w:r>
      <w:r>
        <w:t>和</w:t>
      </w:r>
      <w:r>
        <w:t>XGBoost</w:t>
      </w:r>
      <w:r>
        <w:t>四种模型在各自最优微分变换阶数下的土壤全盐量反演效果，结果如图</w:t>
      </w:r>
      <w:r w:rsidR="00C83319">
        <w:fldChar w:fldCharType="begin"/>
      </w:r>
      <w:r w:rsidR="00C83319">
        <w:instrText>HYPERLINK \l "fig:scatter" \h</w:instrText>
      </w:r>
      <w:r w:rsidR="00C83319">
        <w:fldChar w:fldCharType="separate"/>
      </w:r>
      <w:r w:rsidR="00C83319">
        <w:t>6</w:t>
      </w:r>
      <w:r w:rsidR="00C83319">
        <w:fldChar w:fldCharType="end"/>
      </w:r>
      <w:r>
        <w:t>所示。其中，采用</w:t>
      </w:r>
      <w:r>
        <w:t>1.8</w:t>
      </w:r>
      <w:r>
        <w:t>阶微分变换的</w:t>
      </w:r>
      <w:r>
        <w:t>RF</w:t>
      </w:r>
      <w:r>
        <w:t>模型精度最佳，测试集</w:t>
      </w:r>
      <m:oMath>
        <m:sSup>
          <m:sSupPr>
            <m:ctrlPr>
              <w:rPr>
                <w:rFonts w:ascii="Cambria Math" w:hAnsi="Cambria Math"/>
              </w:rPr>
            </m:ctrlPr>
          </m:sSupPr>
          <m:e>
            <m:r>
              <m:rPr>
                <m:sty m:val="p"/>
              </m:rPr>
              <w:rPr>
                <w:rFonts w:ascii="Cambria Math" w:hAnsi="Cambria Math"/>
              </w:rPr>
              <m:t>R</m:t>
            </m:r>
          </m:e>
          <m:sup>
            <m:r>
              <m:rPr>
                <m:sty m:val="p"/>
              </m:rPr>
              <w:rPr>
                <w:rFonts w:ascii="Cambria Math" w:hAnsi="Cambria Math"/>
              </w:rPr>
              <m:t>2</m:t>
            </m:r>
          </m:sup>
        </m:sSup>
      </m:oMath>
      <w:r>
        <w:t>为</w:t>
      </w:r>
      <w:r>
        <w:t>0.74</w:t>
      </w:r>
      <w:r>
        <w:t>，</w:t>
      </w:r>
      <w:r>
        <w:t>RMSE</w:t>
      </w:r>
      <w:r>
        <w:t>为</w:t>
      </w:r>
      <w:r>
        <w:t>1.55 g/kg</w:t>
      </w:r>
      <w:r>
        <w:t>，</w:t>
      </w:r>
      <w:r>
        <w:t>RPD</w:t>
      </w:r>
      <w:r>
        <w:t>为</w:t>
      </w:r>
      <w:r>
        <w:t>1.94</w:t>
      </w:r>
      <w:r>
        <w:t>，显示出较好的反演能力。</w:t>
      </w:r>
      <w:r>
        <w:t>0.6</w:t>
      </w:r>
      <w:r>
        <w:t>阶微分变换的</w:t>
      </w:r>
      <w:r>
        <w:t>SVM</w:t>
      </w:r>
      <w:r>
        <w:t>模型精度次之，测试集</w:t>
      </w:r>
      <m:oMath>
        <m:sSup>
          <m:sSupPr>
            <m:ctrlPr>
              <w:rPr>
                <w:rFonts w:ascii="Cambria Math" w:hAnsi="Cambria Math"/>
              </w:rPr>
            </m:ctrlPr>
          </m:sSupPr>
          <m:e>
            <m:r>
              <m:rPr>
                <m:sty m:val="p"/>
              </m:rPr>
              <w:rPr>
                <w:rFonts w:ascii="Cambria Math" w:hAnsi="Cambria Math"/>
              </w:rPr>
              <m:t>R</m:t>
            </m:r>
          </m:e>
          <m:sup>
            <m:r>
              <m:rPr>
                <m:sty m:val="p"/>
              </m:rPr>
              <w:rPr>
                <w:rFonts w:ascii="Cambria Math" w:hAnsi="Cambria Math"/>
              </w:rPr>
              <m:t>2</m:t>
            </m:r>
          </m:sup>
        </m:sSup>
      </m:oMath>
      <w:r>
        <w:t>为</w:t>
      </w:r>
      <w:r>
        <w:t>0.67</w:t>
      </w:r>
      <w:r>
        <w:t>，</w:t>
      </w:r>
      <w:r>
        <w:t>RMSE</w:t>
      </w:r>
      <w:r>
        <w:t>为</w:t>
      </w:r>
      <w:r>
        <w:t>1.73 g/kg</w:t>
      </w:r>
      <w:r>
        <w:t>，</w:t>
      </w:r>
      <w:r>
        <w:t>RPD</w:t>
      </w:r>
      <w:r>
        <w:t>为</w:t>
      </w:r>
      <w:r>
        <w:t>1.73</w:t>
      </w:r>
      <w:r>
        <w:t>。采用</w:t>
      </w:r>
      <w:r>
        <w:t>2.0</w:t>
      </w:r>
      <w:r>
        <w:t>阶微分变换的</w:t>
      </w:r>
      <w:r>
        <w:t>PLSR</w:t>
      </w:r>
      <w:r>
        <w:t>模型受限于线性假设，对复杂光谱特征的拟合能力有限</w:t>
      </w:r>
      <w:r>
        <w:rPr>
          <w:vertAlign w:val="superscript"/>
        </w:rPr>
        <w:t>[11]</w:t>
      </w:r>
      <w:r>
        <w:t>，测试集</w:t>
      </w:r>
      <m:oMath>
        <m:sSup>
          <m:sSupPr>
            <m:ctrlPr>
              <w:rPr>
                <w:rFonts w:ascii="Cambria Math" w:hAnsi="Cambria Math"/>
              </w:rPr>
            </m:ctrlPr>
          </m:sSupPr>
          <m:e>
            <m:r>
              <m:rPr>
                <m:sty m:val="p"/>
              </m:rPr>
              <w:rPr>
                <w:rFonts w:ascii="Cambria Math" w:hAnsi="Cambria Math"/>
              </w:rPr>
              <m:t>R</m:t>
            </m:r>
          </m:e>
          <m:sup>
            <m:r>
              <m:rPr>
                <m:sty m:val="p"/>
              </m:rPr>
              <w:rPr>
                <w:rFonts w:ascii="Cambria Math" w:hAnsi="Cambria Math"/>
              </w:rPr>
              <m:t>2</m:t>
            </m:r>
          </m:sup>
        </m:sSup>
      </m:oMath>
      <w:r>
        <w:t>为</w:t>
      </w:r>
      <w:r>
        <w:t>0.65</w:t>
      </w:r>
      <w:r>
        <w:t>，</w:t>
      </w:r>
      <w:r>
        <w:t>RMSE</w:t>
      </w:r>
      <w:r>
        <w:t>为</w:t>
      </w:r>
      <w:r>
        <w:t>1.73 g/kg</w:t>
      </w:r>
      <w:r>
        <w:t>，</w:t>
      </w:r>
      <w:r>
        <w:t>RPD</w:t>
      </w:r>
      <w:r>
        <w:t>为</w:t>
      </w:r>
      <w:r>
        <w:t>1.73</w:t>
      </w:r>
      <w:r>
        <w:t>。采用</w:t>
      </w:r>
      <w:r>
        <w:t>1.4</w:t>
      </w:r>
      <w:r>
        <w:t>阶微分变换的</w:t>
      </w:r>
      <w:r>
        <w:t>XGBoost</w:t>
      </w:r>
      <w:r>
        <w:t>模型表现最差，尽管其训练集拟合度极高（</w:t>
      </w:r>
      <m:oMath>
        <m:sSup>
          <m:sSupPr>
            <m:ctrlPr>
              <w:rPr>
                <w:rFonts w:ascii="Cambria Math" w:hAnsi="Cambria Math"/>
              </w:rPr>
            </m:ctrlPr>
          </m:sSupPr>
          <m:e>
            <m:r>
              <m:rPr>
                <m:sty m:val="p"/>
              </m:rPr>
              <w:rPr>
                <w:rFonts w:ascii="Cambria Math" w:hAnsi="Cambria Math"/>
              </w:rPr>
              <m:t>R</m:t>
            </m:r>
          </m:e>
          <m:sup>
            <m:r>
              <m:rPr>
                <m:sty m:val="p"/>
              </m:rPr>
              <w:rPr>
                <w:rFonts w:ascii="Cambria Math" w:hAnsi="Cambria Math"/>
              </w:rPr>
              <m:t>2</m:t>
            </m:r>
          </m:sup>
        </m:sSup>
      </m:oMath>
      <w:r>
        <w:t>为</w:t>
      </w:r>
      <w:r>
        <w:t>0.97</w:t>
      </w:r>
      <w:r>
        <w:t>），但测试集</w:t>
      </w:r>
      <m:oMath>
        <m:sSup>
          <m:sSupPr>
            <m:ctrlPr>
              <w:rPr>
                <w:rFonts w:ascii="Cambria Math" w:hAnsi="Cambria Math"/>
              </w:rPr>
            </m:ctrlPr>
          </m:sSupPr>
          <m:e>
            <m:r>
              <m:rPr>
                <m:sty m:val="p"/>
              </m:rPr>
              <w:rPr>
                <w:rFonts w:ascii="Cambria Math" w:hAnsi="Cambria Math"/>
              </w:rPr>
              <m:t>R</m:t>
            </m:r>
          </m:e>
          <m:sup>
            <m:r>
              <m:rPr>
                <m:sty m:val="p"/>
              </m:rPr>
              <w:rPr>
                <w:rFonts w:ascii="Cambria Math" w:hAnsi="Cambria Math"/>
              </w:rPr>
              <m:t>2</m:t>
            </m:r>
          </m:sup>
        </m:sSup>
      </m:oMath>
      <w:r>
        <w:t>仅为</w:t>
      </w:r>
      <w:r>
        <w:t>0.43</w:t>
      </w:r>
      <w:r>
        <w:t>，</w:t>
      </w:r>
      <w:r>
        <w:t>RMSE</w:t>
      </w:r>
      <w:r>
        <w:t>为</w:t>
      </w:r>
      <w:r>
        <w:t>2.20 g/kg</w:t>
      </w:r>
      <w:r>
        <w:t>，</w:t>
      </w:r>
      <w:r>
        <w:t>RPD</w:t>
      </w:r>
      <w:r>
        <w:t>为</w:t>
      </w:r>
      <w:r>
        <w:t>1.36</w:t>
      </w:r>
      <w:r>
        <w:t>，训练集与测试集精度差距最大，表现出严重的过拟合问题。总体而言，基于集成学习的</w:t>
      </w:r>
      <w:r>
        <w:t>RF</w:t>
      </w:r>
      <w:r>
        <w:t>模型在测试集上表现最优，</w:t>
      </w:r>
      <w:r>
        <w:t>SVM</w:t>
      </w:r>
      <w:r>
        <w:t>次之，两者均优于线性模型</w:t>
      </w:r>
      <w:r>
        <w:t>PLSR</w:t>
      </w:r>
      <w:r>
        <w:t>。</w:t>
      </w:r>
      <w:r>
        <w:t>XGBoost</w:t>
      </w:r>
      <w:r>
        <w:t>虽同属非线性</w:t>
      </w:r>
      <w:r>
        <w:lastRenderedPageBreak/>
        <w:t>模型，但在小样本条件下训练集与测试集</w:t>
      </w:r>
      <m:oMath>
        <m:sSup>
          <m:sSupPr>
            <m:ctrlPr>
              <w:rPr>
                <w:rFonts w:ascii="Cambria Math" w:hAnsi="Cambria Math"/>
              </w:rPr>
            </m:ctrlPr>
          </m:sSupPr>
          <m:e>
            <m:r>
              <m:rPr>
                <m:sty m:val="p"/>
              </m:rPr>
              <w:rPr>
                <w:rFonts w:ascii="Cambria Math" w:hAnsi="Cambria Math"/>
              </w:rPr>
              <m:t>R</m:t>
            </m:r>
          </m:e>
          <m:sup>
            <m:r>
              <m:rPr>
                <m:sty m:val="p"/>
              </m:rPr>
              <w:rPr>
                <w:rFonts w:ascii="Cambria Math" w:hAnsi="Cambria Math"/>
              </w:rPr>
              <m:t>2</m:t>
            </m:r>
          </m:sup>
        </m:sSup>
      </m:oMath>
      <w:r>
        <w:t>相差</w:t>
      </w:r>
      <w:r>
        <w:t>0.54</w:t>
      </w:r>
      <w:r>
        <w:t>，过拟合严重。此外，四种模型的最优微分阶次各不相同（</w:t>
      </w:r>
      <w:r>
        <w:t>RF</w:t>
      </w:r>
      <w:r>
        <w:t>为</w:t>
      </w:r>
      <w:r>
        <w:t>1.8</w:t>
      </w:r>
      <w:r>
        <w:t>阶，</w:t>
      </w:r>
      <w:r>
        <w:t>SVM</w:t>
      </w:r>
      <w:r>
        <w:t>为</w:t>
      </w:r>
      <w:r>
        <w:t>0.6</w:t>
      </w:r>
      <w:r>
        <w:t>阶，</w:t>
      </w:r>
      <w:r>
        <w:t>PLSR</w:t>
      </w:r>
      <w:r>
        <w:t>为</w:t>
      </w:r>
      <w:r>
        <w:t>2.0</w:t>
      </w:r>
      <w:r>
        <w:t>阶，</w:t>
      </w:r>
      <w:r>
        <w:t>XGBoost</w:t>
      </w:r>
      <w:r>
        <w:t>为</w:t>
      </w:r>
      <w:r>
        <w:t>1.4</w:t>
      </w:r>
      <w:r>
        <w:t>阶），说明不同算法对</w:t>
      </w:r>
      <w:r>
        <w:t>FOD</w:t>
      </w:r>
      <w:r>
        <w:t>变换后光谱特征的响应存在差异。</w:t>
      </w:r>
    </w:p>
    <w:p w14:paraId="235F4BA0" w14:textId="77777777" w:rsidR="00C83319" w:rsidRDefault="00000000">
      <w:pPr>
        <w:pStyle w:val="afe"/>
        <w:ind w:firstLineChars="0" w:firstLine="0"/>
        <w:jc w:val="center"/>
        <w:rPr>
          <w:rFonts w:ascii="Times New Roman" w:hAnsi="Times New Roman"/>
        </w:rPr>
      </w:pPr>
      <w:r>
        <w:rPr>
          <w:rFonts w:ascii="Times New Roman" w:hAnsi="Times New Roman" w:hint="eastAsia"/>
          <w:noProof/>
        </w:rPr>
        <w:drawing>
          <wp:inline distT="0" distB="0" distL="114300" distR="114300" wp14:anchorId="138E1531" wp14:editId="37606261">
            <wp:extent cx="4472135" cy="4374107"/>
            <wp:effectExtent l="0" t="0" r="0" b="7620"/>
            <wp:docPr id="10" name="图片 10" descr="fig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fig6"/>
                    <pic:cNvPicPr>
                      <a:picLocks noChangeAspect="1"/>
                    </pic:cNvPicPr>
                  </pic:nvPicPr>
                  <pic:blipFill>
                    <a:blip r:embed="rId13"/>
                    <a:stretch>
                      <a:fillRect/>
                    </a:stretch>
                  </pic:blipFill>
                  <pic:spPr>
                    <a:xfrm>
                      <a:off x="0" y="0"/>
                      <a:ext cx="4489222" cy="4390819"/>
                    </a:xfrm>
                    <a:prstGeom prst="rect">
                      <a:avLst/>
                    </a:prstGeom>
                  </pic:spPr>
                </pic:pic>
              </a:graphicData>
            </a:graphic>
          </wp:inline>
        </w:drawing>
      </w:r>
    </w:p>
    <w:p w14:paraId="19E50B06" w14:textId="77777777" w:rsidR="00C83319" w:rsidRDefault="00000000">
      <w:pPr>
        <w:pStyle w:val="aff5"/>
      </w:pPr>
      <w:r>
        <w:rPr>
          <w:rFonts w:hint="eastAsia"/>
        </w:rPr>
        <w:t>图</w:t>
      </w:r>
      <w:r>
        <w:rPr>
          <w:rFonts w:hint="eastAsia"/>
        </w:rPr>
        <w:t xml:space="preserve">6 </w:t>
      </w:r>
      <w:r>
        <w:rPr>
          <w:rFonts w:hint="eastAsia"/>
        </w:rPr>
        <w:t>不同模型土壤全盐量反演的散点图</w:t>
      </w:r>
    </w:p>
    <w:p w14:paraId="02E4AD1D" w14:textId="77777777" w:rsidR="00C83319" w:rsidRDefault="00000000">
      <w:pPr>
        <w:pStyle w:val="aff5"/>
      </w:pPr>
      <w:r>
        <w:t>Fig.</w:t>
      </w:r>
      <w:r>
        <w:rPr>
          <w:rFonts w:hint="eastAsia"/>
        </w:rPr>
        <w:t xml:space="preserve"> </w:t>
      </w:r>
      <w:r>
        <w:t>6 Scatter plots of soil total salt content inversion for different models</w:t>
      </w:r>
    </w:p>
    <w:p w14:paraId="19D1F366" w14:textId="77777777" w:rsidR="00C83319" w:rsidRDefault="00000000">
      <w:pPr>
        <w:pStyle w:val="2"/>
      </w:pPr>
      <w:r>
        <w:rPr>
          <w:rFonts w:hint="eastAsia"/>
        </w:rPr>
        <w:t>多阶次组合优选反演精度分析</w:t>
      </w:r>
    </w:p>
    <w:p w14:paraId="26735CEF" w14:textId="77777777" w:rsidR="00C83319" w:rsidRDefault="00000000">
      <w:pPr>
        <w:pStyle w:val="15"/>
        <w:rPr>
          <w:rFonts w:hint="default"/>
        </w:rPr>
      </w:pPr>
      <w:r>
        <w:t>不同数量</w:t>
      </w:r>
      <w:r>
        <w:t>FOD</w:t>
      </w:r>
      <w:r>
        <w:t>阶次组合下</w:t>
      </w:r>
      <w:r>
        <w:t>RF</w:t>
      </w:r>
      <w:r>
        <w:t>模型的测试集反演精度如图</w:t>
      </w:r>
      <w:r w:rsidR="00C83319">
        <w:fldChar w:fldCharType="begin"/>
      </w:r>
      <w:r w:rsidR="00C83319">
        <w:instrText>HYPERLINK \l "fig:combo" \h</w:instrText>
      </w:r>
      <w:r w:rsidR="00C83319">
        <w:fldChar w:fldCharType="separate"/>
      </w:r>
      <w:r w:rsidR="00C83319">
        <w:t>7</w:t>
      </w:r>
      <w:r w:rsidR="00C83319">
        <w:fldChar w:fldCharType="end"/>
      </w:r>
      <w:r>
        <w:t>a</w:t>
      </w:r>
      <w:r>
        <w:t>所示。随组合阶次数量的增加，测试集</w:t>
      </w:r>
      <m:oMath>
        <m:sSup>
          <m:sSupPr>
            <m:ctrlPr>
              <w:rPr>
                <w:rFonts w:ascii="Cambria Math" w:hAnsi="Cambria Math"/>
              </w:rPr>
            </m:ctrlPr>
          </m:sSupPr>
          <m:e>
            <m:r>
              <m:rPr>
                <m:sty m:val="p"/>
              </m:rPr>
              <w:rPr>
                <w:rFonts w:ascii="Cambria Math" w:hAnsi="Cambria Math"/>
              </w:rPr>
              <m:t>R</m:t>
            </m:r>
          </m:e>
          <m:sup>
            <m:r>
              <m:rPr>
                <m:sty m:val="p"/>
              </m:rPr>
              <w:rPr>
                <w:rFonts w:ascii="Cambria Math" w:hAnsi="Cambria Math"/>
              </w:rPr>
              <m:t>2</m:t>
            </m:r>
          </m:sup>
        </m:sSup>
      </m:oMath>
      <w:r>
        <w:t>整体呈先升后降的趋势，在</w:t>
      </w:r>
      <w:r>
        <w:t>5</w:t>
      </w:r>
      <w:r>
        <w:t>阶组合时达到峰值（</w:t>
      </w:r>
      <m:oMath>
        <m:sSup>
          <m:sSupPr>
            <m:ctrlPr>
              <w:rPr>
                <w:rFonts w:ascii="Cambria Math" w:hAnsi="Cambria Math"/>
              </w:rPr>
            </m:ctrlPr>
          </m:sSupPr>
          <m:e>
            <m:r>
              <m:rPr>
                <m:sty m:val="p"/>
              </m:rPr>
              <w:rPr>
                <w:rFonts w:ascii="Cambria Math" w:hAnsi="Cambria Math"/>
              </w:rPr>
              <m:t>R</m:t>
            </m:r>
          </m:e>
          <m:sup>
            <m:r>
              <m:rPr>
                <m:sty m:val="p"/>
              </m:rPr>
              <w:rPr>
                <w:rFonts w:ascii="Cambria Math" w:hAnsi="Cambria Math"/>
              </w:rPr>
              <m:t>2</m:t>
            </m:r>
          </m:sup>
        </m:sSup>
      </m:oMath>
      <w:r>
        <w:t>=0.81</w:t>
      </w:r>
      <w:r>
        <w:t>，</w:t>
      </w:r>
      <w:r>
        <w:t>RPD=2.34</w:t>
      </w:r>
      <w:r>
        <w:t>），</w:t>
      </w:r>
      <w:proofErr w:type="gramStart"/>
      <w:r>
        <w:t>之后随阶次数</w:t>
      </w:r>
      <w:proofErr w:type="gramEnd"/>
      <w:r>
        <w:t>量继续增加，精度逐渐下降，</w:t>
      </w:r>
      <w:r>
        <w:t>10</w:t>
      </w:r>
      <w:proofErr w:type="gramStart"/>
      <w:r>
        <w:t>阶全组合</w:t>
      </w:r>
      <w:proofErr w:type="gramEnd"/>
      <w:r>
        <w:t>的</w:t>
      </w:r>
      <m:oMath>
        <m:sSup>
          <m:sSupPr>
            <m:ctrlPr>
              <w:rPr>
                <w:rFonts w:ascii="Cambria Math" w:hAnsi="Cambria Math"/>
              </w:rPr>
            </m:ctrlPr>
          </m:sSupPr>
          <m:e>
            <m:r>
              <m:rPr>
                <m:sty m:val="p"/>
              </m:rPr>
              <w:rPr>
                <w:rFonts w:ascii="Cambria Math" w:hAnsi="Cambria Math"/>
              </w:rPr>
              <m:t>R</m:t>
            </m:r>
          </m:e>
          <m:sup>
            <m:r>
              <m:rPr>
                <m:sty m:val="p"/>
              </m:rPr>
              <w:rPr>
                <w:rFonts w:ascii="Cambria Math" w:hAnsi="Cambria Math"/>
              </w:rPr>
              <m:t>2</m:t>
            </m:r>
          </m:sup>
        </m:sSup>
      </m:oMath>
      <w:r>
        <w:t>降至</w:t>
      </w:r>
      <w:r>
        <w:t>0.75</w:t>
      </w:r>
      <w:r>
        <w:t>。值得注意的是，所有组合数量下的最优</w:t>
      </w:r>
      <m:oMath>
        <m:sSup>
          <m:sSupPr>
            <m:ctrlPr>
              <w:rPr>
                <w:rFonts w:ascii="Cambria Math" w:hAnsi="Cambria Math"/>
              </w:rPr>
            </m:ctrlPr>
          </m:sSupPr>
          <m:e>
            <m:r>
              <m:rPr>
                <m:sty m:val="p"/>
              </m:rPr>
              <w:rPr>
                <w:rFonts w:ascii="Cambria Math" w:hAnsi="Cambria Math"/>
              </w:rPr>
              <m:t>R</m:t>
            </m:r>
          </m:e>
          <m:sup>
            <m:r>
              <m:rPr>
                <m:sty m:val="p"/>
              </m:rPr>
              <w:rPr>
                <w:rFonts w:ascii="Cambria Math" w:hAnsi="Cambria Math"/>
              </w:rPr>
              <m:t>2</m:t>
            </m:r>
          </m:sup>
        </m:sSup>
      </m:oMath>
      <w:r>
        <w:t>均高于单阶次最优模型（</w:t>
      </w:r>
      <m:oMath>
        <m:sSup>
          <m:sSupPr>
            <m:ctrlPr>
              <w:rPr>
                <w:rFonts w:ascii="Cambria Math" w:hAnsi="Cambria Math"/>
              </w:rPr>
            </m:ctrlPr>
          </m:sSupPr>
          <m:e>
            <m:r>
              <m:rPr>
                <m:sty m:val="p"/>
              </m:rPr>
              <w:rPr>
                <w:rFonts w:ascii="Cambria Math" w:hAnsi="Cambria Math"/>
              </w:rPr>
              <m:t>R</m:t>
            </m:r>
          </m:e>
          <m:sup>
            <m:r>
              <m:rPr>
                <m:sty m:val="p"/>
              </m:rPr>
              <w:rPr>
                <w:rFonts w:ascii="Cambria Math" w:hAnsi="Cambria Math"/>
              </w:rPr>
              <m:t>2</m:t>
            </m:r>
          </m:sup>
        </m:sSup>
      </m:oMath>
      <w:r>
        <w:t>=0.74</w:t>
      </w:r>
      <w:r>
        <w:t>），表明多阶次组合策略整体上优于单阶次建模。但当组合阶次数量超过</w:t>
      </w:r>
      <w:r>
        <w:t>5</w:t>
      </w:r>
      <w:r>
        <w:t>时，每个阶次可分配的光谱指数数量减少，各阶次的光谱信息表达可能不够充分，反而导致精度下降。</w:t>
      </w:r>
    </w:p>
    <w:p w14:paraId="32C1153E" w14:textId="77777777" w:rsidR="00C83319" w:rsidRDefault="00000000">
      <w:pPr>
        <w:pStyle w:val="afe"/>
        <w:ind w:firstLineChars="0" w:firstLine="0"/>
        <w:jc w:val="center"/>
        <w:rPr>
          <w:rFonts w:ascii="Times New Roman" w:hAnsi="Times New Roman"/>
        </w:rPr>
      </w:pPr>
      <w:r>
        <w:rPr>
          <w:rFonts w:ascii="Times New Roman" w:hAnsi="Times New Roman" w:hint="eastAsia"/>
          <w:noProof/>
        </w:rPr>
        <w:lastRenderedPageBreak/>
        <w:drawing>
          <wp:inline distT="0" distB="0" distL="114300" distR="114300" wp14:anchorId="5623A0A0" wp14:editId="02B41487">
            <wp:extent cx="4858313" cy="2483892"/>
            <wp:effectExtent l="0" t="0" r="0" b="0"/>
            <wp:docPr id="15" name="图片 15" descr="fig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fig15"/>
                    <pic:cNvPicPr>
                      <a:picLocks noChangeAspect="1"/>
                    </pic:cNvPicPr>
                  </pic:nvPicPr>
                  <pic:blipFill>
                    <a:blip r:embed="rId14"/>
                    <a:stretch>
                      <a:fillRect/>
                    </a:stretch>
                  </pic:blipFill>
                  <pic:spPr>
                    <a:xfrm>
                      <a:off x="0" y="0"/>
                      <a:ext cx="4881749" cy="2495874"/>
                    </a:xfrm>
                    <a:prstGeom prst="rect">
                      <a:avLst/>
                    </a:prstGeom>
                  </pic:spPr>
                </pic:pic>
              </a:graphicData>
            </a:graphic>
          </wp:inline>
        </w:drawing>
      </w:r>
    </w:p>
    <w:p w14:paraId="3458ABE3" w14:textId="77777777" w:rsidR="00C83319" w:rsidRDefault="00000000">
      <w:pPr>
        <w:pStyle w:val="aff5"/>
      </w:pPr>
      <w:r>
        <w:rPr>
          <w:rFonts w:hint="eastAsia"/>
        </w:rPr>
        <w:t>图</w:t>
      </w:r>
      <w:r>
        <w:rPr>
          <w:rFonts w:hint="eastAsia"/>
        </w:rPr>
        <w:t xml:space="preserve">7 </w:t>
      </w:r>
      <w:r>
        <w:rPr>
          <w:rFonts w:hint="eastAsia"/>
        </w:rPr>
        <w:t>多阶次组合</w:t>
      </w:r>
      <w:r>
        <w:rPr>
          <w:rFonts w:hint="eastAsia"/>
        </w:rPr>
        <w:t>RF</w:t>
      </w:r>
      <w:r>
        <w:rPr>
          <w:rFonts w:hint="eastAsia"/>
        </w:rPr>
        <w:t>模型反演精度分析</w:t>
      </w:r>
    </w:p>
    <w:p w14:paraId="48C6FE6D" w14:textId="77777777" w:rsidR="00C83319" w:rsidRDefault="00000000">
      <w:pPr>
        <w:pStyle w:val="aff5"/>
        <w:rPr>
          <w:rFonts w:eastAsia="宋体"/>
        </w:rPr>
      </w:pPr>
      <w:r>
        <w:rPr>
          <w:rFonts w:hint="eastAsia"/>
        </w:rPr>
        <w:t>Fig. 7 Accuracy analysis of multi-order combination RF model</w:t>
      </w:r>
    </w:p>
    <w:p w14:paraId="151B8912" w14:textId="77777777" w:rsidR="00C83319" w:rsidRDefault="00000000">
      <w:pPr>
        <w:pStyle w:val="15"/>
        <w:rPr>
          <w:rFonts w:hint="default"/>
        </w:rPr>
      </w:pPr>
      <w:r>
        <w:t>最优</w:t>
      </w:r>
      <w:r>
        <w:t>5</w:t>
      </w:r>
      <w:r>
        <w:t>阶组合（</w:t>
      </w:r>
      <w:r>
        <w:t>0.4+0.6+1.0+1.6+2.0</w:t>
      </w:r>
      <w:r>
        <w:t>阶）的</w:t>
      </w:r>
      <w:r>
        <w:t>RF</w:t>
      </w:r>
      <w:r>
        <w:t>模型反演散点图如图</w:t>
      </w:r>
      <w:r w:rsidR="00C83319">
        <w:fldChar w:fldCharType="begin"/>
      </w:r>
      <w:r w:rsidR="00C83319">
        <w:instrText>HYPERLINK \l "fig:combo" \h</w:instrText>
      </w:r>
      <w:r w:rsidR="00C83319">
        <w:fldChar w:fldCharType="separate"/>
      </w:r>
      <w:r w:rsidR="00C83319">
        <w:t>7</w:t>
      </w:r>
      <w:r w:rsidR="00C83319">
        <w:fldChar w:fldCharType="end"/>
      </w:r>
      <w:r>
        <w:t>b</w:t>
      </w:r>
      <w:r>
        <w:t>所示，测试集</w:t>
      </w:r>
      <m:oMath>
        <m:sSup>
          <m:sSupPr>
            <m:ctrlPr>
              <w:rPr>
                <w:rFonts w:ascii="Cambria Math" w:hAnsi="Cambria Math"/>
              </w:rPr>
            </m:ctrlPr>
          </m:sSupPr>
          <m:e>
            <m:r>
              <m:rPr>
                <m:sty m:val="p"/>
              </m:rPr>
              <w:rPr>
                <w:rFonts w:ascii="Cambria Math" w:hAnsi="Cambria Math"/>
              </w:rPr>
              <m:t>R</m:t>
            </m:r>
          </m:e>
          <m:sup>
            <m:r>
              <m:rPr>
                <m:sty m:val="p"/>
              </m:rPr>
              <w:rPr>
                <w:rFonts w:ascii="Cambria Math" w:hAnsi="Cambria Math"/>
              </w:rPr>
              <m:t>2</m:t>
            </m:r>
          </m:sup>
        </m:sSup>
      </m:oMath>
      <w:r>
        <w:t>为</w:t>
      </w:r>
      <w:r>
        <w:t>0.81</w:t>
      </w:r>
      <w:r>
        <w:t>，</w:t>
      </w:r>
      <w:r>
        <w:t>RMSE</w:t>
      </w:r>
      <w:r>
        <w:t>为</w:t>
      </w:r>
      <w:r>
        <w:t>1.28 g/kg</w:t>
      </w:r>
      <w:r>
        <w:t>，</w:t>
      </w:r>
      <w:r>
        <w:t>RPD</w:t>
      </w:r>
      <w:r>
        <w:t>为</w:t>
      </w:r>
      <w:r>
        <w:t>2.34</w:t>
      </w:r>
      <w:r>
        <w:t>，优于单阶次最优</w:t>
      </w:r>
      <w:r>
        <w:t>RF</w:t>
      </w:r>
      <w:r>
        <w:t>模型（</w:t>
      </w:r>
      <w:r>
        <w:t>1.8</w:t>
      </w:r>
      <w:r>
        <w:t>阶，测试集</w:t>
      </w:r>
      <m:oMath>
        <m:sSup>
          <m:sSupPr>
            <m:ctrlPr>
              <w:rPr>
                <w:rFonts w:ascii="Cambria Math" w:hAnsi="Cambria Math"/>
              </w:rPr>
            </m:ctrlPr>
          </m:sSupPr>
          <m:e>
            <m:r>
              <m:rPr>
                <m:sty m:val="p"/>
              </m:rPr>
              <w:rPr>
                <w:rFonts w:ascii="Cambria Math" w:hAnsi="Cambria Math"/>
              </w:rPr>
              <m:t>R</m:t>
            </m:r>
          </m:e>
          <m:sup>
            <m:r>
              <m:rPr>
                <m:sty m:val="p"/>
              </m:rPr>
              <w:rPr>
                <w:rFonts w:ascii="Cambria Math" w:hAnsi="Cambria Math"/>
              </w:rPr>
              <m:t>2</m:t>
            </m:r>
          </m:sup>
        </m:sSup>
      </m:oMath>
      <w:r>
        <w:t>=0.74</w:t>
      </w:r>
      <w:r>
        <w:t>，</w:t>
      </w:r>
      <w:r>
        <w:t>RPD=1.94</w:t>
      </w:r>
      <w:r>
        <w:t>），且</w:t>
      </w:r>
      <w:r>
        <w:t>RPD</w:t>
      </w:r>
      <w:r>
        <w:t>超过</w:t>
      </w:r>
      <w:r>
        <w:t>2.0</w:t>
      </w:r>
      <w:r>
        <w:t>，表明模型已具备较好的反演能力。</w:t>
      </w:r>
      <w:r>
        <w:t xml:space="preserve"> </w:t>
      </w:r>
      <w:r>
        <w:t>该组合同时包含低阶（</w:t>
      </w:r>
      <w:r>
        <w:t>0.4</w:t>
      </w:r>
      <w:r>
        <w:t>、</w:t>
      </w:r>
      <w:r>
        <w:t>0.6</w:t>
      </w:r>
      <w:r>
        <w:t>阶）和高阶（</w:t>
      </w:r>
      <w:r>
        <w:t>1.0</w:t>
      </w:r>
      <w:r>
        <w:t>、</w:t>
      </w:r>
      <w:r>
        <w:t>1.6</w:t>
      </w:r>
      <w:r>
        <w:t>、</w:t>
      </w:r>
      <w:r>
        <w:t>2.0</w:t>
      </w:r>
      <w:r>
        <w:t>阶）微分变换，表明不同阶次的</w:t>
      </w:r>
      <w:r>
        <w:t>FOD</w:t>
      </w:r>
      <w:r>
        <w:t>对光谱特征的增强侧重不同，多阶次组合能够综合不同尺度的光谱信息，从而提升反演精度。</w:t>
      </w:r>
    </w:p>
    <w:p w14:paraId="5C663979" w14:textId="77777777" w:rsidR="00C83319" w:rsidRDefault="00000000">
      <w:pPr>
        <w:pStyle w:val="2"/>
      </w:pPr>
      <w:r>
        <w:rPr>
          <w:rFonts w:hint="eastAsia"/>
        </w:rPr>
        <w:t>研究区土壤盐分空间分布</w:t>
      </w:r>
    </w:p>
    <w:p w14:paraId="58B7D12A" w14:textId="77777777" w:rsidR="00C83319" w:rsidRDefault="00000000">
      <w:pPr>
        <w:pStyle w:val="15"/>
        <w:rPr>
          <w:rFonts w:hint="default"/>
        </w:rPr>
      </w:pPr>
      <w:r>
        <w:t>本研究利用最优</w:t>
      </w:r>
      <w:r>
        <w:t>5</w:t>
      </w:r>
      <w:r>
        <w:t>阶组合（</w:t>
      </w:r>
      <w:r>
        <w:t>0.4+0.6+1.0+1.6+2.0</w:t>
      </w:r>
      <w:r>
        <w:t>阶）的</w:t>
      </w:r>
      <w:r>
        <w:t>RF</w:t>
      </w:r>
      <w:r>
        <w:t>模型对研究区进行反演，绘制了土壤盐分空间分布图。</w:t>
      </w:r>
      <w:r>
        <w:t xml:space="preserve"> </w:t>
      </w:r>
      <w:r>
        <w:t>高盐分区域主要集中在田块的东部和东北部，低盐分区域则主要分布在西部和中南部，整体呈现由西南向东北逐渐增高的空间分布趋势。</w:t>
      </w:r>
      <w:r>
        <w:t xml:space="preserve"> </w:t>
      </w:r>
      <w:r>
        <w:t>这一分布与研究区真彩色影像（图</w:t>
      </w:r>
      <w:r w:rsidR="00C83319">
        <w:fldChar w:fldCharType="begin"/>
      </w:r>
      <w:r w:rsidR="00C83319">
        <w:instrText>HYPERLINK \l "fig:study_area" \h</w:instrText>
      </w:r>
      <w:r w:rsidR="00C83319">
        <w:fldChar w:fldCharType="separate"/>
      </w:r>
      <w:r w:rsidR="00C83319">
        <w:t>1</w:t>
      </w:r>
      <w:r w:rsidR="00C83319">
        <w:fldChar w:fldCharType="end"/>
      </w:r>
      <w:r>
        <w:t>）中东部可观测到的表层泛白盐渍斑块基本一致。</w:t>
      </w:r>
      <w:r>
        <w:t xml:space="preserve"> </w:t>
      </w:r>
      <w:r>
        <w:t>图</w:t>
      </w:r>
      <w:hyperlink w:anchor="fig:ae">
        <w:r w:rsidR="00C83319">
          <w:t>8</w:t>
        </w:r>
      </w:hyperlink>
      <w:r>
        <w:t>展示了模型估算值与实测值的绝对误差空间分布，大部分采样点的绝对误差在</w:t>
      </w:r>
      <w:r>
        <w:t>1.00 g/kg</w:t>
      </w:r>
      <w:r>
        <w:t>以内，</w:t>
      </w:r>
      <w:r>
        <w:t xml:space="preserve"> </w:t>
      </w:r>
      <w:r>
        <w:t>绝对误差较大的区域主要集中在东部和东北部的高盐分区域。</w:t>
      </w:r>
      <w:r>
        <w:t xml:space="preserve"> </w:t>
      </w:r>
      <w:r>
        <w:t>图</w:t>
      </w:r>
      <w:r w:rsidR="00C83319">
        <w:fldChar w:fldCharType="begin"/>
      </w:r>
      <w:r w:rsidR="00C83319">
        <w:instrText>HYPERLINK \l "fig:re" \h</w:instrText>
      </w:r>
      <w:r w:rsidR="00C83319">
        <w:fldChar w:fldCharType="separate"/>
      </w:r>
      <w:r w:rsidR="00C83319">
        <w:t>9</w:t>
      </w:r>
      <w:r w:rsidR="00C83319">
        <w:fldChar w:fldCharType="end"/>
      </w:r>
      <w:r>
        <w:t>展示了相对误差空间分布，中高盐分区域（</w:t>
      </w:r>
      <m:oMath>
        <m:r>
          <m:rPr>
            <m:sty m:val="p"/>
          </m:rPr>
          <w:rPr>
            <w:rFonts w:ascii="Cambria Math" w:hAnsi="Cambria Math"/>
          </w:rPr>
          <m:t>&gt;</m:t>
        </m:r>
      </m:oMath>
      <w:r>
        <w:t>3 g/kg</w:t>
      </w:r>
      <w:r>
        <w:t>）的相对误差多在</w:t>
      </w:r>
      <w:r>
        <w:t>20%</w:t>
      </w:r>
      <w:r>
        <w:t>以内，</w:t>
      </w:r>
      <w:r>
        <w:t xml:space="preserve"> </w:t>
      </w:r>
      <w:r>
        <w:t>而西部和中南部的低盐分区域由于盐分基数较小，相对误差偏高。</w:t>
      </w:r>
    </w:p>
    <w:p w14:paraId="1EE01BEA" w14:textId="77777777" w:rsidR="00C83319" w:rsidRDefault="00000000">
      <w:pPr>
        <w:pStyle w:val="15"/>
        <w:ind w:firstLineChars="0" w:firstLine="0"/>
        <w:jc w:val="center"/>
        <w:rPr>
          <w:rFonts w:hint="default"/>
        </w:rPr>
      </w:pPr>
      <w:r>
        <w:rPr>
          <w:noProof/>
        </w:rPr>
        <w:drawing>
          <wp:inline distT="0" distB="0" distL="114300" distR="114300" wp14:anchorId="3CC98A3E" wp14:editId="1AC93282">
            <wp:extent cx="3616325" cy="2554605"/>
            <wp:effectExtent l="0" t="0" r="0" b="0"/>
            <wp:docPr id="14" name="图片 14" descr="fig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fig7"/>
                    <pic:cNvPicPr>
                      <a:picLocks noChangeAspect="1"/>
                    </pic:cNvPicPr>
                  </pic:nvPicPr>
                  <pic:blipFill>
                    <a:blip r:embed="rId15"/>
                    <a:stretch>
                      <a:fillRect/>
                    </a:stretch>
                  </pic:blipFill>
                  <pic:spPr>
                    <a:xfrm>
                      <a:off x="0" y="0"/>
                      <a:ext cx="3616325" cy="2554605"/>
                    </a:xfrm>
                    <a:prstGeom prst="rect">
                      <a:avLst/>
                    </a:prstGeom>
                  </pic:spPr>
                </pic:pic>
              </a:graphicData>
            </a:graphic>
          </wp:inline>
        </w:drawing>
      </w:r>
    </w:p>
    <w:p w14:paraId="169BA9D1" w14:textId="77777777" w:rsidR="00C83319" w:rsidRDefault="00000000">
      <w:pPr>
        <w:pStyle w:val="aff5"/>
      </w:pPr>
      <w:r>
        <w:rPr>
          <w:rFonts w:hint="eastAsia"/>
        </w:rPr>
        <w:t>图</w:t>
      </w:r>
      <w:r>
        <w:rPr>
          <w:rFonts w:hint="eastAsia"/>
        </w:rPr>
        <w:t xml:space="preserve">8 </w:t>
      </w:r>
      <w:r>
        <w:rPr>
          <w:rFonts w:hint="eastAsia"/>
        </w:rPr>
        <w:t>基于最优模型估算的土壤全盐量绝对误差空间分布</w:t>
      </w:r>
    </w:p>
    <w:p w14:paraId="6CCE672D" w14:textId="77777777" w:rsidR="00C83319" w:rsidRDefault="00000000">
      <w:pPr>
        <w:pStyle w:val="aff5"/>
      </w:pPr>
      <w:r>
        <w:rPr>
          <w:rFonts w:hint="eastAsia"/>
        </w:rPr>
        <w:t>Fig. 8 Spatial distribution of absolute error (AE) of soil total salt content estimated by the optimal model</w:t>
      </w:r>
    </w:p>
    <w:p w14:paraId="455928A7" w14:textId="77777777" w:rsidR="00C83319" w:rsidRDefault="00000000">
      <w:pPr>
        <w:pStyle w:val="15"/>
        <w:ind w:firstLineChars="0" w:firstLine="0"/>
        <w:jc w:val="center"/>
        <w:rPr>
          <w:rFonts w:hint="default"/>
        </w:rPr>
      </w:pPr>
      <w:r>
        <w:rPr>
          <w:noProof/>
        </w:rPr>
        <w:lastRenderedPageBreak/>
        <w:drawing>
          <wp:inline distT="0" distB="0" distL="114300" distR="114300" wp14:anchorId="33A371BB" wp14:editId="204ED7DF">
            <wp:extent cx="3420745" cy="2425065"/>
            <wp:effectExtent l="0" t="0" r="8255" b="0"/>
            <wp:docPr id="16" name="图片 16" descr="fig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fig8"/>
                    <pic:cNvPicPr>
                      <a:picLocks noChangeAspect="1"/>
                    </pic:cNvPicPr>
                  </pic:nvPicPr>
                  <pic:blipFill>
                    <a:blip r:embed="rId16"/>
                    <a:stretch>
                      <a:fillRect/>
                    </a:stretch>
                  </pic:blipFill>
                  <pic:spPr>
                    <a:xfrm>
                      <a:off x="0" y="0"/>
                      <a:ext cx="3420745" cy="2425065"/>
                    </a:xfrm>
                    <a:prstGeom prst="rect">
                      <a:avLst/>
                    </a:prstGeom>
                  </pic:spPr>
                </pic:pic>
              </a:graphicData>
            </a:graphic>
          </wp:inline>
        </w:drawing>
      </w:r>
    </w:p>
    <w:p w14:paraId="08795986" w14:textId="77777777" w:rsidR="00C83319" w:rsidRDefault="00000000">
      <w:pPr>
        <w:pStyle w:val="aff5"/>
      </w:pPr>
      <w:r>
        <w:rPr>
          <w:rFonts w:hint="eastAsia"/>
        </w:rPr>
        <w:t>图</w:t>
      </w:r>
      <w:r>
        <w:rPr>
          <w:rFonts w:hint="eastAsia"/>
        </w:rPr>
        <w:t xml:space="preserve">9 </w:t>
      </w:r>
      <w:r>
        <w:rPr>
          <w:rFonts w:hint="eastAsia"/>
        </w:rPr>
        <w:t>基于最优模型估算的土壤全盐量相对误差空间分布</w:t>
      </w:r>
    </w:p>
    <w:p w14:paraId="326C2EC4" w14:textId="77777777" w:rsidR="00C83319" w:rsidRDefault="00000000">
      <w:pPr>
        <w:pStyle w:val="aff5"/>
      </w:pPr>
      <w:r>
        <w:rPr>
          <w:rFonts w:hint="eastAsia"/>
        </w:rPr>
        <w:t>Fig. 9 Spatial distribution of relative error (RE) of soil total salt content estimated by the optimal model</w:t>
      </w:r>
    </w:p>
    <w:p w14:paraId="7B4ADACF" w14:textId="77777777" w:rsidR="00C83319" w:rsidRDefault="00000000">
      <w:pPr>
        <w:pStyle w:val="afe"/>
        <w:numPr>
          <w:ilvl w:val="0"/>
          <w:numId w:val="1"/>
        </w:numPr>
        <w:spacing w:beforeLines="50" w:before="156" w:afterLines="50" w:after="156"/>
        <w:ind w:firstLineChars="0"/>
        <w:outlineLvl w:val="0"/>
        <w:rPr>
          <w:rFonts w:ascii="Times New Roman" w:eastAsia="黑体" w:hAnsi="Times New Roman"/>
          <w:sz w:val="24"/>
        </w:rPr>
      </w:pPr>
      <w:r>
        <w:rPr>
          <w:rFonts w:ascii="Times New Roman" w:eastAsia="黑体" w:hAnsi="Times New Roman" w:hint="eastAsia"/>
          <w:sz w:val="24"/>
        </w:rPr>
        <w:t>讨</w:t>
      </w:r>
      <w:r>
        <w:rPr>
          <w:rFonts w:ascii="Times New Roman" w:eastAsia="黑体" w:hAnsi="Times New Roman"/>
          <w:sz w:val="24"/>
        </w:rPr>
        <w:t>论</w:t>
      </w:r>
    </w:p>
    <w:p w14:paraId="01B92D97" w14:textId="77777777" w:rsidR="00C83319" w:rsidRDefault="00000000">
      <w:pPr>
        <w:pStyle w:val="15"/>
        <w:rPr>
          <w:rFonts w:hint="default"/>
        </w:rPr>
      </w:pPr>
      <w:r>
        <w:t>无人机高光谱遥感技术凭借其高空间、高光谱分辨率的优势，既可捕捉土壤盐分引起的细微光谱变化，又能实现田块尺度土壤盐分的精准监测</w:t>
      </w:r>
      <w:r>
        <w:rPr>
          <w:vertAlign w:val="superscript"/>
        </w:rPr>
        <w:t>[4]</w:t>
      </w:r>
      <w:r>
        <w:t>。然而，原始高光谱数据存在噪声干扰和基线漂移等问题，直接用于建模易导致模型精度较低</w:t>
      </w:r>
      <w:r>
        <w:rPr>
          <w:vertAlign w:val="superscript"/>
        </w:rPr>
        <w:t>[33]</w:t>
      </w:r>
      <w:r>
        <w:t>。本研究采用</w:t>
      </w:r>
      <w:r>
        <w:t>FOD</w:t>
      </w:r>
      <w:r>
        <w:t>（步长</w:t>
      </w:r>
      <w:r>
        <w:t>0.2</w:t>
      </w:r>
      <w:r>
        <w:t>）处理光谱数据，结果表明，光谱数据经过</w:t>
      </w:r>
      <w:r>
        <w:t>FOD</w:t>
      </w:r>
      <w:r>
        <w:t>处理能够显著抑制背景噪声和基线漂移，提高光谱信噪比，这与潘昊等</w:t>
      </w:r>
      <w:r>
        <w:rPr>
          <w:vertAlign w:val="superscript"/>
        </w:rPr>
        <w:t>[34]</w:t>
      </w:r>
      <w:r>
        <w:t>的结论一致。此外，</w:t>
      </w:r>
      <w:proofErr w:type="gramStart"/>
      <w:r>
        <w:t>马瑜蔓等</w:t>
      </w:r>
      <w:proofErr w:type="gramEnd"/>
      <w:r>
        <w:rPr>
          <w:vertAlign w:val="superscript"/>
        </w:rPr>
        <w:t>[14]</w:t>
      </w:r>
      <w:r>
        <w:t>在利用</w:t>
      </w:r>
      <w:r>
        <w:t>FOD</w:t>
      </w:r>
      <w:r>
        <w:t>处理无人机高光谱影像数据构建油菜产量预测模型时也发现，</w:t>
      </w:r>
      <w:proofErr w:type="gramStart"/>
      <w:r>
        <w:t>阶数超过</w:t>
      </w:r>
      <w:proofErr w:type="gramEnd"/>
      <w:r>
        <w:t>1.2</w:t>
      </w:r>
      <w:r>
        <w:t>后光谱曲线出现</w:t>
      </w:r>
      <w:proofErr w:type="gramStart"/>
      <w:r>
        <w:t>小峰且噪声</w:t>
      </w:r>
      <w:proofErr w:type="gramEnd"/>
      <w:r>
        <w:t>增强，与本研究结果一致。这主要是由于信噪比会随着</w:t>
      </w:r>
      <w:proofErr w:type="gramStart"/>
      <w:r>
        <w:t>微分阶数的</w:t>
      </w:r>
      <w:proofErr w:type="gramEnd"/>
      <w:r>
        <w:t>增加而降低，高阶微分在增强信号的同时亦会放大高频噪声</w:t>
      </w:r>
      <w:r>
        <w:rPr>
          <w:vertAlign w:val="superscript"/>
        </w:rPr>
        <w:t>[7]</w:t>
      </w:r>
      <w:r>
        <w:t>。然而，尽管高阶微分引入了一定噪声，其所构建的</w:t>
      </w:r>
      <w:r>
        <w:t>TBI3</w:t>
      </w:r>
      <w:r>
        <w:t>与</w:t>
      </w:r>
      <w:r>
        <w:t>TBI5</w:t>
      </w:r>
      <w:r>
        <w:t>光谱指数仍与土壤盐分保持较高相关性，并分别在</w:t>
      </w:r>
      <w:r>
        <w:t>1.6</w:t>
      </w:r>
      <w:r>
        <w:t>阶与</w:t>
      </w:r>
      <w:r>
        <w:t>1.4</w:t>
      </w:r>
      <w:proofErr w:type="gramStart"/>
      <w:r>
        <w:t>阶达到</w:t>
      </w:r>
      <w:proofErr w:type="gramEnd"/>
      <w:r>
        <w:t>峰值。因此，</w:t>
      </w:r>
      <w:r>
        <w:t>FOD</w:t>
      </w:r>
      <w:r>
        <w:t>能够有效优化无人机高光谱数据对土壤盐分的光谱特征响应，为田块尺度土壤盐分的精准反演提供可靠数据基础。</w:t>
      </w:r>
    </w:p>
    <w:p w14:paraId="3816AD08" w14:textId="77777777" w:rsidR="00C83319" w:rsidRDefault="00000000">
      <w:pPr>
        <w:pStyle w:val="15"/>
        <w:rPr>
          <w:rFonts w:hint="default"/>
        </w:rPr>
      </w:pPr>
      <w:r>
        <w:t>高光谱数据包含大量波段，在提供丰富光谱信息的同时，也存在数据冗余和强共线性的问题。本研究使用波段组合指数法，基于</w:t>
      </w:r>
      <w:r>
        <w:t>FOD</w:t>
      </w:r>
      <w:r>
        <w:t>处理后的光谱构建并优选了</w:t>
      </w:r>
      <w:r>
        <w:t>3</w:t>
      </w:r>
      <w:r>
        <w:t>种</w:t>
      </w:r>
      <w:r>
        <w:t>2D</w:t>
      </w:r>
      <w:r>
        <w:t>光谱指数和</w:t>
      </w:r>
      <w:r>
        <w:t>6</w:t>
      </w:r>
      <w:r>
        <w:t>种</w:t>
      </w:r>
      <w:r>
        <w:t>3D</w:t>
      </w:r>
      <w:r>
        <w:t>光谱指数。结果表明，</w:t>
      </w:r>
      <w:r>
        <w:t>3D</w:t>
      </w:r>
      <w:r>
        <w:t>光谱指数与土壤盐分的相关性均超过</w:t>
      </w:r>
      <w:r>
        <w:t>0.8</w:t>
      </w:r>
      <w:r>
        <w:t>，显著高于</w:t>
      </w:r>
      <w:r>
        <w:t>2D</w:t>
      </w:r>
      <w:r>
        <w:t>光谱指数，表明其在土壤盐分反演中具有良好潜力。该结果与</w:t>
      </w:r>
      <w:r>
        <w:t>WANG</w:t>
      </w:r>
      <w:r>
        <w:t>等</w:t>
      </w:r>
      <w:r>
        <w:rPr>
          <w:vertAlign w:val="superscript"/>
        </w:rPr>
        <w:t>[16]</w:t>
      </w:r>
      <w:r>
        <w:t>和</w:t>
      </w:r>
      <w:r>
        <w:t>ZHU</w:t>
      </w:r>
      <w:r>
        <w:t>等</w:t>
      </w:r>
      <w:r>
        <w:rPr>
          <w:vertAlign w:val="superscript"/>
        </w:rPr>
        <w:t>[23]</w:t>
      </w:r>
      <w:r>
        <w:t>的研究结果一致，进一步验证了多波段组合在增强高光谱数据对土壤盐分敏感性方面的有效性。此外，</w:t>
      </w:r>
      <w:r>
        <w:t>2D</w:t>
      </w:r>
      <w:r>
        <w:t>光谱指数多在低阶次微分（</w:t>
      </w:r>
      <w:r>
        <w:t>0.6</w:t>
      </w:r>
      <m:oMath>
        <m:r>
          <m:rPr>
            <m:sty m:val="p"/>
          </m:rPr>
          <w:rPr>
            <w:rFonts w:ascii="Cambria Math" w:hAnsi="Cambria Math"/>
          </w:rPr>
          <m:t>∼</m:t>
        </m:r>
      </m:oMath>
      <w:r>
        <w:t>0.8</w:t>
      </w:r>
      <w:r>
        <w:t>阶）达到最佳相关系数，而多数</w:t>
      </w:r>
      <w:r>
        <w:t>3D</w:t>
      </w:r>
      <w:r>
        <w:t>光谱指数在较高阶次微分（</w:t>
      </w:r>
      <w:r>
        <w:t>1.0</w:t>
      </w:r>
      <m:oMath>
        <m:r>
          <m:rPr>
            <m:sty m:val="p"/>
          </m:rPr>
          <w:rPr>
            <w:rFonts w:ascii="Cambria Math" w:hAnsi="Cambria Math"/>
          </w:rPr>
          <m:t>∼</m:t>
        </m:r>
      </m:oMath>
      <w:r>
        <w:t>1.6</w:t>
      </w:r>
      <w:r>
        <w:t>阶）达到最佳相关系数，这与</w:t>
      </w:r>
      <w:r>
        <w:t>TAN</w:t>
      </w:r>
      <w:r>
        <w:t>等</w:t>
      </w:r>
      <w:r>
        <w:rPr>
          <w:vertAlign w:val="superscript"/>
        </w:rPr>
        <w:t>[22]</w:t>
      </w:r>
      <w:r>
        <w:t>的研究结果一致，这可能表明多波段组合能在一定程度上抑制高阶微分引入的噪声干扰，更有效地捕捉土壤盐分引起的细微光谱变化，从而强化盐分相关光谱特征的表达能力。</w:t>
      </w:r>
    </w:p>
    <w:p w14:paraId="58F8E812" w14:textId="4B487163" w:rsidR="00C83319" w:rsidRDefault="00000000">
      <w:pPr>
        <w:pStyle w:val="15"/>
        <w:rPr>
          <w:rFonts w:hint="default"/>
        </w:rPr>
      </w:pPr>
      <w:r>
        <w:t>尽管机器学习方法已广泛应用于土壤盐分反演研究，但由于研究区域、数据来源和特征选择的差异导致</w:t>
      </w:r>
      <w:r>
        <w:t>FOD</w:t>
      </w:r>
      <w:r>
        <w:t>在算法中的适用性存在区别。因此，本研究利用</w:t>
      </w:r>
      <w:r>
        <w:t>4</w:t>
      </w:r>
      <w:r>
        <w:t>种机器学习方法构建土壤盐分反演模型并进行评估。结果显示，基于</w:t>
      </w:r>
      <w:r>
        <w:t>1.8</w:t>
      </w:r>
      <w:r>
        <w:t>阶微分变换构建的</w:t>
      </w:r>
      <w:r>
        <w:t>RF</w:t>
      </w:r>
      <w:r>
        <w:t>模型精度最高，明显优于</w:t>
      </w:r>
      <w:r>
        <w:t>PLSR</w:t>
      </w:r>
      <w:r>
        <w:t>、</w:t>
      </w:r>
      <w:r>
        <w:t>SVM</w:t>
      </w:r>
      <w:r>
        <w:t>和</w:t>
      </w:r>
      <w:r>
        <w:t>XGBoost</w:t>
      </w:r>
      <w:r>
        <w:t>模型，且</w:t>
      </w:r>
      <w:r>
        <w:t>4</w:t>
      </w:r>
      <w:r>
        <w:t>种方法的最优模型分布在不同阶次范围内（</w:t>
      </w:r>
      <w:r>
        <w:t>0.6</w:t>
      </w:r>
      <m:oMath>
        <m:r>
          <m:rPr>
            <m:sty m:val="p"/>
          </m:rPr>
          <w:rPr>
            <w:rFonts w:ascii="Cambria Math" w:hAnsi="Cambria Math"/>
          </w:rPr>
          <m:t>∼</m:t>
        </m:r>
      </m:oMath>
      <w:r>
        <w:t>2.0</w:t>
      </w:r>
      <w:r>
        <w:t>阶）。</w:t>
      </w:r>
      <w:r>
        <w:t>WANG</w:t>
      </w:r>
      <w:r>
        <w:t>等</w:t>
      </w:r>
      <w:r>
        <w:rPr>
          <w:vertAlign w:val="superscript"/>
        </w:rPr>
        <w:t>[35]</w:t>
      </w:r>
      <w:r>
        <w:t>同样发现</w:t>
      </w:r>
      <w:r>
        <w:t>1.5</w:t>
      </w:r>
      <w:r>
        <w:t>阶微分处理下的</w:t>
      </w:r>
      <w:r>
        <w:t>RF</w:t>
      </w:r>
      <w:r>
        <w:t>模型精度最佳，与本研究的结果一致。</w:t>
      </w:r>
      <w:r>
        <w:t>RF</w:t>
      </w:r>
      <w:r>
        <w:t>模型能够通过集成多棵决策树有效捕捉光谱与土壤盐分之间的复杂非线性关系，对高光谱数据的多重共线性和噪声有较强的耐受性，其随机采样机制也有助于避免过拟合</w:t>
      </w:r>
      <w:r>
        <w:rPr>
          <w:vertAlign w:val="superscript"/>
        </w:rPr>
        <w:t>[36]</w:t>
      </w:r>
      <w:r>
        <w:t>。</w:t>
      </w:r>
      <w:r>
        <w:t xml:space="preserve"> SVM</w:t>
      </w:r>
      <w:r>
        <w:t>模型精度次之（测试集</w:t>
      </w:r>
      <m:oMath>
        <m:sSup>
          <m:sSupPr>
            <m:ctrlPr>
              <w:rPr>
                <w:rFonts w:ascii="Cambria Math" w:hAnsi="Cambria Math"/>
              </w:rPr>
            </m:ctrlPr>
          </m:sSupPr>
          <m:e>
            <m:r>
              <m:rPr>
                <m:sty m:val="p"/>
              </m:rPr>
              <w:rPr>
                <w:rFonts w:ascii="Cambria Math" w:hAnsi="Cambria Math"/>
              </w:rPr>
              <m:t>R</m:t>
            </m:r>
          </m:e>
          <m:sup>
            <m:r>
              <m:rPr>
                <m:sty m:val="p"/>
              </m:rPr>
              <w:rPr>
                <w:rFonts w:ascii="Cambria Math" w:hAnsi="Cambria Math"/>
              </w:rPr>
              <m:t>2</m:t>
            </m:r>
          </m:sup>
        </m:sSup>
      </m:oMath>
      <w:r>
        <w:t>为</w:t>
      </w:r>
      <w:r>
        <w:t>0.67</w:t>
      </w:r>
      <w:r>
        <w:t>），虽然其核函数映射能力较强，但对超参数</w:t>
      </w:r>
      <w:r>
        <w:lastRenderedPageBreak/>
        <w:t>选择较为敏感，在小样本条件下泛化能力不及</w:t>
      </w:r>
      <w:r>
        <w:t>RF</w:t>
      </w:r>
      <w:r>
        <w:t>。</w:t>
      </w:r>
      <w:r>
        <w:t xml:space="preserve"> PLSR</w:t>
      </w:r>
      <w:r>
        <w:t>受限于线性假设，难以充分拟合光谱与盐分之间的复杂非线性关系（测试集</w:t>
      </w:r>
      <m:oMath>
        <m:sSup>
          <m:sSupPr>
            <m:ctrlPr>
              <w:rPr>
                <w:rFonts w:ascii="Cambria Math" w:hAnsi="Cambria Math"/>
              </w:rPr>
            </m:ctrlPr>
          </m:sSupPr>
          <m:e>
            <m:r>
              <m:rPr>
                <m:sty m:val="p"/>
              </m:rPr>
              <w:rPr>
                <w:rFonts w:ascii="Cambria Math" w:hAnsi="Cambria Math"/>
              </w:rPr>
              <m:t>R</m:t>
            </m:r>
          </m:e>
          <m:sup>
            <m:r>
              <m:rPr>
                <m:sty m:val="p"/>
              </m:rPr>
              <w:rPr>
                <w:rFonts w:ascii="Cambria Math" w:hAnsi="Cambria Math"/>
              </w:rPr>
              <m:t>2</m:t>
            </m:r>
          </m:sup>
        </m:sSup>
      </m:oMath>
      <w:r>
        <w:t>为</w:t>
      </w:r>
      <w:r>
        <w:t>0.65</w:t>
      </w:r>
      <w:r>
        <w:t>）。</w:t>
      </w:r>
      <w:r>
        <w:t>XGBoost</w:t>
      </w:r>
      <w:r>
        <w:t>模型出现严重过拟合现象（训练集</w:t>
      </w:r>
      <m:oMath>
        <m:sSup>
          <m:sSupPr>
            <m:ctrlPr>
              <w:rPr>
                <w:rFonts w:ascii="Cambria Math" w:hAnsi="Cambria Math"/>
              </w:rPr>
            </m:ctrlPr>
          </m:sSupPr>
          <m:e>
            <m:r>
              <m:rPr>
                <m:sty m:val="p"/>
              </m:rPr>
              <w:rPr>
                <w:rFonts w:ascii="Cambria Math" w:hAnsi="Cambria Math"/>
              </w:rPr>
              <m:t>R</m:t>
            </m:r>
          </m:e>
          <m:sup>
            <m:r>
              <m:rPr>
                <m:sty m:val="p"/>
              </m:rPr>
              <w:rPr>
                <w:rFonts w:ascii="Cambria Math" w:hAnsi="Cambria Math"/>
              </w:rPr>
              <m:t>2</m:t>
            </m:r>
          </m:sup>
        </m:sSup>
      </m:oMath>
      <w:r>
        <w:t>为</w:t>
      </w:r>
      <w:r>
        <w:t>0.97</w:t>
      </w:r>
      <w:r>
        <w:t>，测试集</w:t>
      </w:r>
      <m:oMath>
        <m:sSup>
          <m:sSupPr>
            <m:ctrlPr>
              <w:rPr>
                <w:rFonts w:ascii="Cambria Math" w:hAnsi="Cambria Math"/>
              </w:rPr>
            </m:ctrlPr>
          </m:sSupPr>
          <m:e>
            <m:r>
              <m:rPr>
                <m:sty m:val="p"/>
              </m:rPr>
              <w:rPr>
                <w:rFonts w:ascii="Cambria Math" w:hAnsi="Cambria Math"/>
              </w:rPr>
              <m:t>R</m:t>
            </m:r>
          </m:e>
          <m:sup>
            <m:r>
              <m:rPr>
                <m:sty m:val="p"/>
              </m:rPr>
              <w:rPr>
                <w:rFonts w:ascii="Cambria Math" w:hAnsi="Cambria Math"/>
              </w:rPr>
              <m:t>2</m:t>
            </m:r>
          </m:sup>
        </m:sSup>
      </m:oMath>
      <w:r>
        <w:t>为</w:t>
      </w:r>
      <w:r>
        <w:t>0.43</w:t>
      </w:r>
      <w:r>
        <w:t>），这可能是由于</w:t>
      </w:r>
      <w:r>
        <w:t>XGBoost</w:t>
      </w:r>
      <w:r>
        <w:t>通过逐轮拟合残差进行学习，在本研究样本量有限的条件下，容易将训练数据中的噪声作为有效信号进行拟合。</w:t>
      </w:r>
      <w:r>
        <w:t xml:space="preserve"> </w:t>
      </w:r>
      <w:r>
        <w:t>尽管本研究使用了</w:t>
      </w:r>
      <w:r>
        <w:t>Optuna</w:t>
      </w:r>
      <w:r>
        <w:t>进行超参数搜索并启用正则化约束，</w:t>
      </w:r>
      <w:r>
        <w:t>XGBoost</w:t>
      </w:r>
      <w:r>
        <w:t>仍难以有效平衡偏差与方差，测试集精度最低。相比之下，</w:t>
      </w:r>
      <w:r>
        <w:t>RF</w:t>
      </w:r>
      <w:r>
        <w:t>基于</w:t>
      </w:r>
      <w:r>
        <w:t>bagging</w:t>
      </w:r>
      <w:r>
        <w:t>的随机采样与特征子集选择机制，对噪声和过拟合具有更强的抵抗能力，更适用于本研究的小样本高光谱建模场景。</w:t>
      </w:r>
    </w:p>
    <w:p w14:paraId="5FEBD50D" w14:textId="78060B0C" w:rsidR="00C83319" w:rsidRDefault="00000000">
      <w:pPr>
        <w:pStyle w:val="15"/>
        <w:rPr>
          <w:rFonts w:hint="default"/>
        </w:rPr>
      </w:pPr>
      <w:r>
        <w:t>本研究进一步验证了多阶次</w:t>
      </w:r>
      <w:r>
        <w:t>FOD</w:t>
      </w:r>
      <w:r>
        <w:t>光谱指数组合建模的适用性。不同阶次的</w:t>
      </w:r>
      <w:r>
        <w:t>FOD</w:t>
      </w:r>
      <w:r>
        <w:t>变换对光谱特征的增强效果存在差异，低阶微分（</w:t>
      </w:r>
      <w:r>
        <w:t>0.4</w:t>
      </w:r>
      <m:oMath>
        <m:r>
          <m:rPr>
            <m:sty m:val="p"/>
          </m:rPr>
          <w:rPr>
            <w:rFonts w:ascii="Cambria Math" w:hAnsi="Cambria Math"/>
          </w:rPr>
          <m:t>∼</m:t>
        </m:r>
      </m:oMath>
      <w:r>
        <w:t>0.6</w:t>
      </w:r>
      <w:r>
        <w:t>阶）主要放大光谱中的微小起伏和吸收特征，而高阶微分（</w:t>
      </w:r>
      <w:r>
        <w:t>1.0</w:t>
      </w:r>
      <m:oMath>
        <m:r>
          <m:rPr>
            <m:sty m:val="p"/>
          </m:rPr>
          <w:rPr>
            <w:rFonts w:ascii="Cambria Math" w:hAnsi="Cambria Math"/>
          </w:rPr>
          <m:t>∼</m:t>
        </m:r>
      </m:oMath>
      <w:r>
        <w:t>2.0</w:t>
      </w:r>
      <w:r>
        <w:t>阶）进一步增强局部光谱细节。表</w:t>
      </w:r>
      <w:r>
        <w:t>3</w:t>
      </w:r>
      <w:r>
        <w:t>表明不同光谱指数的最优敏感阶次分布在</w:t>
      </w:r>
      <w:r>
        <w:t>0.6</w:t>
      </w:r>
      <m:oMath>
        <m:r>
          <m:rPr>
            <m:sty m:val="p"/>
          </m:rPr>
          <w:rPr>
            <w:rFonts w:ascii="Cambria Math" w:hAnsi="Cambria Math"/>
          </w:rPr>
          <m:t>∼</m:t>
        </m:r>
      </m:oMath>
      <w:r>
        <w:t>1.6</w:t>
      </w:r>
      <w:r>
        <w:t>阶之间，说明单一阶次难以同时满足所有光谱指数的最优特征提取需求。因此，多阶次组合能够汇聚各阶次下的最优光谱指数，为模型提供更全面的特征输入。在所有</w:t>
      </w:r>
      <w:r>
        <w:t>10</w:t>
      </w:r>
      <w:r>
        <w:t>种组合数量下，最优组合的测试集</w:t>
      </w:r>
      <m:oMath>
        <m:sSup>
          <m:sSupPr>
            <m:ctrlPr>
              <w:rPr>
                <w:rFonts w:ascii="Cambria Math" w:hAnsi="Cambria Math"/>
              </w:rPr>
            </m:ctrlPr>
          </m:sSupPr>
          <m:e>
            <m:r>
              <m:rPr>
                <m:sty m:val="p"/>
              </m:rPr>
              <w:rPr>
                <w:rFonts w:ascii="Cambria Math" w:hAnsi="Cambria Math"/>
              </w:rPr>
              <m:t>R</m:t>
            </m:r>
          </m:e>
          <m:sup>
            <m:r>
              <m:rPr>
                <m:sty m:val="p"/>
              </m:rPr>
              <w:rPr>
                <w:rFonts w:ascii="Cambria Math" w:hAnsi="Cambria Math"/>
              </w:rPr>
              <m:t>2</m:t>
            </m:r>
          </m:sup>
        </m:sSup>
      </m:oMath>
      <w:r>
        <w:t>均高于单阶次最优模型，表明多阶次组合策略具有一致性的精度优势。其中，</w:t>
      </w:r>
      <w:r>
        <w:t>5</w:t>
      </w:r>
      <w:r>
        <w:t>阶组合（</w:t>
      </w:r>
      <w:r>
        <w:t>0.4+0.6+1.0+1.6+2.0</w:t>
      </w:r>
      <w:r>
        <w:t>阶）达到峰值（</w:t>
      </w:r>
      <m:oMath>
        <m:sSup>
          <m:sSupPr>
            <m:ctrlPr>
              <w:rPr>
                <w:rFonts w:ascii="Cambria Math" w:hAnsi="Cambria Math"/>
              </w:rPr>
            </m:ctrlPr>
          </m:sSupPr>
          <m:e>
            <m:r>
              <m:rPr>
                <m:sty m:val="p"/>
              </m:rPr>
              <w:rPr>
                <w:rFonts w:ascii="Cambria Math" w:hAnsi="Cambria Math"/>
              </w:rPr>
              <m:t>R</m:t>
            </m:r>
          </m:e>
          <m:sup>
            <m:r>
              <m:rPr>
                <m:sty m:val="p"/>
              </m:rPr>
              <w:rPr>
                <w:rFonts w:ascii="Cambria Math" w:hAnsi="Cambria Math"/>
              </w:rPr>
              <m:t>2</m:t>
            </m:r>
          </m:sup>
        </m:sSup>
      </m:oMath>
      <w:r>
        <w:t>=0.81</w:t>
      </w:r>
      <w:r>
        <w:t>，</w:t>
      </w:r>
      <w:r>
        <w:t>RPD=2.34</w:t>
      </w:r>
      <w:r>
        <w:t>），</w:t>
      </w:r>
      <w:r>
        <w:t>RPD</w:t>
      </w:r>
      <w:r>
        <w:t>超过</w:t>
      </w:r>
      <w:r>
        <w:t>2.0</w:t>
      </w:r>
      <w:r>
        <w:t>的阈值，表明模型已具备较好的反演能力。然而，当组合阶次数量超过</w:t>
      </w:r>
      <w:r>
        <w:t>5</w:t>
      </w:r>
      <w:r>
        <w:t>时，精度不再提升甚至有所下降，这可能是由于随着纳入阶次的增加，新增阶次所提供的有效光谱信息增量逐渐减小，而冗余信息比例增大，反而增加了模型的拟合难度。</w:t>
      </w:r>
    </w:p>
    <w:p w14:paraId="75593DBE" w14:textId="77777777" w:rsidR="00C83319" w:rsidRDefault="00000000">
      <w:pPr>
        <w:pStyle w:val="15"/>
        <w:rPr>
          <w:rFonts w:hint="default"/>
        </w:rPr>
      </w:pPr>
      <w:r>
        <w:t>本研究基于无人机高光谱遥感实现了新疆和田盐渍化农田土壤盐分的高精度反演，但仍存在一些局限。本研究样本数量相对有限，且仅基于单一时相数据，未能反映盐分的时空动态变化。此外，模型仅在单一研究区进行验证，其区域迁移性有待进一步检验。未来研究将在扩大样本规模的基础上，引入多时相遥感数据，并在不同盐渍化类型区域开展验证，以进一步提升模型的普适性与反演精度。</w:t>
      </w:r>
    </w:p>
    <w:p w14:paraId="7BA2A30C" w14:textId="77777777" w:rsidR="00C83319" w:rsidRDefault="00000000">
      <w:pPr>
        <w:pStyle w:val="afe"/>
        <w:numPr>
          <w:ilvl w:val="0"/>
          <w:numId w:val="1"/>
        </w:numPr>
        <w:spacing w:beforeLines="50" w:before="156" w:afterLines="50" w:after="156"/>
        <w:ind w:firstLineChars="0"/>
        <w:outlineLvl w:val="0"/>
        <w:rPr>
          <w:rFonts w:ascii="Times New Roman" w:eastAsia="黑体" w:hAnsi="Times New Roman"/>
          <w:sz w:val="24"/>
        </w:rPr>
      </w:pPr>
      <w:r>
        <w:rPr>
          <w:rFonts w:ascii="Times New Roman" w:eastAsia="黑体" w:hAnsi="Times New Roman" w:hint="eastAsia"/>
          <w:sz w:val="24"/>
        </w:rPr>
        <w:t>结论</w:t>
      </w:r>
    </w:p>
    <w:p w14:paraId="2955FB79" w14:textId="77777777" w:rsidR="00C83319" w:rsidRDefault="00000000">
      <w:pPr>
        <w:pStyle w:val="15"/>
        <w:rPr>
          <w:rFonts w:hint="default"/>
        </w:rPr>
      </w:pPr>
      <w:r>
        <w:t>本研究以新疆和田盐渍化农田为研究对象，基于无人机高光谱影像，结合</w:t>
      </w:r>
      <w:r>
        <w:t>FOD</w:t>
      </w:r>
      <w:r>
        <w:t>和光谱指数优选法，构建多维光谱指数并采用多种机器学习算法建立土壤盐分反演模型，主要结论如下：</w:t>
      </w:r>
    </w:p>
    <w:p w14:paraId="629D0B06" w14:textId="77777777" w:rsidR="00C83319" w:rsidRDefault="00000000">
      <w:pPr>
        <w:pStyle w:val="15"/>
        <w:rPr>
          <w:rFonts w:hint="default"/>
        </w:rPr>
      </w:pPr>
      <w:r>
        <w:t>1</w:t>
      </w:r>
      <w:r>
        <w:t>）</w:t>
      </w:r>
      <w:r>
        <w:t>FOD</w:t>
      </w:r>
      <w:r>
        <w:t>变换能够有效增强光谱对土壤盐分的敏感特征。基于</w:t>
      </w:r>
      <w:r>
        <w:t>FOD</w:t>
      </w:r>
      <w:r>
        <w:t>优选的</w:t>
      </w:r>
      <w:r>
        <w:t>3D</w:t>
      </w:r>
      <w:r>
        <w:t>光谱指数与土壤盐分的相关性均大于</w:t>
      </w:r>
      <w:r>
        <w:t>0.8</w:t>
      </w:r>
      <w:r>
        <w:t>，优于</w:t>
      </w:r>
      <w:r>
        <w:t>2D</w:t>
      </w:r>
      <w:r>
        <w:t>光谱指数，其中</w:t>
      </w:r>
      <w:r>
        <w:t>TBI6</w:t>
      </w:r>
      <w:r>
        <w:t>在</w:t>
      </w:r>
      <w:r>
        <w:t>1.0</w:t>
      </w:r>
      <w:r>
        <w:t>阶微分时达到最高（</w:t>
      </w:r>
      <m:oMath>
        <m:r>
          <m:rPr>
            <m:sty m:val="p"/>
          </m:rPr>
          <w:rPr>
            <w:rFonts w:ascii="Cambria Math" w:hAnsi="Cambria Math"/>
          </w:rPr>
          <m:t>r</m:t>
        </m:r>
      </m:oMath>
      <w:r>
        <w:t>=0.84</w:t>
      </w:r>
      <w:r>
        <w:t>）。</w:t>
      </w:r>
    </w:p>
    <w:p w14:paraId="3DBCDC9E" w14:textId="77777777" w:rsidR="00C83319" w:rsidRDefault="00000000">
      <w:pPr>
        <w:pStyle w:val="15"/>
        <w:rPr>
          <w:rFonts w:hint="default"/>
        </w:rPr>
      </w:pPr>
      <w:r>
        <w:t>2</w:t>
      </w:r>
      <w:r>
        <w:t>）在</w:t>
      </w:r>
      <w:r>
        <w:t>4</w:t>
      </w:r>
      <w:r>
        <w:t>种机器学习模型中，采用</w:t>
      </w:r>
      <w:r>
        <w:t>1.8</w:t>
      </w:r>
      <w:r>
        <w:t>阶微分变换的</w:t>
      </w:r>
      <w:r>
        <w:t>RF</w:t>
      </w:r>
      <w:r>
        <w:t>模型反演精度最优（测试集</w:t>
      </w:r>
      <m:oMath>
        <m:sSup>
          <m:sSupPr>
            <m:ctrlPr>
              <w:rPr>
                <w:rFonts w:ascii="Cambria Math" w:hAnsi="Cambria Math"/>
              </w:rPr>
            </m:ctrlPr>
          </m:sSupPr>
          <m:e>
            <m:r>
              <m:rPr>
                <m:sty m:val="p"/>
              </m:rPr>
              <w:rPr>
                <w:rFonts w:ascii="Cambria Math" w:hAnsi="Cambria Math"/>
              </w:rPr>
              <m:t>R</m:t>
            </m:r>
          </m:e>
          <m:sup>
            <m:r>
              <m:rPr>
                <m:sty m:val="p"/>
              </m:rPr>
              <w:rPr>
                <w:rFonts w:ascii="Cambria Math" w:hAnsi="Cambria Math"/>
              </w:rPr>
              <m:t>2</m:t>
            </m:r>
          </m:sup>
        </m:sSup>
      </m:oMath>
      <w:r>
        <w:t>为</w:t>
      </w:r>
      <w:r>
        <w:t>0.74</w:t>
      </w:r>
      <w:r>
        <w:t>，</w:t>
      </w:r>
      <w:r>
        <w:t>RMSE</w:t>
      </w:r>
      <w:r>
        <w:t>为</w:t>
      </w:r>
      <w:r>
        <w:t>1.55 g/kg</w:t>
      </w:r>
      <w:r>
        <w:t>，</w:t>
      </w:r>
      <w:r>
        <w:t>RPD</w:t>
      </w:r>
      <w:r>
        <w:t>为</w:t>
      </w:r>
      <w:r>
        <w:t>1.94</w:t>
      </w:r>
      <w:r>
        <w:t>），优于</w:t>
      </w:r>
      <w:r>
        <w:t>SVM</w:t>
      </w:r>
      <w:r>
        <w:t>、</w:t>
      </w:r>
      <w:r>
        <w:t>PLSR</w:t>
      </w:r>
      <w:r>
        <w:t>和</w:t>
      </w:r>
      <w:r>
        <w:t>XGBoost</w:t>
      </w:r>
      <w:r>
        <w:t>模型。</w:t>
      </w:r>
    </w:p>
    <w:p w14:paraId="11686168" w14:textId="77777777" w:rsidR="00C83319" w:rsidRDefault="00000000">
      <w:pPr>
        <w:pStyle w:val="15"/>
        <w:rPr>
          <w:rFonts w:hint="default"/>
        </w:rPr>
      </w:pPr>
      <w:r>
        <w:t>3</w:t>
      </w:r>
      <w:r>
        <w:t>）多阶次</w:t>
      </w:r>
      <w:r>
        <w:t>FOD</w:t>
      </w:r>
      <w:r>
        <w:t>光谱指数组合建模能够进一步提升反演精度。最优</w:t>
      </w:r>
      <w:r>
        <w:t>5</w:t>
      </w:r>
      <w:r>
        <w:t>阶组合（</w:t>
      </w:r>
      <w:r>
        <w:t>0.4+0.6+1.0+1.6+2.0</w:t>
      </w:r>
      <w:r>
        <w:t>阶）的</w:t>
      </w:r>
      <w:r>
        <w:t>RF</w:t>
      </w:r>
      <w:r>
        <w:t>模型测试集</w:t>
      </w:r>
      <m:oMath>
        <m:sSup>
          <m:sSupPr>
            <m:ctrlPr>
              <w:rPr>
                <w:rFonts w:ascii="Cambria Math" w:hAnsi="Cambria Math"/>
              </w:rPr>
            </m:ctrlPr>
          </m:sSupPr>
          <m:e>
            <m:r>
              <m:rPr>
                <m:sty m:val="p"/>
              </m:rPr>
              <w:rPr>
                <w:rFonts w:ascii="Cambria Math" w:hAnsi="Cambria Math"/>
              </w:rPr>
              <m:t>R</m:t>
            </m:r>
          </m:e>
          <m:sup>
            <m:r>
              <m:rPr>
                <m:sty m:val="p"/>
              </m:rPr>
              <w:rPr>
                <w:rFonts w:ascii="Cambria Math" w:hAnsi="Cambria Math"/>
              </w:rPr>
              <m:t>2</m:t>
            </m:r>
          </m:sup>
        </m:sSup>
      </m:oMath>
      <w:r>
        <w:t>为</w:t>
      </w:r>
      <w:r>
        <w:t>0.81</w:t>
      </w:r>
      <w:r>
        <w:t>，</w:t>
      </w:r>
      <w:r>
        <w:t>RMSE</w:t>
      </w:r>
      <w:r>
        <w:t>为</w:t>
      </w:r>
      <w:r>
        <w:t>1.28 g/kg</w:t>
      </w:r>
      <w:r>
        <w:t>，</w:t>
      </w:r>
      <w:r>
        <w:t>RPD</w:t>
      </w:r>
      <w:r>
        <w:t>为</w:t>
      </w:r>
      <w:r>
        <w:t>2.34</w:t>
      </w:r>
      <w:r>
        <w:t>，</w:t>
      </w:r>
      <w:r>
        <w:t>RPD</w:t>
      </w:r>
      <w:r>
        <w:t>超过</w:t>
      </w:r>
      <w:r>
        <w:t>2.0</w:t>
      </w:r>
      <w:r>
        <w:t>，表明模型具备较好的反演能力，验证了多阶次组合优选策略在土壤盐分反演中的有效性。</w:t>
      </w:r>
    </w:p>
    <w:p w14:paraId="43F79ECA" w14:textId="531B70B2" w:rsidR="00C83319" w:rsidRDefault="00000000" w:rsidP="00685861">
      <w:pPr>
        <w:pStyle w:val="15"/>
        <w:rPr>
          <w:rFonts w:hint="default"/>
        </w:rPr>
      </w:pPr>
      <w:r>
        <w:t>4</w:t>
      </w:r>
      <w:r>
        <w:t>）基于最优模型生成的土壤盐分空间分布图显示，研究区盐分整体呈由西南向东北逐渐增高的趋势，高盐分区域集中在东部和东北部，与地表泛白盐渍斑块的分布基本一致，可为田块尺度盐渍化精准治理提供空间决策依据。</w:t>
      </w:r>
    </w:p>
    <w:p w14:paraId="0D93939D" w14:textId="77777777" w:rsidR="00C83319" w:rsidRDefault="00000000">
      <w:pPr>
        <w:pStyle w:val="a1"/>
        <w:kinsoku w:val="0"/>
        <w:overflowPunct w:val="0"/>
        <w:spacing w:beforeLines="50" w:before="156" w:afterLines="50" w:after="156"/>
        <w:jc w:val="center"/>
        <w:outlineLvl w:val="0"/>
        <w:rPr>
          <w:rFonts w:ascii="Times New Roman" w:eastAsia="黑体" w:hAnsi="Times New Roman" w:cs="Times New Roman"/>
          <w:b/>
          <w:bCs/>
        </w:rPr>
      </w:pPr>
      <w:bookmarkStart w:id="8" w:name="_Ref77679680"/>
      <w:r>
        <w:rPr>
          <w:rFonts w:ascii="Times New Roman" w:eastAsia="黑体" w:hAnsi="Times New Roman" w:cs="Times New Roman"/>
          <w:b/>
          <w:bCs/>
        </w:rPr>
        <w:t>参</w:t>
      </w:r>
      <w:r>
        <w:rPr>
          <w:rFonts w:ascii="Times New Roman" w:eastAsia="黑体" w:hAnsi="Times New Roman" w:cs="Times New Roman"/>
          <w:b/>
          <w:bCs/>
        </w:rPr>
        <w:t xml:space="preserve"> </w:t>
      </w:r>
      <w:r>
        <w:rPr>
          <w:rFonts w:ascii="Times New Roman" w:eastAsia="黑体" w:hAnsi="Times New Roman" w:cs="Times New Roman"/>
          <w:b/>
          <w:bCs/>
        </w:rPr>
        <w:t>考</w:t>
      </w:r>
      <w:r>
        <w:rPr>
          <w:rFonts w:ascii="Times New Roman" w:eastAsia="黑体" w:hAnsi="Times New Roman" w:cs="Times New Roman"/>
          <w:b/>
          <w:bCs/>
        </w:rPr>
        <w:t xml:space="preserve"> </w:t>
      </w:r>
      <w:r>
        <w:rPr>
          <w:rFonts w:ascii="Times New Roman" w:eastAsia="黑体" w:hAnsi="Times New Roman" w:cs="Times New Roman"/>
          <w:b/>
          <w:bCs/>
        </w:rPr>
        <w:t>文</w:t>
      </w:r>
      <w:r>
        <w:rPr>
          <w:rFonts w:ascii="Times New Roman" w:eastAsia="黑体" w:hAnsi="Times New Roman" w:cs="Times New Roman"/>
          <w:b/>
          <w:bCs/>
        </w:rPr>
        <w:t xml:space="preserve"> </w:t>
      </w:r>
      <w:r>
        <w:rPr>
          <w:rFonts w:ascii="Times New Roman" w:eastAsia="黑体" w:hAnsi="Times New Roman" w:cs="Times New Roman"/>
          <w:b/>
          <w:bCs/>
        </w:rPr>
        <w:t>献</w:t>
      </w:r>
    </w:p>
    <w:bookmarkEnd w:id="8"/>
    <w:p w14:paraId="7192948C" w14:textId="77777777" w:rsidR="00C83319" w:rsidRDefault="00000000">
      <w:pPr>
        <w:pStyle w:val="a"/>
        <w:rPr>
          <w:rFonts w:hint="default"/>
        </w:rPr>
      </w:pPr>
      <w:r>
        <w:t>杨劲松</w:t>
      </w:r>
      <w:r>
        <w:t xml:space="preserve">, </w:t>
      </w:r>
      <w:r>
        <w:t>姚荣江</w:t>
      </w:r>
      <w:r>
        <w:t xml:space="preserve">, </w:t>
      </w:r>
      <w:r>
        <w:t>王相平</w:t>
      </w:r>
      <w:r>
        <w:t xml:space="preserve">, </w:t>
      </w:r>
      <w:r>
        <w:t>等</w:t>
      </w:r>
      <w:r>
        <w:t xml:space="preserve">. </w:t>
      </w:r>
      <w:r>
        <w:t>中国盐渍土研究</w:t>
      </w:r>
      <w:r>
        <w:t>:</w:t>
      </w:r>
      <w:r>
        <w:t>历程、现状与展望</w:t>
      </w:r>
      <w:r>
        <w:t xml:space="preserve">[J]. </w:t>
      </w:r>
      <w:r>
        <w:t>土壤学报</w:t>
      </w:r>
      <w:r>
        <w:t>, 2022,59(1):10-27.</w:t>
      </w:r>
    </w:p>
    <w:p w14:paraId="1F59A6A3" w14:textId="77777777" w:rsidR="00C83319" w:rsidRDefault="00000000">
      <w:pPr>
        <w:widowControl/>
        <w:ind w:left="425"/>
        <w:rPr>
          <w:rFonts w:ascii="Times New Roman" w:hAnsi="Times New Roman"/>
          <w:kern w:val="0"/>
          <w:szCs w:val="21"/>
        </w:rPr>
      </w:pPr>
      <w:r>
        <w:rPr>
          <w:rFonts w:ascii="Times New Roman" w:hAnsi="Times New Roman" w:hint="eastAsia"/>
          <w:kern w:val="0"/>
          <w:szCs w:val="21"/>
        </w:rPr>
        <w:lastRenderedPageBreak/>
        <w:t xml:space="preserve">Jing song Yang, Rong jiang Yao, Xiang ping Wang, et al. Research on Salt-affected Soils in China: History, Status Quo and Prospect[J]. Acta </w:t>
      </w:r>
      <w:proofErr w:type="spellStart"/>
      <w:r>
        <w:rPr>
          <w:rFonts w:ascii="Times New Roman" w:hAnsi="Times New Roman" w:hint="eastAsia"/>
          <w:kern w:val="0"/>
          <w:szCs w:val="21"/>
        </w:rPr>
        <w:t>Pedologica</w:t>
      </w:r>
      <w:proofErr w:type="spellEnd"/>
      <w:r>
        <w:rPr>
          <w:rFonts w:ascii="Times New Roman" w:hAnsi="Times New Roman" w:hint="eastAsia"/>
          <w:kern w:val="0"/>
          <w:szCs w:val="21"/>
        </w:rPr>
        <w:t xml:space="preserve"> Sinica, 2022,59(1):10-</w:t>
      </w:r>
      <w:proofErr w:type="gramStart"/>
      <w:r>
        <w:rPr>
          <w:rFonts w:ascii="Times New Roman" w:hAnsi="Times New Roman" w:hint="eastAsia"/>
          <w:kern w:val="0"/>
          <w:szCs w:val="21"/>
        </w:rPr>
        <w:t>27.(</w:t>
      </w:r>
      <w:proofErr w:type="gramEnd"/>
      <w:r>
        <w:rPr>
          <w:rFonts w:ascii="Times New Roman" w:hAnsi="Times New Roman" w:hint="eastAsia"/>
          <w:kern w:val="0"/>
          <w:szCs w:val="21"/>
        </w:rPr>
        <w:t>in Chinese with English abstract)</w:t>
      </w:r>
    </w:p>
    <w:p w14:paraId="4D5A84B8" w14:textId="77777777" w:rsidR="00C83319" w:rsidRDefault="00000000">
      <w:pPr>
        <w:pStyle w:val="a"/>
        <w:rPr>
          <w:rFonts w:hint="default"/>
        </w:rPr>
      </w:pPr>
      <w:r>
        <w:t>胡明芳</w:t>
      </w:r>
      <w:r>
        <w:t xml:space="preserve">, </w:t>
      </w:r>
      <w:r>
        <w:t>田长彦</w:t>
      </w:r>
      <w:r>
        <w:t xml:space="preserve">, </w:t>
      </w:r>
      <w:proofErr w:type="gramStart"/>
      <w:r>
        <w:t>赵振勇</w:t>
      </w:r>
      <w:proofErr w:type="gramEnd"/>
      <w:r>
        <w:t xml:space="preserve">, </w:t>
      </w:r>
      <w:r>
        <w:t>等</w:t>
      </w:r>
      <w:r>
        <w:t xml:space="preserve">. </w:t>
      </w:r>
      <w:r>
        <w:t>新疆盐碱地成因及改良措施研究进展</w:t>
      </w:r>
      <w:r>
        <w:t xml:space="preserve">[J]. </w:t>
      </w:r>
      <w:r>
        <w:t>西北农林科技大学学报（自然科学版）</w:t>
      </w:r>
      <w:r>
        <w:t>, 2012,40(10):111-117.1.</w:t>
      </w:r>
    </w:p>
    <w:p w14:paraId="24A267F4" w14:textId="77777777" w:rsidR="00C83319" w:rsidRDefault="00000000">
      <w:pPr>
        <w:widowControl/>
        <w:ind w:left="425"/>
        <w:rPr>
          <w:rFonts w:ascii="Times New Roman" w:hAnsi="Times New Roman"/>
          <w:kern w:val="0"/>
          <w:szCs w:val="21"/>
        </w:rPr>
      </w:pPr>
      <w:r>
        <w:rPr>
          <w:rFonts w:ascii="Times New Roman" w:hAnsi="Times New Roman" w:hint="eastAsia"/>
          <w:kern w:val="0"/>
          <w:szCs w:val="21"/>
        </w:rPr>
        <w:t xml:space="preserve">Ming fang Hu, Zhang </w:t>
      </w:r>
      <w:proofErr w:type="spellStart"/>
      <w:r>
        <w:rPr>
          <w:rFonts w:ascii="Times New Roman" w:hAnsi="Times New Roman" w:hint="eastAsia"/>
          <w:kern w:val="0"/>
          <w:szCs w:val="21"/>
        </w:rPr>
        <w:t>yan</w:t>
      </w:r>
      <w:proofErr w:type="spellEnd"/>
      <w:r>
        <w:rPr>
          <w:rFonts w:ascii="Times New Roman" w:hAnsi="Times New Roman" w:hint="eastAsia"/>
          <w:kern w:val="0"/>
          <w:szCs w:val="21"/>
        </w:rPr>
        <w:t xml:space="preserve"> Tian, Zhen </w:t>
      </w:r>
      <w:proofErr w:type="spellStart"/>
      <w:r>
        <w:rPr>
          <w:rFonts w:ascii="Times New Roman" w:hAnsi="Times New Roman" w:hint="eastAsia"/>
          <w:kern w:val="0"/>
          <w:szCs w:val="21"/>
        </w:rPr>
        <w:t>yong</w:t>
      </w:r>
      <w:proofErr w:type="spellEnd"/>
      <w:r>
        <w:rPr>
          <w:rFonts w:ascii="Times New Roman" w:hAnsi="Times New Roman" w:hint="eastAsia"/>
          <w:kern w:val="0"/>
          <w:szCs w:val="21"/>
        </w:rPr>
        <w:t xml:space="preserve"> Zhao, et al. Salinization causes and research progress of technologies improving saline-alkali soil in Xinjiang[J]. Journal of Northwest Sci-Tech Univ of </w:t>
      </w:r>
      <w:proofErr w:type="spellStart"/>
      <w:r>
        <w:rPr>
          <w:rFonts w:ascii="Times New Roman" w:hAnsi="Times New Roman" w:hint="eastAsia"/>
          <w:kern w:val="0"/>
          <w:szCs w:val="21"/>
        </w:rPr>
        <w:t>Agr</w:t>
      </w:r>
      <w:proofErr w:type="spellEnd"/>
      <w:r>
        <w:rPr>
          <w:rFonts w:ascii="Times New Roman" w:hAnsi="Times New Roman" w:hint="eastAsia"/>
          <w:kern w:val="0"/>
          <w:szCs w:val="21"/>
        </w:rPr>
        <w:t xml:space="preserve"> and, 2012,40(10):111-</w:t>
      </w:r>
      <w:proofErr w:type="gramStart"/>
      <w:r>
        <w:rPr>
          <w:rFonts w:ascii="Times New Roman" w:hAnsi="Times New Roman" w:hint="eastAsia"/>
          <w:kern w:val="0"/>
          <w:szCs w:val="21"/>
        </w:rPr>
        <w:t>117.(</w:t>
      </w:r>
      <w:proofErr w:type="gramEnd"/>
      <w:r>
        <w:rPr>
          <w:rFonts w:ascii="Times New Roman" w:hAnsi="Times New Roman" w:hint="eastAsia"/>
          <w:kern w:val="0"/>
          <w:szCs w:val="21"/>
        </w:rPr>
        <w:t>in Chinese with English abstract)</w:t>
      </w:r>
    </w:p>
    <w:p w14:paraId="057ABEB5" w14:textId="77777777" w:rsidR="00C83319" w:rsidRDefault="00000000">
      <w:pPr>
        <w:pStyle w:val="a"/>
        <w:rPr>
          <w:rFonts w:hint="default"/>
        </w:rPr>
      </w:pPr>
      <w:r>
        <w:t>白雪源</w:t>
      </w:r>
      <w:r>
        <w:t xml:space="preserve">, </w:t>
      </w:r>
      <w:r>
        <w:t>张杰</w:t>
      </w:r>
      <w:r>
        <w:t xml:space="preserve">, </w:t>
      </w:r>
      <w:r>
        <w:t>崔振岭</w:t>
      </w:r>
      <w:r>
        <w:t xml:space="preserve">, </w:t>
      </w:r>
      <w:r>
        <w:t>等</w:t>
      </w:r>
      <w:r>
        <w:t xml:space="preserve">. </w:t>
      </w:r>
      <w:r>
        <w:t>中低产田评价指标与主要方法研究进展</w:t>
      </w:r>
      <w:r>
        <w:t xml:space="preserve">[J]. </w:t>
      </w:r>
      <w:r>
        <w:t>土壤学报</w:t>
      </w:r>
      <w:r>
        <w:t>, 2023,60(4):913-924.</w:t>
      </w:r>
    </w:p>
    <w:p w14:paraId="50F2C8AB" w14:textId="77777777" w:rsidR="00C83319" w:rsidRDefault="00000000">
      <w:pPr>
        <w:widowControl/>
        <w:ind w:left="425"/>
        <w:rPr>
          <w:rFonts w:ascii="Times New Roman" w:hAnsi="Times New Roman"/>
          <w:kern w:val="0"/>
          <w:szCs w:val="21"/>
        </w:rPr>
      </w:pPr>
      <w:r>
        <w:rPr>
          <w:rFonts w:ascii="Times New Roman" w:hAnsi="Times New Roman" w:hint="eastAsia"/>
          <w:kern w:val="0"/>
          <w:szCs w:val="21"/>
        </w:rPr>
        <w:t xml:space="preserve">Xue yuan Bai, Jie Zhang, Zhen ling Cui, et al. Advances in the Indicator and Assessment Approaches of Medium-low Yield Fields[J]. Acta </w:t>
      </w:r>
      <w:proofErr w:type="spellStart"/>
      <w:r>
        <w:rPr>
          <w:rFonts w:ascii="Times New Roman" w:hAnsi="Times New Roman" w:hint="eastAsia"/>
          <w:kern w:val="0"/>
          <w:szCs w:val="21"/>
        </w:rPr>
        <w:t>Pedologica</w:t>
      </w:r>
      <w:proofErr w:type="spellEnd"/>
      <w:r>
        <w:rPr>
          <w:rFonts w:ascii="Times New Roman" w:hAnsi="Times New Roman" w:hint="eastAsia"/>
          <w:kern w:val="0"/>
          <w:szCs w:val="21"/>
        </w:rPr>
        <w:t xml:space="preserve"> Sinica, 2023,60(4):913-</w:t>
      </w:r>
      <w:proofErr w:type="gramStart"/>
      <w:r>
        <w:rPr>
          <w:rFonts w:ascii="Times New Roman" w:hAnsi="Times New Roman" w:hint="eastAsia"/>
          <w:kern w:val="0"/>
          <w:szCs w:val="21"/>
        </w:rPr>
        <w:t>924.(</w:t>
      </w:r>
      <w:proofErr w:type="gramEnd"/>
      <w:r>
        <w:rPr>
          <w:rFonts w:ascii="Times New Roman" w:hAnsi="Times New Roman" w:hint="eastAsia"/>
          <w:kern w:val="0"/>
          <w:szCs w:val="21"/>
        </w:rPr>
        <w:t>in Chinese with English abstract)</w:t>
      </w:r>
    </w:p>
    <w:p w14:paraId="0D093AB1" w14:textId="77777777" w:rsidR="00C83319" w:rsidRDefault="00000000">
      <w:pPr>
        <w:pStyle w:val="a"/>
        <w:rPr>
          <w:rFonts w:hint="default"/>
        </w:rPr>
      </w:pPr>
      <w:proofErr w:type="spellStart"/>
      <w:r>
        <w:t>Sahbeni</w:t>
      </w:r>
      <w:proofErr w:type="spellEnd"/>
      <w:r>
        <w:t xml:space="preserve"> Ghada, </w:t>
      </w:r>
      <w:proofErr w:type="spellStart"/>
      <w:r>
        <w:t>Ngabire</w:t>
      </w:r>
      <w:proofErr w:type="spellEnd"/>
      <w:r>
        <w:t xml:space="preserve"> Maurice, Musyimi Peter K, et al. Challenges and Opportunities in Remote Sensing for Soil Salinization Mapping and Monitoring: A Review[J]. Remote Sensing, 2023,15(10):2540.</w:t>
      </w:r>
    </w:p>
    <w:p w14:paraId="361D415D" w14:textId="77777777" w:rsidR="00C83319" w:rsidRDefault="00000000">
      <w:pPr>
        <w:pStyle w:val="a"/>
        <w:rPr>
          <w:rFonts w:hint="default"/>
        </w:rPr>
      </w:pPr>
      <w:r>
        <w:t>李</w:t>
      </w:r>
      <w:proofErr w:type="gramStart"/>
      <w:r>
        <w:t>星佑</w:t>
      </w:r>
      <w:r>
        <w:t>,</w:t>
      </w:r>
      <w:proofErr w:type="gramEnd"/>
      <w:r>
        <w:t xml:space="preserve"> </w:t>
      </w:r>
      <w:r>
        <w:t>张飞</w:t>
      </w:r>
      <w:r>
        <w:t xml:space="preserve">, </w:t>
      </w:r>
      <w:r>
        <w:t>王筝</w:t>
      </w:r>
      <w:r>
        <w:t xml:space="preserve">. </w:t>
      </w:r>
      <w:r>
        <w:t>土壤盐渍化遥感监测模型构建方法现状与发展趋势</w:t>
      </w:r>
      <w:r>
        <w:t xml:space="preserve">[J]. </w:t>
      </w:r>
      <w:r>
        <w:t>自然资源遥感</w:t>
      </w:r>
      <w:r>
        <w:t>, 2022,34(4):11-21.</w:t>
      </w:r>
    </w:p>
    <w:p w14:paraId="1B6154F2" w14:textId="77777777" w:rsidR="00C83319" w:rsidRDefault="00000000">
      <w:pPr>
        <w:widowControl/>
        <w:ind w:left="425"/>
        <w:rPr>
          <w:rFonts w:ascii="Times New Roman" w:hAnsi="Times New Roman"/>
          <w:kern w:val="0"/>
          <w:szCs w:val="21"/>
        </w:rPr>
      </w:pPr>
      <w:r>
        <w:rPr>
          <w:rFonts w:ascii="Times New Roman" w:hAnsi="Times New Roman" w:hint="eastAsia"/>
          <w:kern w:val="0"/>
          <w:szCs w:val="21"/>
        </w:rPr>
        <w:t>Xing you Li, Fei Zhang, Zheng Wang. Present situation and development trend in building remote sensing monitoring models of soil salinization[J]. Remote Sensing for Natural Resources, 2022,34(4):11-</w:t>
      </w:r>
      <w:proofErr w:type="gramStart"/>
      <w:r>
        <w:rPr>
          <w:rFonts w:ascii="Times New Roman" w:hAnsi="Times New Roman" w:hint="eastAsia"/>
          <w:kern w:val="0"/>
          <w:szCs w:val="21"/>
        </w:rPr>
        <w:t>21.(</w:t>
      </w:r>
      <w:proofErr w:type="gramEnd"/>
      <w:r>
        <w:rPr>
          <w:rFonts w:ascii="Times New Roman" w:hAnsi="Times New Roman" w:hint="eastAsia"/>
          <w:kern w:val="0"/>
          <w:szCs w:val="21"/>
        </w:rPr>
        <w:t>in Chinese with English abstract)</w:t>
      </w:r>
    </w:p>
    <w:p w14:paraId="00047852" w14:textId="77777777" w:rsidR="00C83319" w:rsidRDefault="00000000">
      <w:pPr>
        <w:pStyle w:val="a"/>
        <w:rPr>
          <w:rFonts w:hint="default"/>
        </w:rPr>
      </w:pPr>
      <w:r>
        <w:t xml:space="preserve">Chen Yinwen, Qiu Yuanlin, Zhang </w:t>
      </w:r>
      <w:proofErr w:type="spellStart"/>
      <w:r>
        <w:t>Zhitao</w:t>
      </w:r>
      <w:proofErr w:type="spellEnd"/>
      <w:r>
        <w:t xml:space="preserve">, et al. Estimating salt content of vegetated soil at different depths with Sentinel-2 data[J]. </w:t>
      </w:r>
      <w:proofErr w:type="spellStart"/>
      <w:r>
        <w:t>PeerJ</w:t>
      </w:r>
      <w:proofErr w:type="spellEnd"/>
      <w:r>
        <w:t>, 2020,</w:t>
      </w:r>
      <w:proofErr w:type="gramStart"/>
      <w:r>
        <w:t>8:e</w:t>
      </w:r>
      <w:proofErr w:type="gramEnd"/>
      <w:r>
        <w:t>10585.</w:t>
      </w:r>
    </w:p>
    <w:p w14:paraId="4688A24D" w14:textId="77777777" w:rsidR="00C83319" w:rsidRDefault="00000000">
      <w:pPr>
        <w:widowControl/>
        <w:numPr>
          <w:ilvl w:val="0"/>
          <w:numId w:val="2"/>
        </w:numPr>
        <w:rPr>
          <w:rFonts w:ascii="Times New Roman" w:hAnsi="Times New Roman"/>
          <w:kern w:val="0"/>
          <w:szCs w:val="21"/>
        </w:rPr>
      </w:pPr>
      <w:r>
        <w:rPr>
          <w:rFonts w:ascii="Times New Roman" w:hAnsi="Times New Roman" w:hint="eastAsia"/>
          <w:kern w:val="0"/>
          <w:szCs w:val="21"/>
        </w:rPr>
        <w:t>Ge Xiangyu, Ding Jianli, Teng Dexiong, et al. Exploring the capability of Gaofen-5 hyperspectral data for assessing soil salinity risks[J]. International Journal of Applied Earth Observation and Geoinformation, 2022,112:102969.</w:t>
      </w:r>
    </w:p>
    <w:p w14:paraId="02C74CE1" w14:textId="77777777" w:rsidR="00C83319" w:rsidRDefault="00000000">
      <w:pPr>
        <w:widowControl/>
        <w:numPr>
          <w:ilvl w:val="0"/>
          <w:numId w:val="2"/>
        </w:numPr>
        <w:rPr>
          <w:rFonts w:ascii="Times New Roman" w:hAnsi="Times New Roman"/>
          <w:kern w:val="0"/>
          <w:szCs w:val="21"/>
        </w:rPr>
      </w:pPr>
      <w:proofErr w:type="spellStart"/>
      <w:r>
        <w:rPr>
          <w:rFonts w:ascii="Times New Roman" w:hAnsi="Times New Roman" w:hint="eastAsia"/>
          <w:kern w:val="0"/>
          <w:szCs w:val="21"/>
        </w:rPr>
        <w:t>Ivushkin</w:t>
      </w:r>
      <w:proofErr w:type="spellEnd"/>
      <w:r>
        <w:rPr>
          <w:rFonts w:ascii="Times New Roman" w:hAnsi="Times New Roman" w:hint="eastAsia"/>
          <w:kern w:val="0"/>
          <w:szCs w:val="21"/>
        </w:rPr>
        <w:t xml:space="preserve"> Konstantin, Bartholomeus Harm, Bregt Arnold K, et al. UAV based soil salinity assessment of cropland[J]. </w:t>
      </w:r>
      <w:proofErr w:type="spellStart"/>
      <w:r>
        <w:rPr>
          <w:rFonts w:ascii="Times New Roman" w:hAnsi="Times New Roman" w:hint="eastAsia"/>
          <w:kern w:val="0"/>
          <w:szCs w:val="21"/>
        </w:rPr>
        <w:t>Geoderma</w:t>
      </w:r>
      <w:proofErr w:type="spellEnd"/>
      <w:r>
        <w:rPr>
          <w:rFonts w:ascii="Times New Roman" w:hAnsi="Times New Roman" w:hint="eastAsia"/>
          <w:kern w:val="0"/>
          <w:szCs w:val="21"/>
        </w:rPr>
        <w:t>, 2019,338:502-512.</w:t>
      </w:r>
    </w:p>
    <w:p w14:paraId="32DCFA1A" w14:textId="77777777" w:rsidR="00C83319" w:rsidRDefault="00000000">
      <w:pPr>
        <w:widowControl/>
        <w:numPr>
          <w:ilvl w:val="0"/>
          <w:numId w:val="2"/>
        </w:numPr>
        <w:rPr>
          <w:rFonts w:ascii="Times New Roman" w:hAnsi="Times New Roman"/>
          <w:kern w:val="0"/>
          <w:szCs w:val="21"/>
        </w:rPr>
      </w:pPr>
      <w:r>
        <w:rPr>
          <w:rFonts w:ascii="Times New Roman" w:hAnsi="Times New Roman" w:hint="eastAsia"/>
          <w:kern w:val="0"/>
          <w:szCs w:val="21"/>
        </w:rPr>
        <w:t>王敬哲</w:t>
      </w:r>
      <w:r>
        <w:rPr>
          <w:rFonts w:ascii="Times New Roman" w:hAnsi="Times New Roman" w:hint="eastAsia"/>
          <w:kern w:val="0"/>
          <w:szCs w:val="21"/>
        </w:rPr>
        <w:t xml:space="preserve">, </w:t>
      </w:r>
      <w:r>
        <w:rPr>
          <w:rFonts w:ascii="Times New Roman" w:hAnsi="Times New Roman" w:hint="eastAsia"/>
          <w:kern w:val="0"/>
          <w:szCs w:val="21"/>
        </w:rPr>
        <w:t>丁建丽</w:t>
      </w:r>
      <w:r>
        <w:rPr>
          <w:rFonts w:ascii="Times New Roman" w:hAnsi="Times New Roman" w:hint="eastAsia"/>
          <w:kern w:val="0"/>
          <w:szCs w:val="21"/>
        </w:rPr>
        <w:t xml:space="preserve">, </w:t>
      </w:r>
      <w:r>
        <w:rPr>
          <w:rFonts w:ascii="Times New Roman" w:hAnsi="Times New Roman" w:hint="eastAsia"/>
          <w:kern w:val="0"/>
          <w:szCs w:val="21"/>
        </w:rPr>
        <w:t>葛翔宇</w:t>
      </w:r>
      <w:r>
        <w:rPr>
          <w:rFonts w:ascii="Times New Roman" w:hAnsi="Times New Roman" w:hint="eastAsia"/>
          <w:kern w:val="0"/>
          <w:szCs w:val="21"/>
        </w:rPr>
        <w:t xml:space="preserve">, </w:t>
      </w:r>
      <w:r>
        <w:rPr>
          <w:rFonts w:ascii="Times New Roman" w:hAnsi="Times New Roman" w:hint="eastAsia"/>
          <w:kern w:val="0"/>
          <w:szCs w:val="21"/>
        </w:rPr>
        <w:t>等</w:t>
      </w:r>
      <w:r>
        <w:rPr>
          <w:rFonts w:ascii="Times New Roman" w:hAnsi="Times New Roman" w:hint="eastAsia"/>
          <w:kern w:val="0"/>
          <w:szCs w:val="21"/>
        </w:rPr>
        <w:t xml:space="preserve">. </w:t>
      </w:r>
      <w:r>
        <w:rPr>
          <w:rFonts w:ascii="Times New Roman" w:hAnsi="Times New Roman" w:hint="eastAsia"/>
          <w:kern w:val="0"/>
          <w:szCs w:val="21"/>
        </w:rPr>
        <w:t>基于星地传感技术的土壤盐渍化监测进展与展望</w:t>
      </w:r>
      <w:r>
        <w:rPr>
          <w:rFonts w:ascii="Times New Roman" w:hAnsi="Times New Roman" w:hint="eastAsia"/>
          <w:kern w:val="0"/>
          <w:szCs w:val="21"/>
        </w:rPr>
        <w:t xml:space="preserve">[J]. </w:t>
      </w:r>
      <w:r>
        <w:rPr>
          <w:rFonts w:ascii="Times New Roman" w:hAnsi="Times New Roman" w:hint="eastAsia"/>
          <w:kern w:val="0"/>
          <w:szCs w:val="21"/>
        </w:rPr>
        <w:t>遥感学报</w:t>
      </w:r>
      <w:r>
        <w:rPr>
          <w:rFonts w:ascii="Times New Roman" w:hAnsi="Times New Roman" w:hint="eastAsia"/>
          <w:kern w:val="0"/>
          <w:szCs w:val="21"/>
        </w:rPr>
        <w:t>, 2024,28(9):2187-2208.</w:t>
      </w:r>
    </w:p>
    <w:p w14:paraId="62739149" w14:textId="77777777" w:rsidR="00C83319" w:rsidRDefault="00000000">
      <w:pPr>
        <w:widowControl/>
        <w:ind w:left="425"/>
        <w:rPr>
          <w:rFonts w:ascii="Times New Roman" w:hAnsi="Times New Roman"/>
          <w:kern w:val="0"/>
          <w:szCs w:val="21"/>
        </w:rPr>
      </w:pPr>
      <w:r>
        <w:rPr>
          <w:rFonts w:ascii="Times New Roman" w:hAnsi="Times New Roman" w:hint="eastAsia"/>
          <w:kern w:val="0"/>
          <w:szCs w:val="21"/>
        </w:rPr>
        <w:t xml:space="preserve">Jing </w:t>
      </w:r>
      <w:proofErr w:type="spellStart"/>
      <w:r>
        <w:rPr>
          <w:rFonts w:ascii="Times New Roman" w:hAnsi="Times New Roman" w:hint="eastAsia"/>
          <w:kern w:val="0"/>
          <w:szCs w:val="21"/>
        </w:rPr>
        <w:t>zhe</w:t>
      </w:r>
      <w:proofErr w:type="spellEnd"/>
      <w:r>
        <w:rPr>
          <w:rFonts w:ascii="Times New Roman" w:hAnsi="Times New Roman" w:hint="eastAsia"/>
          <w:kern w:val="0"/>
          <w:szCs w:val="21"/>
        </w:rPr>
        <w:t xml:space="preserve"> Wang, Jian li Ding, Xiang </w:t>
      </w:r>
      <w:proofErr w:type="spellStart"/>
      <w:r>
        <w:rPr>
          <w:rFonts w:ascii="Times New Roman" w:hAnsi="Times New Roman" w:hint="eastAsia"/>
          <w:kern w:val="0"/>
          <w:szCs w:val="21"/>
        </w:rPr>
        <w:t>yu</w:t>
      </w:r>
      <w:proofErr w:type="spellEnd"/>
      <w:r>
        <w:rPr>
          <w:rFonts w:ascii="Times New Roman" w:hAnsi="Times New Roman" w:hint="eastAsia"/>
          <w:kern w:val="0"/>
          <w:szCs w:val="21"/>
        </w:rPr>
        <w:t xml:space="preserve"> Ge, et al. Monitoring soil salinization on the basis of remote sensing and proximal soil </w:t>
      </w:r>
      <w:proofErr w:type="spellStart"/>
      <w:proofErr w:type="gramStart"/>
      <w:r>
        <w:rPr>
          <w:rFonts w:ascii="Times New Roman" w:hAnsi="Times New Roman" w:hint="eastAsia"/>
          <w:kern w:val="0"/>
          <w:szCs w:val="21"/>
        </w:rPr>
        <w:t>sensing:Progress</w:t>
      </w:r>
      <w:proofErr w:type="spellEnd"/>
      <w:proofErr w:type="gramEnd"/>
      <w:r>
        <w:rPr>
          <w:rFonts w:ascii="Times New Roman" w:hAnsi="Times New Roman" w:hint="eastAsia"/>
          <w:kern w:val="0"/>
          <w:szCs w:val="21"/>
        </w:rPr>
        <w:t xml:space="preserve"> and perspective[J]. National Remote Sensing Bulletin, 2024,28(9):2187-</w:t>
      </w:r>
      <w:proofErr w:type="gramStart"/>
      <w:r>
        <w:rPr>
          <w:rFonts w:ascii="Times New Roman" w:hAnsi="Times New Roman" w:hint="eastAsia"/>
          <w:kern w:val="0"/>
          <w:szCs w:val="21"/>
        </w:rPr>
        <w:t>2208.(</w:t>
      </w:r>
      <w:proofErr w:type="gramEnd"/>
      <w:r>
        <w:rPr>
          <w:rFonts w:ascii="Times New Roman" w:hAnsi="Times New Roman" w:hint="eastAsia"/>
          <w:kern w:val="0"/>
          <w:szCs w:val="21"/>
        </w:rPr>
        <w:t>in Chinese with English abstract)</w:t>
      </w:r>
    </w:p>
    <w:p w14:paraId="06998633" w14:textId="77777777" w:rsidR="00C83319" w:rsidRDefault="00000000">
      <w:pPr>
        <w:widowControl/>
        <w:numPr>
          <w:ilvl w:val="0"/>
          <w:numId w:val="2"/>
        </w:numPr>
        <w:rPr>
          <w:rFonts w:ascii="Times New Roman" w:hAnsi="Times New Roman"/>
          <w:kern w:val="0"/>
          <w:szCs w:val="21"/>
        </w:rPr>
      </w:pPr>
      <w:r>
        <w:rPr>
          <w:rFonts w:ascii="Times New Roman" w:hAnsi="Times New Roman" w:hint="eastAsia"/>
          <w:kern w:val="0"/>
          <w:szCs w:val="21"/>
        </w:rPr>
        <w:t>陈俊英</w:t>
      </w:r>
      <w:r>
        <w:rPr>
          <w:rFonts w:ascii="Times New Roman" w:hAnsi="Times New Roman" w:hint="eastAsia"/>
          <w:kern w:val="0"/>
          <w:szCs w:val="21"/>
        </w:rPr>
        <w:t xml:space="preserve">, </w:t>
      </w:r>
      <w:proofErr w:type="gramStart"/>
      <w:r>
        <w:rPr>
          <w:rFonts w:ascii="Times New Roman" w:hAnsi="Times New Roman" w:hint="eastAsia"/>
          <w:kern w:val="0"/>
          <w:szCs w:val="21"/>
        </w:rPr>
        <w:t>王新涛</w:t>
      </w:r>
      <w:proofErr w:type="gramEnd"/>
      <w:r>
        <w:rPr>
          <w:rFonts w:ascii="Times New Roman" w:hAnsi="Times New Roman" w:hint="eastAsia"/>
          <w:kern w:val="0"/>
          <w:szCs w:val="21"/>
        </w:rPr>
        <w:t xml:space="preserve">, </w:t>
      </w:r>
      <w:r>
        <w:rPr>
          <w:rFonts w:ascii="Times New Roman" w:hAnsi="Times New Roman" w:hint="eastAsia"/>
          <w:kern w:val="0"/>
          <w:szCs w:val="21"/>
        </w:rPr>
        <w:t>张智韬</w:t>
      </w:r>
      <w:r>
        <w:rPr>
          <w:rFonts w:ascii="Times New Roman" w:hAnsi="Times New Roman" w:hint="eastAsia"/>
          <w:kern w:val="0"/>
          <w:szCs w:val="21"/>
        </w:rPr>
        <w:t xml:space="preserve">, </w:t>
      </w:r>
      <w:r>
        <w:rPr>
          <w:rFonts w:ascii="Times New Roman" w:hAnsi="Times New Roman" w:hint="eastAsia"/>
          <w:kern w:val="0"/>
          <w:szCs w:val="21"/>
        </w:rPr>
        <w:t>等</w:t>
      </w:r>
      <w:r>
        <w:rPr>
          <w:rFonts w:ascii="Times New Roman" w:hAnsi="Times New Roman" w:hint="eastAsia"/>
          <w:kern w:val="0"/>
          <w:szCs w:val="21"/>
        </w:rPr>
        <w:t xml:space="preserve">. </w:t>
      </w:r>
      <w:r>
        <w:rPr>
          <w:rFonts w:ascii="Times New Roman" w:hAnsi="Times New Roman" w:hint="eastAsia"/>
          <w:kern w:val="0"/>
          <w:szCs w:val="21"/>
        </w:rPr>
        <w:t>基于无人机</w:t>
      </w:r>
      <w:r>
        <w:rPr>
          <w:rFonts w:ascii="Times New Roman" w:hAnsi="Times New Roman" w:hint="eastAsia"/>
          <w:kern w:val="0"/>
          <w:szCs w:val="21"/>
        </w:rPr>
        <w:t>-</w:t>
      </w:r>
      <w:r>
        <w:rPr>
          <w:rFonts w:ascii="Times New Roman" w:hAnsi="Times New Roman" w:hint="eastAsia"/>
          <w:kern w:val="0"/>
          <w:szCs w:val="21"/>
        </w:rPr>
        <w:t>卫星遥感升尺度的土壤盐渍化监测方法</w:t>
      </w:r>
      <w:r>
        <w:rPr>
          <w:rFonts w:ascii="Times New Roman" w:hAnsi="Times New Roman" w:hint="eastAsia"/>
          <w:kern w:val="0"/>
          <w:szCs w:val="21"/>
        </w:rPr>
        <w:t xml:space="preserve">[J]. </w:t>
      </w:r>
      <w:r>
        <w:rPr>
          <w:rFonts w:ascii="Times New Roman" w:hAnsi="Times New Roman" w:hint="eastAsia"/>
          <w:kern w:val="0"/>
          <w:szCs w:val="21"/>
        </w:rPr>
        <w:t>农业机械学报</w:t>
      </w:r>
      <w:r>
        <w:rPr>
          <w:rFonts w:ascii="Times New Roman" w:hAnsi="Times New Roman" w:hint="eastAsia"/>
          <w:kern w:val="0"/>
          <w:szCs w:val="21"/>
        </w:rPr>
        <w:t>, 2019,50(12):161-169.</w:t>
      </w:r>
    </w:p>
    <w:p w14:paraId="4ABDFC7D" w14:textId="77777777" w:rsidR="00C83319" w:rsidRDefault="00000000">
      <w:pPr>
        <w:widowControl/>
        <w:ind w:left="425"/>
        <w:rPr>
          <w:rFonts w:ascii="Times New Roman" w:hAnsi="Times New Roman"/>
          <w:kern w:val="0"/>
          <w:szCs w:val="21"/>
        </w:rPr>
      </w:pPr>
      <w:r>
        <w:rPr>
          <w:rFonts w:ascii="Times New Roman" w:hAnsi="Times New Roman" w:hint="eastAsia"/>
          <w:kern w:val="0"/>
          <w:szCs w:val="21"/>
        </w:rPr>
        <w:t xml:space="preserve">Jun ying Chen, Xin </w:t>
      </w:r>
      <w:proofErr w:type="spellStart"/>
      <w:r>
        <w:rPr>
          <w:rFonts w:ascii="Times New Roman" w:hAnsi="Times New Roman" w:hint="eastAsia"/>
          <w:kern w:val="0"/>
          <w:szCs w:val="21"/>
        </w:rPr>
        <w:t>tao</w:t>
      </w:r>
      <w:proofErr w:type="spellEnd"/>
      <w:r>
        <w:rPr>
          <w:rFonts w:ascii="Times New Roman" w:hAnsi="Times New Roman" w:hint="eastAsia"/>
          <w:kern w:val="0"/>
          <w:szCs w:val="21"/>
        </w:rPr>
        <w:t xml:space="preserve"> Wang, Zhi </w:t>
      </w:r>
      <w:proofErr w:type="spellStart"/>
      <w:r>
        <w:rPr>
          <w:rFonts w:ascii="Times New Roman" w:hAnsi="Times New Roman" w:hint="eastAsia"/>
          <w:kern w:val="0"/>
          <w:szCs w:val="21"/>
        </w:rPr>
        <w:t>tao</w:t>
      </w:r>
      <w:proofErr w:type="spellEnd"/>
      <w:r>
        <w:rPr>
          <w:rFonts w:ascii="Times New Roman" w:hAnsi="Times New Roman" w:hint="eastAsia"/>
          <w:kern w:val="0"/>
          <w:szCs w:val="21"/>
        </w:rPr>
        <w:t xml:space="preserve"> Zhang, et al. Soil Salinization Monitoring Method Based on UAV-Satellite Remote Sensing Scale-up[J]. Transactions of the Chinese Society for Agricultural Machinery, 2019,50(12):161-</w:t>
      </w:r>
      <w:proofErr w:type="gramStart"/>
      <w:r>
        <w:rPr>
          <w:rFonts w:ascii="Times New Roman" w:hAnsi="Times New Roman" w:hint="eastAsia"/>
          <w:kern w:val="0"/>
          <w:szCs w:val="21"/>
        </w:rPr>
        <w:t>169.(</w:t>
      </w:r>
      <w:proofErr w:type="gramEnd"/>
      <w:r>
        <w:rPr>
          <w:rFonts w:ascii="Times New Roman" w:hAnsi="Times New Roman" w:hint="eastAsia"/>
          <w:kern w:val="0"/>
          <w:szCs w:val="21"/>
        </w:rPr>
        <w:t>in Chinese with English abstract)</w:t>
      </w:r>
    </w:p>
    <w:p w14:paraId="758C1675" w14:textId="77777777" w:rsidR="00C83319" w:rsidRDefault="00000000">
      <w:pPr>
        <w:widowControl/>
        <w:numPr>
          <w:ilvl w:val="0"/>
          <w:numId w:val="2"/>
        </w:numPr>
        <w:rPr>
          <w:rFonts w:ascii="Times New Roman" w:hAnsi="Times New Roman"/>
          <w:kern w:val="0"/>
          <w:szCs w:val="21"/>
        </w:rPr>
      </w:pPr>
      <w:proofErr w:type="gramStart"/>
      <w:r>
        <w:rPr>
          <w:rFonts w:ascii="Times New Roman" w:hAnsi="Times New Roman" w:hint="eastAsia"/>
          <w:kern w:val="0"/>
          <w:szCs w:val="21"/>
        </w:rPr>
        <w:t>杨吉存</w:t>
      </w:r>
      <w:proofErr w:type="gramEnd"/>
      <w:r>
        <w:rPr>
          <w:rFonts w:ascii="Times New Roman" w:hAnsi="Times New Roman" w:hint="eastAsia"/>
          <w:kern w:val="0"/>
          <w:szCs w:val="21"/>
        </w:rPr>
        <w:t xml:space="preserve">, </w:t>
      </w:r>
      <w:r>
        <w:rPr>
          <w:rFonts w:ascii="Times New Roman" w:hAnsi="Times New Roman" w:hint="eastAsia"/>
          <w:kern w:val="0"/>
          <w:szCs w:val="21"/>
        </w:rPr>
        <w:t>郭兵</w:t>
      </w:r>
      <w:r>
        <w:rPr>
          <w:rFonts w:ascii="Times New Roman" w:hAnsi="Times New Roman" w:hint="eastAsia"/>
          <w:kern w:val="0"/>
          <w:szCs w:val="21"/>
        </w:rPr>
        <w:t xml:space="preserve">. </w:t>
      </w:r>
      <w:r>
        <w:rPr>
          <w:rFonts w:ascii="Times New Roman" w:hAnsi="Times New Roman" w:hint="eastAsia"/>
          <w:kern w:val="0"/>
          <w:szCs w:val="21"/>
        </w:rPr>
        <w:t>基于</w:t>
      </w:r>
      <w:r>
        <w:rPr>
          <w:rFonts w:ascii="Times New Roman" w:hAnsi="Times New Roman" w:hint="eastAsia"/>
          <w:kern w:val="0"/>
          <w:szCs w:val="21"/>
        </w:rPr>
        <w:t>FOD-CNN</w:t>
      </w:r>
      <w:r>
        <w:rPr>
          <w:rFonts w:ascii="Times New Roman" w:hAnsi="Times New Roman" w:hint="eastAsia"/>
          <w:kern w:val="0"/>
          <w:szCs w:val="21"/>
        </w:rPr>
        <w:t>光谱指数的滨海地区盐渍化估算模型</w:t>
      </w:r>
      <w:r>
        <w:rPr>
          <w:rFonts w:ascii="Times New Roman" w:hAnsi="Times New Roman" w:hint="eastAsia"/>
          <w:kern w:val="0"/>
          <w:szCs w:val="21"/>
        </w:rPr>
        <w:t xml:space="preserve">[J]. </w:t>
      </w:r>
      <w:r>
        <w:rPr>
          <w:rFonts w:ascii="Times New Roman" w:hAnsi="Times New Roman" w:hint="eastAsia"/>
          <w:kern w:val="0"/>
          <w:szCs w:val="21"/>
        </w:rPr>
        <w:t>农业工程学报</w:t>
      </w:r>
      <w:r>
        <w:rPr>
          <w:rFonts w:ascii="Times New Roman" w:hAnsi="Times New Roman" w:hint="eastAsia"/>
          <w:kern w:val="0"/>
          <w:szCs w:val="21"/>
        </w:rPr>
        <w:t>, 2025,41(15):76-85.</w:t>
      </w:r>
    </w:p>
    <w:p w14:paraId="1A46788C" w14:textId="77777777" w:rsidR="00C83319" w:rsidRDefault="00000000">
      <w:pPr>
        <w:widowControl/>
        <w:ind w:left="425"/>
        <w:rPr>
          <w:rFonts w:ascii="Times New Roman" w:hAnsi="Times New Roman"/>
          <w:kern w:val="0"/>
          <w:szCs w:val="21"/>
        </w:rPr>
      </w:pPr>
      <w:r>
        <w:rPr>
          <w:rFonts w:ascii="Times New Roman" w:hAnsi="Times New Roman" w:hint="eastAsia"/>
          <w:kern w:val="0"/>
          <w:szCs w:val="21"/>
        </w:rPr>
        <w:t xml:space="preserve">Ji </w:t>
      </w:r>
      <w:proofErr w:type="spellStart"/>
      <w:r>
        <w:rPr>
          <w:rFonts w:ascii="Times New Roman" w:hAnsi="Times New Roman" w:hint="eastAsia"/>
          <w:kern w:val="0"/>
          <w:szCs w:val="21"/>
        </w:rPr>
        <w:t>cun</w:t>
      </w:r>
      <w:proofErr w:type="spellEnd"/>
      <w:r>
        <w:rPr>
          <w:rFonts w:ascii="Times New Roman" w:hAnsi="Times New Roman" w:hint="eastAsia"/>
          <w:kern w:val="0"/>
          <w:szCs w:val="21"/>
        </w:rPr>
        <w:t xml:space="preserve"> Yang, Bing Guo. Estimating salinization in coastal areas using FOD-CNN spectral indices[J]. Transactions of the Chinese Society of Agricultural Engineering, 2025,41(15):76-</w:t>
      </w:r>
      <w:proofErr w:type="gramStart"/>
      <w:r>
        <w:rPr>
          <w:rFonts w:ascii="Times New Roman" w:hAnsi="Times New Roman" w:hint="eastAsia"/>
          <w:kern w:val="0"/>
          <w:szCs w:val="21"/>
        </w:rPr>
        <w:t>85.(</w:t>
      </w:r>
      <w:proofErr w:type="gramEnd"/>
      <w:r>
        <w:rPr>
          <w:rFonts w:ascii="Times New Roman" w:hAnsi="Times New Roman" w:hint="eastAsia"/>
          <w:kern w:val="0"/>
          <w:szCs w:val="21"/>
        </w:rPr>
        <w:t>in Chinese with English abstract)</w:t>
      </w:r>
    </w:p>
    <w:p w14:paraId="1C8B5805" w14:textId="77777777" w:rsidR="00C83319" w:rsidRDefault="00000000">
      <w:pPr>
        <w:widowControl/>
        <w:numPr>
          <w:ilvl w:val="0"/>
          <w:numId w:val="2"/>
        </w:numPr>
        <w:rPr>
          <w:rFonts w:ascii="Times New Roman" w:hAnsi="Times New Roman"/>
          <w:kern w:val="0"/>
          <w:szCs w:val="21"/>
        </w:rPr>
      </w:pPr>
      <w:r>
        <w:rPr>
          <w:rFonts w:ascii="Times New Roman" w:hAnsi="Times New Roman" w:hint="eastAsia"/>
          <w:kern w:val="0"/>
          <w:szCs w:val="21"/>
        </w:rPr>
        <w:lastRenderedPageBreak/>
        <w:t>郭艳萍</w:t>
      </w:r>
      <w:r>
        <w:rPr>
          <w:rFonts w:ascii="Times New Roman" w:hAnsi="Times New Roman" w:hint="eastAsia"/>
          <w:kern w:val="0"/>
          <w:szCs w:val="21"/>
        </w:rPr>
        <w:t xml:space="preserve">, </w:t>
      </w:r>
      <w:r>
        <w:rPr>
          <w:rFonts w:ascii="Times New Roman" w:hAnsi="Times New Roman" w:hint="eastAsia"/>
          <w:kern w:val="0"/>
          <w:szCs w:val="21"/>
        </w:rPr>
        <w:t>王雪梅</w:t>
      </w:r>
      <w:r>
        <w:rPr>
          <w:rFonts w:ascii="Times New Roman" w:hAnsi="Times New Roman" w:hint="eastAsia"/>
          <w:kern w:val="0"/>
          <w:szCs w:val="21"/>
        </w:rPr>
        <w:t xml:space="preserve">, </w:t>
      </w:r>
      <w:proofErr w:type="gramStart"/>
      <w:r>
        <w:rPr>
          <w:rFonts w:ascii="Times New Roman" w:hAnsi="Times New Roman" w:hint="eastAsia"/>
          <w:kern w:val="0"/>
          <w:szCs w:val="21"/>
        </w:rPr>
        <w:t>赵枫</w:t>
      </w:r>
      <w:r>
        <w:rPr>
          <w:rFonts w:ascii="Times New Roman" w:hAnsi="Times New Roman" w:hint="eastAsia"/>
          <w:kern w:val="0"/>
          <w:szCs w:val="21"/>
        </w:rPr>
        <w:t>,</w:t>
      </w:r>
      <w:proofErr w:type="gramEnd"/>
      <w:r>
        <w:rPr>
          <w:rFonts w:ascii="Times New Roman" w:hAnsi="Times New Roman" w:hint="eastAsia"/>
          <w:kern w:val="0"/>
          <w:szCs w:val="21"/>
        </w:rPr>
        <w:t xml:space="preserve"> </w:t>
      </w:r>
      <w:r>
        <w:rPr>
          <w:rFonts w:ascii="Times New Roman" w:hAnsi="Times New Roman" w:hint="eastAsia"/>
          <w:kern w:val="0"/>
          <w:szCs w:val="21"/>
        </w:rPr>
        <w:t>等</w:t>
      </w:r>
      <w:r>
        <w:rPr>
          <w:rFonts w:ascii="Times New Roman" w:hAnsi="Times New Roman" w:hint="eastAsia"/>
          <w:kern w:val="0"/>
          <w:szCs w:val="21"/>
        </w:rPr>
        <w:t xml:space="preserve">. </w:t>
      </w:r>
      <w:r>
        <w:rPr>
          <w:rFonts w:ascii="Times New Roman" w:hAnsi="Times New Roman" w:hint="eastAsia"/>
          <w:kern w:val="0"/>
          <w:szCs w:val="21"/>
        </w:rPr>
        <w:t>基于最优数学和小波变换的绿洲耕层土壤盐分</w:t>
      </w:r>
      <w:r>
        <w:rPr>
          <w:rFonts w:ascii="Times New Roman" w:hAnsi="Times New Roman" w:hint="eastAsia"/>
          <w:kern w:val="0"/>
          <w:szCs w:val="21"/>
        </w:rPr>
        <w:t>RF</w:t>
      </w:r>
      <w:r>
        <w:rPr>
          <w:rFonts w:ascii="Times New Roman" w:hAnsi="Times New Roman" w:hint="eastAsia"/>
          <w:kern w:val="0"/>
          <w:szCs w:val="21"/>
        </w:rPr>
        <w:t>高光谱反演</w:t>
      </w:r>
      <w:r>
        <w:rPr>
          <w:rFonts w:ascii="Times New Roman" w:hAnsi="Times New Roman" w:hint="eastAsia"/>
          <w:kern w:val="0"/>
          <w:szCs w:val="21"/>
        </w:rPr>
        <w:t xml:space="preserve">[J]. </w:t>
      </w:r>
      <w:r>
        <w:rPr>
          <w:rFonts w:ascii="Times New Roman" w:hAnsi="Times New Roman" w:hint="eastAsia"/>
          <w:kern w:val="0"/>
          <w:szCs w:val="21"/>
        </w:rPr>
        <w:t>农业工程学报</w:t>
      </w:r>
      <w:r>
        <w:rPr>
          <w:rFonts w:ascii="Times New Roman" w:hAnsi="Times New Roman" w:hint="eastAsia"/>
          <w:kern w:val="0"/>
          <w:szCs w:val="21"/>
        </w:rPr>
        <w:t>, 2025,41(3):83-93.</w:t>
      </w:r>
    </w:p>
    <w:p w14:paraId="28BC8465" w14:textId="77777777" w:rsidR="00C83319" w:rsidRDefault="00000000">
      <w:pPr>
        <w:widowControl/>
        <w:ind w:left="425"/>
        <w:rPr>
          <w:rFonts w:ascii="Times New Roman" w:hAnsi="Times New Roman"/>
          <w:kern w:val="0"/>
          <w:szCs w:val="21"/>
        </w:rPr>
      </w:pPr>
      <w:r>
        <w:rPr>
          <w:rFonts w:ascii="Times New Roman" w:hAnsi="Times New Roman" w:hint="eastAsia"/>
          <w:kern w:val="0"/>
          <w:szCs w:val="21"/>
        </w:rPr>
        <w:t xml:space="preserve">Yan ping Guo, Xue </w:t>
      </w:r>
      <w:proofErr w:type="spellStart"/>
      <w:r>
        <w:rPr>
          <w:rFonts w:ascii="Times New Roman" w:hAnsi="Times New Roman" w:hint="eastAsia"/>
          <w:kern w:val="0"/>
          <w:szCs w:val="21"/>
        </w:rPr>
        <w:t>mei</w:t>
      </w:r>
      <w:proofErr w:type="spellEnd"/>
      <w:r>
        <w:rPr>
          <w:rFonts w:ascii="Times New Roman" w:hAnsi="Times New Roman" w:hint="eastAsia"/>
          <w:kern w:val="0"/>
          <w:szCs w:val="21"/>
        </w:rPr>
        <w:t xml:space="preserve"> Wang, Feng Zhao, et al. Hyperspectral inversion of the RF model for soil salinity in oasis tillage layer based on optimal mathematics and wavelet transform[J]. Transactions of the Chinese Society of Agricultural Engineering, 2025,41(3):83-</w:t>
      </w:r>
      <w:proofErr w:type="gramStart"/>
      <w:r>
        <w:rPr>
          <w:rFonts w:ascii="Times New Roman" w:hAnsi="Times New Roman" w:hint="eastAsia"/>
          <w:kern w:val="0"/>
          <w:szCs w:val="21"/>
        </w:rPr>
        <w:t>93.(</w:t>
      </w:r>
      <w:proofErr w:type="gramEnd"/>
      <w:r>
        <w:rPr>
          <w:rFonts w:ascii="Times New Roman" w:hAnsi="Times New Roman" w:hint="eastAsia"/>
          <w:kern w:val="0"/>
          <w:szCs w:val="21"/>
        </w:rPr>
        <w:t>in Chinese with English abstract)</w:t>
      </w:r>
    </w:p>
    <w:p w14:paraId="632FE298" w14:textId="77777777" w:rsidR="00C83319" w:rsidRDefault="00000000">
      <w:pPr>
        <w:widowControl/>
        <w:numPr>
          <w:ilvl w:val="0"/>
          <w:numId w:val="2"/>
        </w:numPr>
        <w:rPr>
          <w:rFonts w:ascii="Times New Roman" w:hAnsi="Times New Roman"/>
          <w:kern w:val="0"/>
          <w:szCs w:val="21"/>
        </w:rPr>
      </w:pPr>
      <w:r>
        <w:rPr>
          <w:rFonts w:ascii="Times New Roman" w:hAnsi="Times New Roman" w:hint="eastAsia"/>
          <w:kern w:val="0"/>
          <w:szCs w:val="21"/>
        </w:rPr>
        <w:t>程俊恺</w:t>
      </w:r>
      <w:r>
        <w:rPr>
          <w:rFonts w:ascii="Times New Roman" w:hAnsi="Times New Roman" w:hint="eastAsia"/>
          <w:kern w:val="0"/>
          <w:szCs w:val="21"/>
        </w:rPr>
        <w:t xml:space="preserve">, </w:t>
      </w:r>
      <w:r>
        <w:rPr>
          <w:rFonts w:ascii="Times New Roman" w:hAnsi="Times New Roman" w:hint="eastAsia"/>
          <w:kern w:val="0"/>
          <w:szCs w:val="21"/>
        </w:rPr>
        <w:t>冯秀丽</w:t>
      </w:r>
      <w:r>
        <w:rPr>
          <w:rFonts w:ascii="Times New Roman" w:hAnsi="Times New Roman" w:hint="eastAsia"/>
          <w:kern w:val="0"/>
          <w:szCs w:val="21"/>
        </w:rPr>
        <w:t xml:space="preserve">, </w:t>
      </w:r>
      <w:r>
        <w:rPr>
          <w:rFonts w:ascii="Times New Roman" w:hAnsi="Times New Roman" w:hint="eastAsia"/>
          <w:kern w:val="0"/>
          <w:szCs w:val="21"/>
        </w:rPr>
        <w:t>陈立波</w:t>
      </w:r>
      <w:r>
        <w:rPr>
          <w:rFonts w:ascii="Times New Roman" w:hAnsi="Times New Roman" w:hint="eastAsia"/>
          <w:kern w:val="0"/>
          <w:szCs w:val="21"/>
        </w:rPr>
        <w:t xml:space="preserve">, </w:t>
      </w:r>
      <w:r>
        <w:rPr>
          <w:rFonts w:ascii="Times New Roman" w:hAnsi="Times New Roman" w:hint="eastAsia"/>
          <w:kern w:val="0"/>
          <w:szCs w:val="21"/>
        </w:rPr>
        <w:t>等</w:t>
      </w:r>
      <w:r>
        <w:rPr>
          <w:rFonts w:ascii="Times New Roman" w:hAnsi="Times New Roman" w:hint="eastAsia"/>
          <w:kern w:val="0"/>
          <w:szCs w:val="21"/>
        </w:rPr>
        <w:t xml:space="preserve">. </w:t>
      </w:r>
      <w:r>
        <w:rPr>
          <w:rFonts w:ascii="Times New Roman" w:hAnsi="Times New Roman" w:hint="eastAsia"/>
          <w:kern w:val="0"/>
          <w:szCs w:val="21"/>
        </w:rPr>
        <w:t>基于无人机高光谱数据的耕地土壤盐分反演模型优选</w:t>
      </w:r>
      <w:r>
        <w:rPr>
          <w:rFonts w:ascii="Times New Roman" w:hAnsi="Times New Roman" w:hint="eastAsia"/>
          <w:kern w:val="0"/>
          <w:szCs w:val="21"/>
        </w:rPr>
        <w:t xml:space="preserve">[J]. </w:t>
      </w:r>
      <w:r>
        <w:rPr>
          <w:rFonts w:ascii="Times New Roman" w:hAnsi="Times New Roman" w:hint="eastAsia"/>
          <w:kern w:val="0"/>
          <w:szCs w:val="21"/>
        </w:rPr>
        <w:t>应用生态学报</w:t>
      </w:r>
      <w:r>
        <w:rPr>
          <w:rFonts w:ascii="Times New Roman" w:hAnsi="Times New Roman" w:hint="eastAsia"/>
          <w:kern w:val="0"/>
          <w:szCs w:val="21"/>
        </w:rPr>
        <w:t>, 2024,35(11):3085-3094.</w:t>
      </w:r>
    </w:p>
    <w:p w14:paraId="3F14BB22" w14:textId="77777777" w:rsidR="00C83319" w:rsidRDefault="00000000">
      <w:pPr>
        <w:widowControl/>
        <w:ind w:left="425"/>
        <w:rPr>
          <w:rFonts w:ascii="Times New Roman" w:hAnsi="Times New Roman"/>
          <w:kern w:val="0"/>
          <w:szCs w:val="21"/>
        </w:rPr>
      </w:pPr>
      <w:r>
        <w:rPr>
          <w:rFonts w:ascii="Times New Roman" w:hAnsi="Times New Roman" w:hint="eastAsia"/>
          <w:kern w:val="0"/>
          <w:szCs w:val="21"/>
        </w:rPr>
        <w:t xml:space="preserve">Jun kai Cheng, Xiu li Feng, Li </w:t>
      </w:r>
      <w:proofErr w:type="spellStart"/>
      <w:r>
        <w:rPr>
          <w:rFonts w:ascii="Times New Roman" w:hAnsi="Times New Roman" w:hint="eastAsia"/>
          <w:kern w:val="0"/>
          <w:szCs w:val="21"/>
        </w:rPr>
        <w:t>bo</w:t>
      </w:r>
      <w:proofErr w:type="spellEnd"/>
      <w:r>
        <w:rPr>
          <w:rFonts w:ascii="Times New Roman" w:hAnsi="Times New Roman" w:hint="eastAsia"/>
          <w:kern w:val="0"/>
          <w:szCs w:val="21"/>
        </w:rPr>
        <w:t xml:space="preserve"> Chen, et al. Optimal inversion model for cultivated land soil salinity based on UAV hyperspectral data[J]. Chinese Journal of Applied Ecology, 2024,35(11):3085-</w:t>
      </w:r>
      <w:proofErr w:type="gramStart"/>
      <w:r>
        <w:rPr>
          <w:rFonts w:ascii="Times New Roman" w:hAnsi="Times New Roman" w:hint="eastAsia"/>
          <w:kern w:val="0"/>
          <w:szCs w:val="21"/>
        </w:rPr>
        <w:t>3094.(</w:t>
      </w:r>
      <w:proofErr w:type="gramEnd"/>
      <w:r>
        <w:rPr>
          <w:rFonts w:ascii="Times New Roman" w:hAnsi="Times New Roman" w:hint="eastAsia"/>
          <w:kern w:val="0"/>
          <w:szCs w:val="21"/>
        </w:rPr>
        <w:t>in Chinese with English abstract)</w:t>
      </w:r>
    </w:p>
    <w:p w14:paraId="195BDFFF" w14:textId="77777777" w:rsidR="00C83319" w:rsidRDefault="00000000">
      <w:pPr>
        <w:widowControl/>
        <w:numPr>
          <w:ilvl w:val="0"/>
          <w:numId w:val="2"/>
        </w:numPr>
        <w:rPr>
          <w:rFonts w:ascii="Times New Roman" w:hAnsi="Times New Roman"/>
          <w:kern w:val="0"/>
          <w:szCs w:val="21"/>
        </w:rPr>
      </w:pPr>
      <w:proofErr w:type="gramStart"/>
      <w:r>
        <w:rPr>
          <w:rFonts w:ascii="Times New Roman" w:hAnsi="Times New Roman" w:hint="eastAsia"/>
          <w:kern w:val="0"/>
          <w:szCs w:val="21"/>
        </w:rPr>
        <w:t>马瑜蔓</w:t>
      </w:r>
      <w:proofErr w:type="gramEnd"/>
      <w:r>
        <w:rPr>
          <w:rFonts w:ascii="Times New Roman" w:hAnsi="Times New Roman" w:hint="eastAsia"/>
          <w:kern w:val="0"/>
          <w:szCs w:val="21"/>
        </w:rPr>
        <w:t xml:space="preserve">, </w:t>
      </w:r>
      <w:proofErr w:type="gramStart"/>
      <w:r>
        <w:rPr>
          <w:rFonts w:ascii="Times New Roman" w:hAnsi="Times New Roman" w:hint="eastAsia"/>
          <w:kern w:val="0"/>
          <w:szCs w:val="21"/>
        </w:rPr>
        <w:t>段博</w:t>
      </w:r>
      <w:proofErr w:type="gramEnd"/>
      <w:r>
        <w:rPr>
          <w:rFonts w:ascii="Times New Roman" w:hAnsi="Times New Roman" w:hint="eastAsia"/>
          <w:kern w:val="0"/>
          <w:szCs w:val="21"/>
        </w:rPr>
        <w:t xml:space="preserve">, </w:t>
      </w:r>
      <w:r>
        <w:rPr>
          <w:rFonts w:ascii="Times New Roman" w:hAnsi="Times New Roman" w:hint="eastAsia"/>
          <w:kern w:val="0"/>
          <w:szCs w:val="21"/>
        </w:rPr>
        <w:t>徐宾灿</w:t>
      </w:r>
      <w:r>
        <w:rPr>
          <w:rFonts w:ascii="Times New Roman" w:hAnsi="Times New Roman" w:hint="eastAsia"/>
          <w:kern w:val="0"/>
          <w:szCs w:val="21"/>
        </w:rPr>
        <w:t xml:space="preserve">, </w:t>
      </w:r>
      <w:r>
        <w:rPr>
          <w:rFonts w:ascii="Times New Roman" w:hAnsi="Times New Roman" w:hint="eastAsia"/>
          <w:kern w:val="0"/>
          <w:szCs w:val="21"/>
        </w:rPr>
        <w:t>等</w:t>
      </w:r>
      <w:r>
        <w:rPr>
          <w:rFonts w:ascii="Times New Roman" w:hAnsi="Times New Roman" w:hint="eastAsia"/>
          <w:kern w:val="0"/>
          <w:szCs w:val="21"/>
        </w:rPr>
        <w:t>.</w:t>
      </w:r>
      <w:r>
        <w:rPr>
          <w:rFonts w:ascii="Times New Roman" w:hAnsi="Times New Roman" w:hint="eastAsia"/>
          <w:kern w:val="0"/>
          <w:szCs w:val="21"/>
        </w:rPr>
        <w:t>基于分数阶微分和无人机高光谱指数优选的油菜产量预测</w:t>
      </w:r>
      <w:r>
        <w:rPr>
          <w:rFonts w:ascii="Times New Roman" w:hAnsi="Times New Roman" w:hint="eastAsia"/>
          <w:kern w:val="0"/>
          <w:szCs w:val="21"/>
        </w:rPr>
        <w:t xml:space="preserve">[J]. </w:t>
      </w:r>
      <w:r>
        <w:rPr>
          <w:rFonts w:ascii="Times New Roman" w:hAnsi="Times New Roman" w:hint="eastAsia"/>
          <w:kern w:val="0"/>
          <w:szCs w:val="21"/>
        </w:rPr>
        <w:t>农业工程学报</w:t>
      </w:r>
      <w:r>
        <w:rPr>
          <w:rFonts w:ascii="Times New Roman" w:hAnsi="Times New Roman" w:hint="eastAsia"/>
          <w:kern w:val="0"/>
          <w:szCs w:val="21"/>
        </w:rPr>
        <w:t>, 2025,41(10):166-175.</w:t>
      </w:r>
    </w:p>
    <w:p w14:paraId="74ACE88A" w14:textId="77777777" w:rsidR="00C83319" w:rsidRDefault="00000000">
      <w:pPr>
        <w:widowControl/>
        <w:ind w:left="425"/>
        <w:rPr>
          <w:rFonts w:ascii="Times New Roman" w:hAnsi="Times New Roman"/>
          <w:kern w:val="0"/>
          <w:szCs w:val="21"/>
        </w:rPr>
      </w:pPr>
      <w:r>
        <w:rPr>
          <w:rFonts w:ascii="Times New Roman" w:hAnsi="Times New Roman" w:hint="eastAsia"/>
          <w:kern w:val="0"/>
          <w:szCs w:val="21"/>
        </w:rPr>
        <w:t>Yu man Ma, Bo Duan, Bin can Xu, et al. Rapeseed yield prediction based on fractional-order differentiation and UAV hyperspectral index optimization[J]. Transactions of the Chinese Society of Agricultural Engineering, 2025,41(10):166-</w:t>
      </w:r>
      <w:proofErr w:type="gramStart"/>
      <w:r>
        <w:rPr>
          <w:rFonts w:ascii="Times New Roman" w:hAnsi="Times New Roman" w:hint="eastAsia"/>
          <w:kern w:val="0"/>
          <w:szCs w:val="21"/>
        </w:rPr>
        <w:t>175.(</w:t>
      </w:r>
      <w:proofErr w:type="gramEnd"/>
      <w:r>
        <w:rPr>
          <w:rFonts w:ascii="Times New Roman" w:hAnsi="Times New Roman" w:hint="eastAsia"/>
          <w:kern w:val="0"/>
          <w:szCs w:val="21"/>
        </w:rPr>
        <w:t>in Chinese with English abstract)</w:t>
      </w:r>
    </w:p>
    <w:p w14:paraId="2861EB19" w14:textId="77777777" w:rsidR="00C83319" w:rsidRDefault="00000000">
      <w:pPr>
        <w:widowControl/>
        <w:numPr>
          <w:ilvl w:val="0"/>
          <w:numId w:val="2"/>
        </w:numPr>
        <w:rPr>
          <w:rFonts w:ascii="Times New Roman" w:hAnsi="Times New Roman"/>
          <w:kern w:val="0"/>
          <w:szCs w:val="21"/>
        </w:rPr>
      </w:pPr>
      <w:r>
        <w:rPr>
          <w:rFonts w:ascii="Times New Roman" w:hAnsi="Times New Roman" w:hint="eastAsia"/>
          <w:kern w:val="0"/>
          <w:szCs w:val="21"/>
        </w:rPr>
        <w:t xml:space="preserve">Zhang </w:t>
      </w:r>
      <w:proofErr w:type="spellStart"/>
      <w:r>
        <w:rPr>
          <w:rFonts w:ascii="Times New Roman" w:hAnsi="Times New Roman" w:hint="eastAsia"/>
          <w:kern w:val="0"/>
          <w:szCs w:val="21"/>
        </w:rPr>
        <w:t>Jinming</w:t>
      </w:r>
      <w:proofErr w:type="spellEnd"/>
      <w:r>
        <w:rPr>
          <w:rFonts w:ascii="Times New Roman" w:hAnsi="Times New Roman" w:hint="eastAsia"/>
          <w:kern w:val="0"/>
          <w:szCs w:val="21"/>
        </w:rPr>
        <w:t>, Ding Jianli, Tan Jiao, et al. Monitoring soil salinization in Arid cotton fields using Unmanned Aerial Vehicle hyperspectral imagery[J]. International Journal of Applied Earth Observation and Geoinformation, 2025,140:104584.</w:t>
      </w:r>
    </w:p>
    <w:p w14:paraId="4F84E663" w14:textId="77777777" w:rsidR="00C83319" w:rsidRDefault="00000000">
      <w:pPr>
        <w:widowControl/>
        <w:numPr>
          <w:ilvl w:val="0"/>
          <w:numId w:val="2"/>
        </w:numPr>
        <w:rPr>
          <w:rFonts w:ascii="Times New Roman" w:hAnsi="Times New Roman"/>
          <w:kern w:val="0"/>
          <w:szCs w:val="21"/>
        </w:rPr>
      </w:pPr>
      <w:r>
        <w:rPr>
          <w:rFonts w:ascii="Times New Roman" w:hAnsi="Times New Roman" w:hint="eastAsia"/>
          <w:kern w:val="0"/>
          <w:szCs w:val="21"/>
        </w:rPr>
        <w:t>Wang Zeyuan, Ding Jianli, Tan Jiao, et al. UAV hyperspectral analysis of secondary salinization in arid oasis cotton fields: effects of FOD feature selection and SOA-RF[J]. Frontiers in Plant Science, 2024,15:1358965.</w:t>
      </w:r>
    </w:p>
    <w:p w14:paraId="388748AB" w14:textId="77777777" w:rsidR="00C83319" w:rsidRDefault="00000000">
      <w:pPr>
        <w:widowControl/>
        <w:numPr>
          <w:ilvl w:val="0"/>
          <w:numId w:val="2"/>
        </w:numPr>
        <w:rPr>
          <w:rFonts w:ascii="Times New Roman" w:hAnsi="Times New Roman"/>
          <w:kern w:val="0"/>
          <w:szCs w:val="21"/>
        </w:rPr>
      </w:pPr>
      <w:r>
        <w:rPr>
          <w:rFonts w:ascii="Times New Roman" w:hAnsi="Times New Roman" w:hint="eastAsia"/>
          <w:kern w:val="0"/>
          <w:szCs w:val="21"/>
        </w:rPr>
        <w:t>巴亚岚</w:t>
      </w:r>
      <w:r>
        <w:rPr>
          <w:rFonts w:ascii="Times New Roman" w:hAnsi="Times New Roman" w:hint="eastAsia"/>
          <w:kern w:val="0"/>
          <w:szCs w:val="21"/>
        </w:rPr>
        <w:t xml:space="preserve">, </w:t>
      </w:r>
      <w:r>
        <w:rPr>
          <w:rFonts w:ascii="Times New Roman" w:hAnsi="Times New Roman" w:hint="eastAsia"/>
          <w:kern w:val="0"/>
          <w:szCs w:val="21"/>
        </w:rPr>
        <w:t>张智韬</w:t>
      </w:r>
      <w:r>
        <w:rPr>
          <w:rFonts w:ascii="Times New Roman" w:hAnsi="Times New Roman" w:hint="eastAsia"/>
          <w:kern w:val="0"/>
          <w:szCs w:val="21"/>
        </w:rPr>
        <w:t xml:space="preserve">, </w:t>
      </w:r>
      <w:proofErr w:type="gramStart"/>
      <w:r>
        <w:rPr>
          <w:rFonts w:ascii="Times New Roman" w:hAnsi="Times New Roman" w:hint="eastAsia"/>
          <w:kern w:val="0"/>
          <w:szCs w:val="21"/>
        </w:rPr>
        <w:t>谢坪良</w:t>
      </w:r>
      <w:proofErr w:type="gramEnd"/>
      <w:r>
        <w:rPr>
          <w:rFonts w:ascii="Times New Roman" w:hAnsi="Times New Roman" w:hint="eastAsia"/>
          <w:kern w:val="0"/>
          <w:szCs w:val="21"/>
        </w:rPr>
        <w:t xml:space="preserve">, </w:t>
      </w:r>
      <w:r>
        <w:rPr>
          <w:rFonts w:ascii="Times New Roman" w:hAnsi="Times New Roman" w:hint="eastAsia"/>
          <w:kern w:val="0"/>
          <w:szCs w:val="21"/>
        </w:rPr>
        <w:t>等</w:t>
      </w:r>
      <w:r>
        <w:rPr>
          <w:rFonts w:ascii="Times New Roman" w:hAnsi="Times New Roman" w:hint="eastAsia"/>
          <w:kern w:val="0"/>
          <w:szCs w:val="21"/>
        </w:rPr>
        <w:t xml:space="preserve">. </w:t>
      </w:r>
      <w:r>
        <w:rPr>
          <w:rFonts w:ascii="Times New Roman" w:hAnsi="Times New Roman" w:hint="eastAsia"/>
          <w:kern w:val="0"/>
          <w:szCs w:val="21"/>
        </w:rPr>
        <w:t>集成</w:t>
      </w:r>
      <w:r>
        <w:rPr>
          <w:rFonts w:ascii="Times New Roman" w:hAnsi="Times New Roman" w:hint="eastAsia"/>
          <w:kern w:val="0"/>
          <w:szCs w:val="21"/>
        </w:rPr>
        <w:t>Sentinel-1/2</w:t>
      </w:r>
      <w:r>
        <w:rPr>
          <w:rFonts w:ascii="Times New Roman" w:hAnsi="Times New Roman" w:hint="eastAsia"/>
          <w:kern w:val="0"/>
          <w:szCs w:val="21"/>
        </w:rPr>
        <w:t>和环境变量的新疆农田土壤含盐量反演</w:t>
      </w:r>
      <w:r>
        <w:rPr>
          <w:rFonts w:ascii="Times New Roman" w:hAnsi="Times New Roman" w:hint="eastAsia"/>
          <w:kern w:val="0"/>
          <w:szCs w:val="21"/>
        </w:rPr>
        <w:t xml:space="preserve">[J]. </w:t>
      </w:r>
      <w:r>
        <w:rPr>
          <w:rFonts w:ascii="Times New Roman" w:hAnsi="Times New Roman" w:hint="eastAsia"/>
          <w:kern w:val="0"/>
          <w:szCs w:val="21"/>
        </w:rPr>
        <w:t>农业工程学报</w:t>
      </w:r>
      <w:r>
        <w:rPr>
          <w:rFonts w:ascii="Times New Roman" w:hAnsi="Times New Roman" w:hint="eastAsia"/>
          <w:kern w:val="0"/>
          <w:szCs w:val="21"/>
        </w:rPr>
        <w:t>, 2024,40(16):171-179.</w:t>
      </w:r>
    </w:p>
    <w:p w14:paraId="38FBA6C2" w14:textId="77777777" w:rsidR="00C83319" w:rsidRDefault="00000000">
      <w:pPr>
        <w:widowControl/>
        <w:ind w:left="425"/>
        <w:rPr>
          <w:rFonts w:ascii="Times New Roman" w:hAnsi="Times New Roman"/>
          <w:kern w:val="0"/>
          <w:szCs w:val="21"/>
        </w:rPr>
      </w:pPr>
      <w:r>
        <w:rPr>
          <w:rFonts w:ascii="Times New Roman" w:hAnsi="Times New Roman" w:hint="eastAsia"/>
          <w:kern w:val="0"/>
          <w:szCs w:val="21"/>
        </w:rPr>
        <w:t xml:space="preserve">Ya lan Ba, Zhi </w:t>
      </w:r>
      <w:proofErr w:type="spellStart"/>
      <w:r>
        <w:rPr>
          <w:rFonts w:ascii="Times New Roman" w:hAnsi="Times New Roman" w:hint="eastAsia"/>
          <w:kern w:val="0"/>
          <w:szCs w:val="21"/>
        </w:rPr>
        <w:t>tao</w:t>
      </w:r>
      <w:proofErr w:type="spellEnd"/>
      <w:r>
        <w:rPr>
          <w:rFonts w:ascii="Times New Roman" w:hAnsi="Times New Roman" w:hint="eastAsia"/>
          <w:kern w:val="0"/>
          <w:szCs w:val="21"/>
        </w:rPr>
        <w:t xml:space="preserve"> Zhang, Ping liang Xie, et al. Inverting soil salinity of farmland in Xinjiang by integratingSentinel-1/2 and environmental variables[J]. Transactions of the Chinese Society of Agricultural Engineering, 2024,40(16):171-</w:t>
      </w:r>
      <w:proofErr w:type="gramStart"/>
      <w:r>
        <w:rPr>
          <w:rFonts w:ascii="Times New Roman" w:hAnsi="Times New Roman" w:hint="eastAsia"/>
          <w:kern w:val="0"/>
          <w:szCs w:val="21"/>
        </w:rPr>
        <w:t>179.(</w:t>
      </w:r>
      <w:proofErr w:type="gramEnd"/>
      <w:r>
        <w:rPr>
          <w:rFonts w:ascii="Times New Roman" w:hAnsi="Times New Roman" w:hint="eastAsia"/>
          <w:kern w:val="0"/>
          <w:szCs w:val="21"/>
        </w:rPr>
        <w:t>in Chinese with English abstract)</w:t>
      </w:r>
    </w:p>
    <w:p w14:paraId="293923C4" w14:textId="77777777" w:rsidR="00C83319" w:rsidRDefault="00000000">
      <w:pPr>
        <w:widowControl/>
        <w:numPr>
          <w:ilvl w:val="0"/>
          <w:numId w:val="2"/>
        </w:numPr>
        <w:rPr>
          <w:rFonts w:ascii="Times New Roman" w:hAnsi="Times New Roman"/>
          <w:kern w:val="0"/>
          <w:szCs w:val="21"/>
        </w:rPr>
      </w:pPr>
      <w:r>
        <w:rPr>
          <w:rFonts w:ascii="Times New Roman" w:hAnsi="Times New Roman" w:hint="eastAsia"/>
          <w:kern w:val="0"/>
          <w:szCs w:val="21"/>
        </w:rPr>
        <w:t>贾萍</w:t>
      </w:r>
      <w:proofErr w:type="gramStart"/>
      <w:r>
        <w:rPr>
          <w:rFonts w:ascii="Times New Roman" w:hAnsi="Times New Roman" w:hint="eastAsia"/>
          <w:kern w:val="0"/>
          <w:szCs w:val="21"/>
        </w:rPr>
        <w:t>萍</w:t>
      </w:r>
      <w:proofErr w:type="gramEnd"/>
      <w:r>
        <w:rPr>
          <w:rFonts w:ascii="Times New Roman" w:hAnsi="Times New Roman" w:hint="eastAsia"/>
          <w:kern w:val="0"/>
          <w:szCs w:val="21"/>
        </w:rPr>
        <w:t xml:space="preserve">, </w:t>
      </w:r>
      <w:r>
        <w:rPr>
          <w:rFonts w:ascii="Times New Roman" w:hAnsi="Times New Roman" w:hint="eastAsia"/>
          <w:kern w:val="0"/>
          <w:szCs w:val="21"/>
        </w:rPr>
        <w:t>尚天</w:t>
      </w:r>
      <w:proofErr w:type="gramStart"/>
      <w:r>
        <w:rPr>
          <w:rFonts w:ascii="Times New Roman" w:hAnsi="Times New Roman" w:hint="eastAsia"/>
          <w:kern w:val="0"/>
          <w:szCs w:val="21"/>
        </w:rPr>
        <w:t>浩</w:t>
      </w:r>
      <w:proofErr w:type="gramEnd"/>
      <w:r>
        <w:rPr>
          <w:rFonts w:ascii="Times New Roman" w:hAnsi="Times New Roman" w:hint="eastAsia"/>
          <w:kern w:val="0"/>
          <w:szCs w:val="21"/>
        </w:rPr>
        <w:t xml:space="preserve">, </w:t>
      </w:r>
      <w:r>
        <w:rPr>
          <w:rFonts w:ascii="Times New Roman" w:hAnsi="Times New Roman" w:hint="eastAsia"/>
          <w:kern w:val="0"/>
          <w:szCs w:val="21"/>
        </w:rPr>
        <w:t>张俊华</w:t>
      </w:r>
      <w:r>
        <w:rPr>
          <w:rFonts w:ascii="Times New Roman" w:hAnsi="Times New Roman" w:hint="eastAsia"/>
          <w:kern w:val="0"/>
          <w:szCs w:val="21"/>
        </w:rPr>
        <w:t xml:space="preserve">, </w:t>
      </w:r>
      <w:r>
        <w:rPr>
          <w:rFonts w:ascii="Times New Roman" w:hAnsi="Times New Roman" w:hint="eastAsia"/>
          <w:kern w:val="0"/>
          <w:szCs w:val="21"/>
        </w:rPr>
        <w:t>等</w:t>
      </w:r>
      <w:r>
        <w:rPr>
          <w:rFonts w:ascii="Times New Roman" w:hAnsi="Times New Roman" w:hint="eastAsia"/>
          <w:kern w:val="0"/>
          <w:szCs w:val="21"/>
        </w:rPr>
        <w:t xml:space="preserve">. </w:t>
      </w:r>
      <w:r>
        <w:rPr>
          <w:rFonts w:ascii="Times New Roman" w:hAnsi="Times New Roman" w:hint="eastAsia"/>
          <w:kern w:val="0"/>
          <w:szCs w:val="21"/>
        </w:rPr>
        <w:t>利用多源光谱信息反演宁夏银北地区干湿季土壤含盐量</w:t>
      </w:r>
      <w:r>
        <w:rPr>
          <w:rFonts w:ascii="Times New Roman" w:hAnsi="Times New Roman" w:hint="eastAsia"/>
          <w:kern w:val="0"/>
          <w:szCs w:val="21"/>
        </w:rPr>
        <w:t xml:space="preserve">[J]. </w:t>
      </w:r>
      <w:r>
        <w:rPr>
          <w:rFonts w:ascii="Times New Roman" w:hAnsi="Times New Roman" w:hint="eastAsia"/>
          <w:kern w:val="0"/>
          <w:szCs w:val="21"/>
        </w:rPr>
        <w:t>农业工程学报</w:t>
      </w:r>
      <w:r>
        <w:rPr>
          <w:rFonts w:ascii="Times New Roman" w:hAnsi="Times New Roman" w:hint="eastAsia"/>
          <w:kern w:val="0"/>
          <w:szCs w:val="21"/>
        </w:rPr>
        <w:t>, 2020,36(17):125-134.</w:t>
      </w:r>
    </w:p>
    <w:p w14:paraId="101DCE07" w14:textId="77777777" w:rsidR="00C83319" w:rsidRDefault="00000000">
      <w:pPr>
        <w:widowControl/>
        <w:ind w:left="425"/>
        <w:rPr>
          <w:rFonts w:ascii="Times New Roman" w:hAnsi="Times New Roman"/>
          <w:kern w:val="0"/>
          <w:szCs w:val="21"/>
        </w:rPr>
      </w:pPr>
      <w:r>
        <w:rPr>
          <w:rFonts w:ascii="Times New Roman" w:hAnsi="Times New Roman" w:hint="eastAsia"/>
          <w:kern w:val="0"/>
          <w:szCs w:val="21"/>
        </w:rPr>
        <w:t xml:space="preserve">Ping </w:t>
      </w:r>
      <w:proofErr w:type="spellStart"/>
      <w:r>
        <w:rPr>
          <w:rFonts w:ascii="Times New Roman" w:hAnsi="Times New Roman" w:hint="eastAsia"/>
          <w:kern w:val="0"/>
          <w:szCs w:val="21"/>
        </w:rPr>
        <w:t>ping</w:t>
      </w:r>
      <w:proofErr w:type="spellEnd"/>
      <w:r>
        <w:rPr>
          <w:rFonts w:ascii="Times New Roman" w:hAnsi="Times New Roman" w:hint="eastAsia"/>
          <w:kern w:val="0"/>
          <w:szCs w:val="21"/>
        </w:rPr>
        <w:t xml:space="preserve"> Jia, Tian hao Shang, Jun </w:t>
      </w:r>
      <w:proofErr w:type="spellStart"/>
      <w:r>
        <w:rPr>
          <w:rFonts w:ascii="Times New Roman" w:hAnsi="Times New Roman" w:hint="eastAsia"/>
          <w:kern w:val="0"/>
          <w:szCs w:val="21"/>
        </w:rPr>
        <w:t>hua</w:t>
      </w:r>
      <w:proofErr w:type="spellEnd"/>
      <w:r>
        <w:rPr>
          <w:rFonts w:ascii="Times New Roman" w:hAnsi="Times New Roman" w:hint="eastAsia"/>
          <w:kern w:val="0"/>
          <w:szCs w:val="21"/>
        </w:rPr>
        <w:t xml:space="preserve"> Zhang, et al. Inversion of soil salinity in dry and wet seasons based on multi-source spectral data in </w:t>
      </w:r>
      <w:proofErr w:type="spellStart"/>
      <w:r>
        <w:rPr>
          <w:rFonts w:ascii="Times New Roman" w:hAnsi="Times New Roman" w:hint="eastAsia"/>
          <w:kern w:val="0"/>
          <w:szCs w:val="21"/>
        </w:rPr>
        <w:t>Yinbei</w:t>
      </w:r>
      <w:proofErr w:type="spellEnd"/>
      <w:r>
        <w:rPr>
          <w:rFonts w:ascii="Times New Roman" w:hAnsi="Times New Roman" w:hint="eastAsia"/>
          <w:kern w:val="0"/>
          <w:szCs w:val="21"/>
        </w:rPr>
        <w:t xml:space="preserve"> area of Ningxia, China[J]. Transactions of the Chinese Society of Agricultural Engineering, 2020,36(17):125-</w:t>
      </w:r>
      <w:proofErr w:type="gramStart"/>
      <w:r>
        <w:rPr>
          <w:rFonts w:ascii="Times New Roman" w:hAnsi="Times New Roman" w:hint="eastAsia"/>
          <w:kern w:val="0"/>
          <w:szCs w:val="21"/>
        </w:rPr>
        <w:t>134.(</w:t>
      </w:r>
      <w:proofErr w:type="gramEnd"/>
      <w:r>
        <w:rPr>
          <w:rFonts w:ascii="Times New Roman" w:hAnsi="Times New Roman" w:hint="eastAsia"/>
          <w:kern w:val="0"/>
          <w:szCs w:val="21"/>
        </w:rPr>
        <w:t>in Chinese with English abstract)</w:t>
      </w:r>
    </w:p>
    <w:p w14:paraId="6275A261" w14:textId="77777777" w:rsidR="00C83319" w:rsidRDefault="00000000">
      <w:pPr>
        <w:widowControl/>
        <w:numPr>
          <w:ilvl w:val="0"/>
          <w:numId w:val="2"/>
        </w:numPr>
        <w:rPr>
          <w:rFonts w:ascii="Times New Roman" w:hAnsi="Times New Roman"/>
          <w:kern w:val="0"/>
          <w:szCs w:val="21"/>
        </w:rPr>
      </w:pPr>
      <w:r>
        <w:rPr>
          <w:rFonts w:ascii="Times New Roman" w:hAnsi="Times New Roman" w:hint="eastAsia"/>
          <w:kern w:val="0"/>
          <w:szCs w:val="21"/>
        </w:rPr>
        <w:t>Jackson Ray D. Spectral indices in N-Space[J]. Remote Sensing of Environment, 1983,13(5):409-421.</w:t>
      </w:r>
    </w:p>
    <w:p w14:paraId="55E35A26" w14:textId="77777777" w:rsidR="00C83319" w:rsidRDefault="00000000">
      <w:pPr>
        <w:widowControl/>
        <w:numPr>
          <w:ilvl w:val="0"/>
          <w:numId w:val="2"/>
        </w:numPr>
        <w:rPr>
          <w:rFonts w:ascii="Times New Roman" w:hAnsi="Times New Roman"/>
          <w:kern w:val="0"/>
          <w:szCs w:val="21"/>
        </w:rPr>
      </w:pPr>
      <w:r>
        <w:rPr>
          <w:rFonts w:ascii="Times New Roman" w:hAnsi="Times New Roman" w:hint="eastAsia"/>
          <w:kern w:val="0"/>
          <w:szCs w:val="21"/>
        </w:rPr>
        <w:t>张子鹏</w:t>
      </w:r>
      <w:r>
        <w:rPr>
          <w:rFonts w:ascii="Times New Roman" w:hAnsi="Times New Roman" w:hint="eastAsia"/>
          <w:kern w:val="0"/>
          <w:szCs w:val="21"/>
        </w:rPr>
        <w:t xml:space="preserve">, </w:t>
      </w:r>
      <w:r>
        <w:rPr>
          <w:rFonts w:ascii="Times New Roman" w:hAnsi="Times New Roman" w:hint="eastAsia"/>
          <w:kern w:val="0"/>
          <w:szCs w:val="21"/>
        </w:rPr>
        <w:t>丁建丽</w:t>
      </w:r>
      <w:r>
        <w:rPr>
          <w:rFonts w:ascii="Times New Roman" w:hAnsi="Times New Roman" w:hint="eastAsia"/>
          <w:kern w:val="0"/>
          <w:szCs w:val="21"/>
        </w:rPr>
        <w:t xml:space="preserve">, </w:t>
      </w:r>
      <w:r>
        <w:rPr>
          <w:rFonts w:ascii="Times New Roman" w:hAnsi="Times New Roman" w:hint="eastAsia"/>
          <w:kern w:val="0"/>
          <w:szCs w:val="21"/>
        </w:rPr>
        <w:t>王敬哲</w:t>
      </w:r>
      <w:r>
        <w:rPr>
          <w:rFonts w:ascii="Times New Roman" w:hAnsi="Times New Roman" w:hint="eastAsia"/>
          <w:kern w:val="0"/>
          <w:szCs w:val="21"/>
        </w:rPr>
        <w:t xml:space="preserve">, </w:t>
      </w:r>
      <w:r>
        <w:rPr>
          <w:rFonts w:ascii="Times New Roman" w:hAnsi="Times New Roman" w:hint="eastAsia"/>
          <w:kern w:val="0"/>
          <w:szCs w:val="21"/>
        </w:rPr>
        <w:t>等</w:t>
      </w:r>
      <w:r>
        <w:rPr>
          <w:rFonts w:ascii="Times New Roman" w:hAnsi="Times New Roman" w:hint="eastAsia"/>
          <w:kern w:val="0"/>
          <w:szCs w:val="21"/>
        </w:rPr>
        <w:t xml:space="preserve">. </w:t>
      </w:r>
      <w:r>
        <w:rPr>
          <w:rFonts w:ascii="Times New Roman" w:hAnsi="Times New Roman" w:hint="eastAsia"/>
          <w:kern w:val="0"/>
          <w:szCs w:val="21"/>
        </w:rPr>
        <w:t>利用三维光谱指数定量估算土壤有机质含量：</w:t>
      </w:r>
      <w:r>
        <w:rPr>
          <w:rFonts w:ascii="Times New Roman" w:hAnsi="Times New Roman" w:hint="eastAsia"/>
          <w:kern w:val="0"/>
          <w:szCs w:val="21"/>
        </w:rPr>
        <w:t xml:space="preserve"> </w:t>
      </w:r>
      <w:r>
        <w:rPr>
          <w:rFonts w:ascii="Times New Roman" w:hAnsi="Times New Roman" w:hint="eastAsia"/>
          <w:kern w:val="0"/>
          <w:szCs w:val="21"/>
        </w:rPr>
        <w:t>以新疆艾比湖流域为例</w:t>
      </w:r>
      <w:r>
        <w:rPr>
          <w:rFonts w:ascii="Times New Roman" w:hAnsi="Times New Roman" w:hint="eastAsia"/>
          <w:kern w:val="0"/>
          <w:szCs w:val="21"/>
        </w:rPr>
        <w:t>[J].</w:t>
      </w:r>
      <w:r>
        <w:rPr>
          <w:rFonts w:ascii="Times New Roman" w:hAnsi="Times New Roman" w:hint="eastAsia"/>
          <w:kern w:val="0"/>
          <w:szCs w:val="21"/>
        </w:rPr>
        <w:t>光谱学与光谱分析</w:t>
      </w:r>
      <w:r>
        <w:rPr>
          <w:rFonts w:ascii="Times New Roman" w:hAnsi="Times New Roman" w:hint="eastAsia"/>
          <w:kern w:val="0"/>
          <w:szCs w:val="21"/>
        </w:rPr>
        <w:t>, 2020,40(5):1514-1522.</w:t>
      </w:r>
    </w:p>
    <w:p w14:paraId="0E0647C3" w14:textId="77777777" w:rsidR="00C83319" w:rsidRDefault="00000000">
      <w:pPr>
        <w:widowControl/>
        <w:ind w:left="425"/>
        <w:rPr>
          <w:rFonts w:ascii="Times New Roman" w:hAnsi="Times New Roman"/>
          <w:kern w:val="0"/>
          <w:szCs w:val="21"/>
        </w:rPr>
      </w:pPr>
      <w:r>
        <w:rPr>
          <w:rFonts w:ascii="Times New Roman" w:hAnsi="Times New Roman" w:hint="eastAsia"/>
          <w:kern w:val="0"/>
          <w:szCs w:val="21"/>
        </w:rPr>
        <w:t xml:space="preserve">Zi peng Zhang, Jian li Ding, Jing </w:t>
      </w:r>
      <w:proofErr w:type="spellStart"/>
      <w:r>
        <w:rPr>
          <w:rFonts w:ascii="Times New Roman" w:hAnsi="Times New Roman" w:hint="eastAsia"/>
          <w:kern w:val="0"/>
          <w:szCs w:val="21"/>
        </w:rPr>
        <w:t>zhe</w:t>
      </w:r>
      <w:proofErr w:type="spellEnd"/>
      <w:r>
        <w:rPr>
          <w:rFonts w:ascii="Times New Roman" w:hAnsi="Times New Roman" w:hint="eastAsia"/>
          <w:kern w:val="0"/>
          <w:szCs w:val="21"/>
        </w:rPr>
        <w:t xml:space="preserve"> Wang, et al. Quantitative Estimation of Soil Organic Matter Content Using Three-Dimensional Spectral Index: A Case Study of the </w:t>
      </w:r>
      <w:proofErr w:type="spellStart"/>
      <w:r>
        <w:rPr>
          <w:rFonts w:ascii="Times New Roman" w:hAnsi="Times New Roman" w:hint="eastAsia"/>
          <w:kern w:val="0"/>
          <w:szCs w:val="21"/>
        </w:rPr>
        <w:t>Ebinur</w:t>
      </w:r>
      <w:proofErr w:type="spellEnd"/>
      <w:r>
        <w:rPr>
          <w:rFonts w:ascii="Times New Roman" w:hAnsi="Times New Roman" w:hint="eastAsia"/>
          <w:kern w:val="0"/>
          <w:szCs w:val="21"/>
        </w:rPr>
        <w:t xml:space="preserve"> Lake Basin in Xinjiang[J]. Spectroscopy and Spectral Analysis, 2020,40(5):1514-</w:t>
      </w:r>
      <w:proofErr w:type="gramStart"/>
      <w:r>
        <w:rPr>
          <w:rFonts w:ascii="Times New Roman" w:hAnsi="Times New Roman" w:hint="eastAsia"/>
          <w:kern w:val="0"/>
          <w:szCs w:val="21"/>
        </w:rPr>
        <w:t>1522.(</w:t>
      </w:r>
      <w:proofErr w:type="gramEnd"/>
      <w:r>
        <w:rPr>
          <w:rFonts w:ascii="Times New Roman" w:hAnsi="Times New Roman" w:hint="eastAsia"/>
          <w:kern w:val="0"/>
          <w:szCs w:val="21"/>
        </w:rPr>
        <w:t>in Chinese with English abstract)</w:t>
      </w:r>
    </w:p>
    <w:p w14:paraId="21FBC328" w14:textId="77777777" w:rsidR="00C83319" w:rsidRDefault="00000000">
      <w:pPr>
        <w:widowControl/>
        <w:numPr>
          <w:ilvl w:val="0"/>
          <w:numId w:val="2"/>
        </w:numPr>
        <w:rPr>
          <w:rFonts w:ascii="Times New Roman" w:hAnsi="Times New Roman"/>
          <w:kern w:val="0"/>
          <w:szCs w:val="21"/>
        </w:rPr>
      </w:pPr>
      <w:r>
        <w:rPr>
          <w:rFonts w:ascii="Times New Roman" w:hAnsi="Times New Roman" w:hint="eastAsia"/>
          <w:kern w:val="0"/>
          <w:szCs w:val="21"/>
        </w:rPr>
        <w:t>Zhang Xuan, Sun Hui, Qiao Xingxing, et al. Hyperspectral estimation of canopy chlorophyll of winter wheat by using the optimized vegetation indices[J]. Computers and Electronics in Agriculture, 2022,193:106654.</w:t>
      </w:r>
    </w:p>
    <w:p w14:paraId="527A9BAA" w14:textId="77777777" w:rsidR="00C83319" w:rsidRDefault="00000000">
      <w:pPr>
        <w:widowControl/>
        <w:numPr>
          <w:ilvl w:val="0"/>
          <w:numId w:val="2"/>
        </w:numPr>
        <w:rPr>
          <w:rFonts w:ascii="Times New Roman" w:hAnsi="Times New Roman"/>
          <w:kern w:val="0"/>
          <w:szCs w:val="21"/>
        </w:rPr>
      </w:pPr>
      <w:r>
        <w:rPr>
          <w:rFonts w:ascii="Times New Roman" w:hAnsi="Times New Roman" w:hint="eastAsia"/>
          <w:kern w:val="0"/>
          <w:szCs w:val="21"/>
        </w:rPr>
        <w:lastRenderedPageBreak/>
        <w:t>Wang Jingzhe, Ding Jianli, Wang Yankun, et al. Soil salinization in drylands: Measure, monitor, and manage[J]. Ecological Indicators, 2025,175:113608.</w:t>
      </w:r>
    </w:p>
    <w:p w14:paraId="44B2A332" w14:textId="77777777" w:rsidR="00C83319" w:rsidRDefault="00000000">
      <w:pPr>
        <w:widowControl/>
        <w:numPr>
          <w:ilvl w:val="0"/>
          <w:numId w:val="2"/>
        </w:numPr>
        <w:rPr>
          <w:rFonts w:ascii="Times New Roman" w:hAnsi="Times New Roman"/>
          <w:kern w:val="0"/>
          <w:szCs w:val="21"/>
        </w:rPr>
      </w:pPr>
      <w:proofErr w:type="gramStart"/>
      <w:r>
        <w:rPr>
          <w:rFonts w:ascii="Times New Roman" w:hAnsi="Times New Roman" w:hint="eastAsia"/>
          <w:kern w:val="0"/>
          <w:szCs w:val="21"/>
        </w:rPr>
        <w:t>刘佳琳</w:t>
      </w:r>
      <w:proofErr w:type="gramEnd"/>
      <w:r>
        <w:rPr>
          <w:rFonts w:ascii="Times New Roman" w:hAnsi="Times New Roman" w:hint="eastAsia"/>
          <w:kern w:val="0"/>
          <w:szCs w:val="21"/>
        </w:rPr>
        <w:t xml:space="preserve">, </w:t>
      </w:r>
      <w:r>
        <w:rPr>
          <w:rFonts w:ascii="Times New Roman" w:hAnsi="Times New Roman" w:hint="eastAsia"/>
          <w:kern w:val="0"/>
          <w:szCs w:val="21"/>
        </w:rPr>
        <w:t>王飞</w:t>
      </w:r>
      <w:r>
        <w:rPr>
          <w:rFonts w:ascii="Times New Roman" w:hAnsi="Times New Roman" w:hint="eastAsia"/>
          <w:kern w:val="0"/>
          <w:szCs w:val="21"/>
        </w:rPr>
        <w:t xml:space="preserve">, </w:t>
      </w:r>
      <w:r>
        <w:rPr>
          <w:rFonts w:ascii="Times New Roman" w:hAnsi="Times New Roman" w:hint="eastAsia"/>
          <w:kern w:val="0"/>
          <w:szCs w:val="21"/>
        </w:rPr>
        <w:t>韩剑桥</w:t>
      </w:r>
      <w:r>
        <w:rPr>
          <w:rFonts w:ascii="Times New Roman" w:hAnsi="Times New Roman" w:hint="eastAsia"/>
          <w:kern w:val="0"/>
          <w:szCs w:val="21"/>
        </w:rPr>
        <w:t xml:space="preserve">, </w:t>
      </w:r>
      <w:r>
        <w:rPr>
          <w:rFonts w:ascii="Times New Roman" w:hAnsi="Times New Roman" w:hint="eastAsia"/>
          <w:kern w:val="0"/>
          <w:szCs w:val="21"/>
        </w:rPr>
        <w:t>等</w:t>
      </w:r>
      <w:r>
        <w:rPr>
          <w:rFonts w:ascii="Times New Roman" w:hAnsi="Times New Roman" w:hint="eastAsia"/>
          <w:kern w:val="0"/>
          <w:szCs w:val="21"/>
        </w:rPr>
        <w:t xml:space="preserve">. </w:t>
      </w:r>
      <w:r>
        <w:rPr>
          <w:rFonts w:ascii="Times New Roman" w:hAnsi="Times New Roman" w:hint="eastAsia"/>
          <w:kern w:val="0"/>
          <w:szCs w:val="21"/>
        </w:rPr>
        <w:t>基于分数阶微分的土壤含盐量光谱特征及定量估算研究</w:t>
      </w:r>
      <w:r>
        <w:rPr>
          <w:rFonts w:ascii="Times New Roman" w:hAnsi="Times New Roman" w:hint="eastAsia"/>
          <w:kern w:val="0"/>
          <w:szCs w:val="21"/>
        </w:rPr>
        <w:t xml:space="preserve">[J]. </w:t>
      </w:r>
      <w:r>
        <w:rPr>
          <w:rFonts w:ascii="Times New Roman" w:hAnsi="Times New Roman" w:hint="eastAsia"/>
          <w:kern w:val="0"/>
          <w:szCs w:val="21"/>
        </w:rPr>
        <w:t>遥感技术与应用</w:t>
      </w:r>
      <w:r>
        <w:rPr>
          <w:rFonts w:ascii="Times New Roman" w:hAnsi="Times New Roman" w:hint="eastAsia"/>
          <w:kern w:val="0"/>
          <w:szCs w:val="21"/>
        </w:rPr>
        <w:t>, 2025,40(2):344-358.</w:t>
      </w:r>
    </w:p>
    <w:p w14:paraId="142B9839" w14:textId="77777777" w:rsidR="00C83319" w:rsidRDefault="00000000">
      <w:pPr>
        <w:widowControl/>
        <w:ind w:left="425"/>
        <w:rPr>
          <w:rFonts w:ascii="Times New Roman" w:hAnsi="Times New Roman"/>
          <w:kern w:val="0"/>
          <w:szCs w:val="21"/>
        </w:rPr>
      </w:pPr>
      <w:r>
        <w:rPr>
          <w:rFonts w:ascii="Times New Roman" w:hAnsi="Times New Roman" w:hint="eastAsia"/>
          <w:kern w:val="0"/>
          <w:szCs w:val="21"/>
        </w:rPr>
        <w:t xml:space="preserve">Jia </w:t>
      </w:r>
      <w:proofErr w:type="spellStart"/>
      <w:r>
        <w:rPr>
          <w:rFonts w:ascii="Times New Roman" w:hAnsi="Times New Roman" w:hint="eastAsia"/>
          <w:kern w:val="0"/>
          <w:szCs w:val="21"/>
        </w:rPr>
        <w:t>lin</w:t>
      </w:r>
      <w:proofErr w:type="spellEnd"/>
      <w:r>
        <w:rPr>
          <w:rFonts w:ascii="Times New Roman" w:hAnsi="Times New Roman" w:hint="eastAsia"/>
          <w:kern w:val="0"/>
          <w:szCs w:val="21"/>
        </w:rPr>
        <w:t xml:space="preserve"> Liu, Fei Wang, Jian </w:t>
      </w:r>
      <w:proofErr w:type="spellStart"/>
      <w:r>
        <w:rPr>
          <w:rFonts w:ascii="Times New Roman" w:hAnsi="Times New Roman" w:hint="eastAsia"/>
          <w:kern w:val="0"/>
          <w:szCs w:val="21"/>
        </w:rPr>
        <w:t>qiao</w:t>
      </w:r>
      <w:proofErr w:type="spellEnd"/>
      <w:r>
        <w:rPr>
          <w:rFonts w:ascii="Times New Roman" w:hAnsi="Times New Roman" w:hint="eastAsia"/>
          <w:kern w:val="0"/>
          <w:szCs w:val="21"/>
        </w:rPr>
        <w:t xml:space="preserve"> Han, et al. Study on Spectral Characteristics and Quantitative Estimation of Soil Salinity based on Fractional Order Derivative[J]. Remote Sensing Technology and Application, 2025,40(2):344-</w:t>
      </w:r>
      <w:proofErr w:type="gramStart"/>
      <w:r>
        <w:rPr>
          <w:rFonts w:ascii="Times New Roman" w:hAnsi="Times New Roman" w:hint="eastAsia"/>
          <w:kern w:val="0"/>
          <w:szCs w:val="21"/>
        </w:rPr>
        <w:t>358.(</w:t>
      </w:r>
      <w:proofErr w:type="gramEnd"/>
      <w:r>
        <w:rPr>
          <w:rFonts w:ascii="Times New Roman" w:hAnsi="Times New Roman" w:hint="eastAsia"/>
          <w:kern w:val="0"/>
          <w:szCs w:val="21"/>
        </w:rPr>
        <w:t>in Chinese with English abstract)</w:t>
      </w:r>
    </w:p>
    <w:p w14:paraId="677B7B20" w14:textId="77777777" w:rsidR="00C83319" w:rsidRDefault="00000000">
      <w:pPr>
        <w:widowControl/>
        <w:numPr>
          <w:ilvl w:val="0"/>
          <w:numId w:val="2"/>
        </w:numPr>
        <w:rPr>
          <w:rFonts w:ascii="Times New Roman" w:hAnsi="Times New Roman"/>
          <w:kern w:val="0"/>
          <w:szCs w:val="21"/>
        </w:rPr>
      </w:pPr>
      <w:r>
        <w:rPr>
          <w:rFonts w:ascii="Times New Roman" w:hAnsi="Times New Roman" w:hint="eastAsia"/>
          <w:kern w:val="0"/>
          <w:szCs w:val="21"/>
        </w:rPr>
        <w:t>陈睿华</w:t>
      </w:r>
      <w:r>
        <w:rPr>
          <w:rFonts w:ascii="Times New Roman" w:hAnsi="Times New Roman" w:hint="eastAsia"/>
          <w:kern w:val="0"/>
          <w:szCs w:val="21"/>
        </w:rPr>
        <w:t xml:space="preserve">, </w:t>
      </w:r>
      <w:r>
        <w:rPr>
          <w:rFonts w:ascii="Times New Roman" w:hAnsi="Times New Roman" w:hint="eastAsia"/>
          <w:kern w:val="0"/>
          <w:szCs w:val="21"/>
        </w:rPr>
        <w:t>王怡婧</w:t>
      </w:r>
      <w:r>
        <w:rPr>
          <w:rFonts w:ascii="Times New Roman" w:hAnsi="Times New Roman" w:hint="eastAsia"/>
          <w:kern w:val="0"/>
          <w:szCs w:val="21"/>
        </w:rPr>
        <w:t xml:space="preserve">, </w:t>
      </w:r>
      <w:r>
        <w:rPr>
          <w:rFonts w:ascii="Times New Roman" w:hAnsi="Times New Roman" w:hint="eastAsia"/>
          <w:kern w:val="0"/>
          <w:szCs w:val="21"/>
        </w:rPr>
        <w:t>张俊华</w:t>
      </w:r>
      <w:r>
        <w:rPr>
          <w:rFonts w:ascii="Times New Roman" w:hAnsi="Times New Roman" w:hint="eastAsia"/>
          <w:kern w:val="0"/>
          <w:szCs w:val="21"/>
        </w:rPr>
        <w:t xml:space="preserve">, </w:t>
      </w:r>
      <w:r>
        <w:rPr>
          <w:rFonts w:ascii="Times New Roman" w:hAnsi="Times New Roman" w:hint="eastAsia"/>
          <w:kern w:val="0"/>
          <w:szCs w:val="21"/>
        </w:rPr>
        <w:t>等</w:t>
      </w:r>
      <w:r>
        <w:rPr>
          <w:rFonts w:ascii="Times New Roman" w:hAnsi="Times New Roman" w:hint="eastAsia"/>
          <w:kern w:val="0"/>
          <w:szCs w:val="21"/>
        </w:rPr>
        <w:t xml:space="preserve">. </w:t>
      </w:r>
      <w:r>
        <w:rPr>
          <w:rFonts w:ascii="Times New Roman" w:hAnsi="Times New Roman" w:hint="eastAsia"/>
          <w:kern w:val="0"/>
          <w:szCs w:val="21"/>
        </w:rPr>
        <w:t>利用正交信号校正消除水分影响的银川平原土壤盐分高光谱反演</w:t>
      </w:r>
      <w:r>
        <w:rPr>
          <w:rFonts w:ascii="Times New Roman" w:hAnsi="Times New Roman" w:hint="eastAsia"/>
          <w:kern w:val="0"/>
          <w:szCs w:val="21"/>
        </w:rPr>
        <w:t xml:space="preserve">[J]. </w:t>
      </w:r>
      <w:r>
        <w:rPr>
          <w:rFonts w:ascii="Times New Roman" w:hAnsi="Times New Roman" w:hint="eastAsia"/>
          <w:kern w:val="0"/>
          <w:szCs w:val="21"/>
        </w:rPr>
        <w:t>农业工程学报</w:t>
      </w:r>
      <w:r>
        <w:rPr>
          <w:rFonts w:ascii="Times New Roman" w:hAnsi="Times New Roman" w:hint="eastAsia"/>
          <w:kern w:val="0"/>
          <w:szCs w:val="21"/>
        </w:rPr>
        <w:t>, 2023,39(19):122-130.</w:t>
      </w:r>
    </w:p>
    <w:p w14:paraId="072F7237" w14:textId="77777777" w:rsidR="00C83319" w:rsidRDefault="00000000">
      <w:pPr>
        <w:widowControl/>
        <w:ind w:left="425"/>
        <w:rPr>
          <w:rFonts w:ascii="Times New Roman" w:hAnsi="Times New Roman"/>
          <w:kern w:val="0"/>
          <w:szCs w:val="21"/>
        </w:rPr>
      </w:pPr>
      <w:r>
        <w:rPr>
          <w:rFonts w:ascii="Times New Roman" w:hAnsi="Times New Roman" w:hint="eastAsia"/>
          <w:kern w:val="0"/>
          <w:szCs w:val="21"/>
        </w:rPr>
        <w:t xml:space="preserve">Rui </w:t>
      </w:r>
      <w:proofErr w:type="spellStart"/>
      <w:r>
        <w:rPr>
          <w:rFonts w:ascii="Times New Roman" w:hAnsi="Times New Roman" w:hint="eastAsia"/>
          <w:kern w:val="0"/>
          <w:szCs w:val="21"/>
        </w:rPr>
        <w:t>hua</w:t>
      </w:r>
      <w:proofErr w:type="spellEnd"/>
      <w:r>
        <w:rPr>
          <w:rFonts w:ascii="Times New Roman" w:hAnsi="Times New Roman" w:hint="eastAsia"/>
          <w:kern w:val="0"/>
          <w:szCs w:val="21"/>
        </w:rPr>
        <w:t xml:space="preserve"> Chen, Yi </w:t>
      </w:r>
      <w:proofErr w:type="spellStart"/>
      <w:r>
        <w:rPr>
          <w:rFonts w:ascii="Times New Roman" w:hAnsi="Times New Roman" w:hint="eastAsia"/>
          <w:kern w:val="0"/>
          <w:szCs w:val="21"/>
        </w:rPr>
        <w:t>jing</w:t>
      </w:r>
      <w:proofErr w:type="spellEnd"/>
      <w:r>
        <w:rPr>
          <w:rFonts w:ascii="Times New Roman" w:hAnsi="Times New Roman" w:hint="eastAsia"/>
          <w:kern w:val="0"/>
          <w:szCs w:val="21"/>
        </w:rPr>
        <w:t xml:space="preserve"> Wang, Jun </w:t>
      </w:r>
      <w:proofErr w:type="spellStart"/>
      <w:r>
        <w:rPr>
          <w:rFonts w:ascii="Times New Roman" w:hAnsi="Times New Roman" w:hint="eastAsia"/>
          <w:kern w:val="0"/>
          <w:szCs w:val="21"/>
        </w:rPr>
        <w:t>hua</w:t>
      </w:r>
      <w:proofErr w:type="spellEnd"/>
      <w:r>
        <w:rPr>
          <w:rFonts w:ascii="Times New Roman" w:hAnsi="Times New Roman" w:hint="eastAsia"/>
          <w:kern w:val="0"/>
          <w:szCs w:val="21"/>
        </w:rPr>
        <w:t xml:space="preserve"> Zhang, et al. Hyperspectral inversion of soil salinity after correcting moisture effect in Yinchuan Plain using orthogonal signals[J]. Transactions of the Chinese Society of Agricultural Engineering, 2023,39(19):122-</w:t>
      </w:r>
      <w:proofErr w:type="gramStart"/>
      <w:r>
        <w:rPr>
          <w:rFonts w:ascii="Times New Roman" w:hAnsi="Times New Roman" w:hint="eastAsia"/>
          <w:kern w:val="0"/>
          <w:szCs w:val="21"/>
        </w:rPr>
        <w:t>130.(</w:t>
      </w:r>
      <w:proofErr w:type="gramEnd"/>
      <w:r>
        <w:rPr>
          <w:rFonts w:ascii="Times New Roman" w:hAnsi="Times New Roman" w:hint="eastAsia"/>
          <w:kern w:val="0"/>
          <w:szCs w:val="21"/>
        </w:rPr>
        <w:t>in Chinese with English abstract)</w:t>
      </w:r>
    </w:p>
    <w:p w14:paraId="423D578F" w14:textId="77777777" w:rsidR="00C83319" w:rsidRDefault="00000000">
      <w:pPr>
        <w:widowControl/>
        <w:numPr>
          <w:ilvl w:val="0"/>
          <w:numId w:val="2"/>
        </w:numPr>
        <w:rPr>
          <w:rFonts w:ascii="Times New Roman" w:hAnsi="Times New Roman"/>
          <w:kern w:val="0"/>
          <w:szCs w:val="21"/>
        </w:rPr>
      </w:pPr>
      <w:proofErr w:type="gramStart"/>
      <w:r>
        <w:rPr>
          <w:rFonts w:ascii="Times New Roman" w:hAnsi="Times New Roman" w:hint="eastAsia"/>
          <w:kern w:val="0"/>
          <w:szCs w:val="21"/>
        </w:rPr>
        <w:t>李佳纶</w:t>
      </w:r>
      <w:proofErr w:type="gramEnd"/>
      <w:r>
        <w:rPr>
          <w:rFonts w:ascii="Times New Roman" w:hAnsi="Times New Roman" w:hint="eastAsia"/>
          <w:kern w:val="0"/>
          <w:szCs w:val="21"/>
        </w:rPr>
        <w:t xml:space="preserve">. </w:t>
      </w:r>
      <w:r>
        <w:rPr>
          <w:rFonts w:ascii="Times New Roman" w:hAnsi="Times New Roman" w:hint="eastAsia"/>
          <w:kern w:val="0"/>
          <w:szCs w:val="21"/>
        </w:rPr>
        <w:t>新疆和田县灌区盐碱地改良目标及方案研究</w:t>
      </w:r>
      <w:r>
        <w:rPr>
          <w:rFonts w:ascii="Times New Roman" w:hAnsi="Times New Roman" w:hint="eastAsia"/>
          <w:kern w:val="0"/>
          <w:szCs w:val="21"/>
        </w:rPr>
        <w:t xml:space="preserve">[J]. </w:t>
      </w:r>
      <w:r>
        <w:rPr>
          <w:rFonts w:ascii="Times New Roman" w:hAnsi="Times New Roman" w:hint="eastAsia"/>
          <w:kern w:val="0"/>
          <w:szCs w:val="21"/>
        </w:rPr>
        <w:t>吉林水利</w:t>
      </w:r>
      <w:r>
        <w:rPr>
          <w:rFonts w:ascii="Times New Roman" w:hAnsi="Times New Roman" w:hint="eastAsia"/>
          <w:kern w:val="0"/>
          <w:szCs w:val="21"/>
        </w:rPr>
        <w:t>, 2016(10):4-6.</w:t>
      </w:r>
    </w:p>
    <w:p w14:paraId="4654EFE7" w14:textId="77777777" w:rsidR="00C83319" w:rsidRDefault="00000000">
      <w:pPr>
        <w:widowControl/>
        <w:ind w:left="425"/>
        <w:rPr>
          <w:rFonts w:ascii="Times New Roman" w:hAnsi="Times New Roman"/>
          <w:kern w:val="0"/>
          <w:szCs w:val="21"/>
        </w:rPr>
      </w:pPr>
      <w:r>
        <w:rPr>
          <w:rFonts w:ascii="Times New Roman" w:hAnsi="Times New Roman" w:hint="eastAsia"/>
          <w:kern w:val="0"/>
          <w:szCs w:val="21"/>
        </w:rPr>
        <w:t xml:space="preserve">Jia </w:t>
      </w:r>
      <w:proofErr w:type="spellStart"/>
      <w:r>
        <w:rPr>
          <w:rFonts w:ascii="Times New Roman" w:hAnsi="Times New Roman" w:hint="eastAsia"/>
          <w:kern w:val="0"/>
          <w:szCs w:val="21"/>
        </w:rPr>
        <w:t>lun</w:t>
      </w:r>
      <w:proofErr w:type="spellEnd"/>
      <w:r>
        <w:rPr>
          <w:rFonts w:ascii="Times New Roman" w:hAnsi="Times New Roman" w:hint="eastAsia"/>
          <w:kern w:val="0"/>
          <w:szCs w:val="21"/>
        </w:rPr>
        <w:t xml:space="preserve"> Li. Jilin Water Resources, 2016(10):4-</w:t>
      </w:r>
      <w:proofErr w:type="gramStart"/>
      <w:r>
        <w:rPr>
          <w:rFonts w:ascii="Times New Roman" w:hAnsi="Times New Roman" w:hint="eastAsia"/>
          <w:kern w:val="0"/>
          <w:szCs w:val="21"/>
        </w:rPr>
        <w:t>6.(</w:t>
      </w:r>
      <w:proofErr w:type="gramEnd"/>
      <w:r>
        <w:rPr>
          <w:rFonts w:ascii="Times New Roman" w:hAnsi="Times New Roman" w:hint="eastAsia"/>
          <w:kern w:val="0"/>
          <w:szCs w:val="21"/>
        </w:rPr>
        <w:t>in Chinese with English abstract)</w:t>
      </w:r>
    </w:p>
    <w:p w14:paraId="43843A6C" w14:textId="77777777" w:rsidR="00C83319" w:rsidRDefault="00000000">
      <w:pPr>
        <w:widowControl/>
        <w:numPr>
          <w:ilvl w:val="0"/>
          <w:numId w:val="2"/>
        </w:numPr>
        <w:rPr>
          <w:rFonts w:ascii="Times New Roman" w:hAnsi="Times New Roman"/>
          <w:kern w:val="0"/>
          <w:szCs w:val="21"/>
        </w:rPr>
      </w:pPr>
      <w:r>
        <w:rPr>
          <w:rFonts w:ascii="Times New Roman" w:hAnsi="Times New Roman" w:hint="eastAsia"/>
          <w:kern w:val="0"/>
          <w:szCs w:val="21"/>
        </w:rPr>
        <w:t xml:space="preserve">Turner Darren, </w:t>
      </w:r>
      <w:proofErr w:type="spellStart"/>
      <w:r>
        <w:rPr>
          <w:rFonts w:ascii="Times New Roman" w:hAnsi="Times New Roman" w:hint="eastAsia"/>
          <w:kern w:val="0"/>
          <w:szCs w:val="21"/>
        </w:rPr>
        <w:t>Lucieer</w:t>
      </w:r>
      <w:proofErr w:type="spellEnd"/>
      <w:r>
        <w:rPr>
          <w:rFonts w:ascii="Times New Roman" w:hAnsi="Times New Roman" w:hint="eastAsia"/>
          <w:kern w:val="0"/>
          <w:szCs w:val="21"/>
        </w:rPr>
        <w:t xml:space="preserve"> Arko, Wallace Luke. Direct Georeferencing of Ultrahigh-Resolution UAV Imagery[J]. IEEE Transactions on Geoscience and Remote Sensing, 2014,52(5):2738-2745.</w:t>
      </w:r>
    </w:p>
    <w:p w14:paraId="42C22257" w14:textId="77777777" w:rsidR="00C83319" w:rsidRDefault="00000000">
      <w:pPr>
        <w:widowControl/>
        <w:numPr>
          <w:ilvl w:val="0"/>
          <w:numId w:val="2"/>
        </w:numPr>
        <w:rPr>
          <w:rFonts w:ascii="Times New Roman" w:hAnsi="Times New Roman"/>
          <w:kern w:val="0"/>
          <w:szCs w:val="21"/>
        </w:rPr>
      </w:pPr>
      <w:proofErr w:type="gramStart"/>
      <w:r>
        <w:rPr>
          <w:rFonts w:ascii="Times New Roman" w:hAnsi="Times New Roman" w:hint="eastAsia"/>
          <w:kern w:val="0"/>
          <w:szCs w:val="21"/>
        </w:rPr>
        <w:t>黄华雨</w:t>
      </w:r>
      <w:proofErr w:type="gramEnd"/>
      <w:r>
        <w:rPr>
          <w:rFonts w:ascii="Times New Roman" w:hAnsi="Times New Roman" w:hint="eastAsia"/>
          <w:kern w:val="0"/>
          <w:szCs w:val="21"/>
        </w:rPr>
        <w:t xml:space="preserve">, </w:t>
      </w:r>
      <w:r>
        <w:rPr>
          <w:rFonts w:ascii="Times New Roman" w:hAnsi="Times New Roman" w:hint="eastAsia"/>
          <w:kern w:val="0"/>
          <w:szCs w:val="21"/>
        </w:rPr>
        <w:t>丁启东</w:t>
      </w:r>
      <w:r>
        <w:rPr>
          <w:rFonts w:ascii="Times New Roman" w:hAnsi="Times New Roman" w:hint="eastAsia"/>
          <w:kern w:val="0"/>
          <w:szCs w:val="21"/>
        </w:rPr>
        <w:t xml:space="preserve">, </w:t>
      </w:r>
      <w:r>
        <w:rPr>
          <w:rFonts w:ascii="Times New Roman" w:hAnsi="Times New Roman" w:hint="eastAsia"/>
          <w:kern w:val="0"/>
          <w:szCs w:val="21"/>
        </w:rPr>
        <w:t>张俊华</w:t>
      </w:r>
      <w:r>
        <w:rPr>
          <w:rFonts w:ascii="Times New Roman" w:hAnsi="Times New Roman" w:hint="eastAsia"/>
          <w:kern w:val="0"/>
          <w:szCs w:val="21"/>
        </w:rPr>
        <w:t xml:space="preserve">, </w:t>
      </w:r>
      <w:r>
        <w:rPr>
          <w:rFonts w:ascii="Times New Roman" w:hAnsi="Times New Roman" w:hint="eastAsia"/>
          <w:kern w:val="0"/>
          <w:szCs w:val="21"/>
        </w:rPr>
        <w:t>等</w:t>
      </w:r>
      <w:r>
        <w:rPr>
          <w:rFonts w:ascii="Times New Roman" w:hAnsi="Times New Roman" w:hint="eastAsia"/>
          <w:kern w:val="0"/>
          <w:szCs w:val="21"/>
        </w:rPr>
        <w:t xml:space="preserve">. </w:t>
      </w:r>
      <w:r>
        <w:rPr>
          <w:rFonts w:ascii="Times New Roman" w:hAnsi="Times New Roman" w:hint="eastAsia"/>
          <w:kern w:val="0"/>
          <w:szCs w:val="21"/>
        </w:rPr>
        <w:t>基于地面高光谱的宁夏银北地区农田不同土层盐碱化信息反演</w:t>
      </w:r>
      <w:r>
        <w:rPr>
          <w:rFonts w:ascii="Times New Roman" w:hAnsi="Times New Roman" w:hint="eastAsia"/>
          <w:kern w:val="0"/>
          <w:szCs w:val="21"/>
        </w:rPr>
        <w:t xml:space="preserve">[J]. </w:t>
      </w:r>
      <w:r>
        <w:rPr>
          <w:rFonts w:ascii="Times New Roman" w:hAnsi="Times New Roman" w:hint="eastAsia"/>
          <w:kern w:val="0"/>
          <w:szCs w:val="21"/>
        </w:rPr>
        <w:t>应用生态学报</w:t>
      </w:r>
      <w:r>
        <w:rPr>
          <w:rFonts w:ascii="Times New Roman" w:hAnsi="Times New Roman" w:hint="eastAsia"/>
          <w:kern w:val="0"/>
          <w:szCs w:val="21"/>
        </w:rPr>
        <w:t>, 2024,35(11):3073-3084.</w:t>
      </w:r>
    </w:p>
    <w:p w14:paraId="2CAC4D08" w14:textId="77777777" w:rsidR="00C83319" w:rsidRDefault="00000000">
      <w:pPr>
        <w:widowControl/>
        <w:ind w:left="425"/>
        <w:rPr>
          <w:rFonts w:ascii="Times New Roman" w:hAnsi="Times New Roman"/>
          <w:kern w:val="0"/>
          <w:szCs w:val="21"/>
        </w:rPr>
      </w:pPr>
      <w:r>
        <w:rPr>
          <w:rFonts w:ascii="Times New Roman" w:hAnsi="Times New Roman" w:hint="eastAsia"/>
          <w:kern w:val="0"/>
          <w:szCs w:val="21"/>
        </w:rPr>
        <w:t xml:space="preserve">Hua </w:t>
      </w:r>
      <w:proofErr w:type="spellStart"/>
      <w:r>
        <w:rPr>
          <w:rFonts w:ascii="Times New Roman" w:hAnsi="Times New Roman" w:hint="eastAsia"/>
          <w:kern w:val="0"/>
          <w:szCs w:val="21"/>
        </w:rPr>
        <w:t>yu</w:t>
      </w:r>
      <w:proofErr w:type="spellEnd"/>
      <w:r>
        <w:rPr>
          <w:rFonts w:ascii="Times New Roman" w:hAnsi="Times New Roman" w:hint="eastAsia"/>
          <w:kern w:val="0"/>
          <w:szCs w:val="21"/>
        </w:rPr>
        <w:t xml:space="preserve"> Huang, Qi </w:t>
      </w:r>
      <w:proofErr w:type="gramStart"/>
      <w:r>
        <w:rPr>
          <w:rFonts w:ascii="Times New Roman" w:hAnsi="Times New Roman" w:hint="eastAsia"/>
          <w:kern w:val="0"/>
          <w:szCs w:val="21"/>
        </w:rPr>
        <w:t>dong</w:t>
      </w:r>
      <w:proofErr w:type="gramEnd"/>
      <w:r>
        <w:rPr>
          <w:rFonts w:ascii="Times New Roman" w:hAnsi="Times New Roman" w:hint="eastAsia"/>
          <w:kern w:val="0"/>
          <w:szCs w:val="21"/>
        </w:rPr>
        <w:t xml:space="preserve"> Ding, Jun </w:t>
      </w:r>
      <w:proofErr w:type="spellStart"/>
      <w:r>
        <w:rPr>
          <w:rFonts w:ascii="Times New Roman" w:hAnsi="Times New Roman" w:hint="eastAsia"/>
          <w:kern w:val="0"/>
          <w:szCs w:val="21"/>
        </w:rPr>
        <w:t>hua</w:t>
      </w:r>
      <w:proofErr w:type="spellEnd"/>
      <w:r>
        <w:rPr>
          <w:rFonts w:ascii="Times New Roman" w:hAnsi="Times New Roman" w:hint="eastAsia"/>
          <w:kern w:val="0"/>
          <w:szCs w:val="21"/>
        </w:rPr>
        <w:t xml:space="preserve"> Zhang, et al. Ground-based hyperspectral inversion of salinization and alkalinization of different soil layers in farmland in </w:t>
      </w:r>
      <w:proofErr w:type="spellStart"/>
      <w:r>
        <w:rPr>
          <w:rFonts w:ascii="Times New Roman" w:hAnsi="Times New Roman" w:hint="eastAsia"/>
          <w:kern w:val="0"/>
          <w:szCs w:val="21"/>
        </w:rPr>
        <w:t>Yinbei</w:t>
      </w:r>
      <w:proofErr w:type="spellEnd"/>
      <w:r>
        <w:rPr>
          <w:rFonts w:ascii="Times New Roman" w:hAnsi="Times New Roman" w:hint="eastAsia"/>
          <w:kern w:val="0"/>
          <w:szCs w:val="21"/>
        </w:rPr>
        <w:t xml:space="preserve"> area, Ningxia, China[J]. Chinese Journal of Applied Ecology, 2024,35(11):3073-</w:t>
      </w:r>
      <w:proofErr w:type="gramStart"/>
      <w:r>
        <w:rPr>
          <w:rFonts w:ascii="Times New Roman" w:hAnsi="Times New Roman" w:hint="eastAsia"/>
          <w:kern w:val="0"/>
          <w:szCs w:val="21"/>
        </w:rPr>
        <w:t>3084.(</w:t>
      </w:r>
      <w:proofErr w:type="gramEnd"/>
      <w:r>
        <w:rPr>
          <w:rFonts w:ascii="Times New Roman" w:hAnsi="Times New Roman" w:hint="eastAsia"/>
          <w:kern w:val="0"/>
          <w:szCs w:val="21"/>
        </w:rPr>
        <w:t>in Chinese with English abstract)</w:t>
      </w:r>
    </w:p>
    <w:p w14:paraId="6913F52F" w14:textId="77777777" w:rsidR="00C83319" w:rsidRDefault="00000000">
      <w:pPr>
        <w:widowControl/>
        <w:numPr>
          <w:ilvl w:val="0"/>
          <w:numId w:val="2"/>
        </w:numPr>
        <w:rPr>
          <w:rFonts w:ascii="Times New Roman" w:hAnsi="Times New Roman"/>
          <w:kern w:val="0"/>
          <w:szCs w:val="21"/>
        </w:rPr>
      </w:pPr>
      <w:r>
        <w:rPr>
          <w:rFonts w:ascii="Times New Roman" w:hAnsi="Times New Roman" w:hint="eastAsia"/>
          <w:kern w:val="0"/>
          <w:szCs w:val="21"/>
        </w:rPr>
        <w:t>代天金</w:t>
      </w:r>
      <w:r>
        <w:rPr>
          <w:rFonts w:ascii="Times New Roman" w:hAnsi="Times New Roman" w:hint="eastAsia"/>
          <w:kern w:val="0"/>
          <w:szCs w:val="21"/>
        </w:rPr>
        <w:t xml:space="preserve">, </w:t>
      </w:r>
      <w:r>
        <w:rPr>
          <w:rFonts w:ascii="Times New Roman" w:hAnsi="Times New Roman" w:hint="eastAsia"/>
          <w:kern w:val="0"/>
          <w:szCs w:val="21"/>
        </w:rPr>
        <w:t>陈俊英</w:t>
      </w:r>
      <w:r>
        <w:rPr>
          <w:rFonts w:ascii="Times New Roman" w:hAnsi="Times New Roman" w:hint="eastAsia"/>
          <w:kern w:val="0"/>
          <w:szCs w:val="21"/>
        </w:rPr>
        <w:t xml:space="preserve">, </w:t>
      </w:r>
      <w:r>
        <w:rPr>
          <w:rFonts w:ascii="Times New Roman" w:hAnsi="Times New Roman" w:hint="eastAsia"/>
          <w:kern w:val="0"/>
          <w:szCs w:val="21"/>
        </w:rPr>
        <w:t>郭佳奇</w:t>
      </w:r>
      <w:r>
        <w:rPr>
          <w:rFonts w:ascii="Times New Roman" w:hAnsi="Times New Roman" w:hint="eastAsia"/>
          <w:kern w:val="0"/>
          <w:szCs w:val="21"/>
        </w:rPr>
        <w:t xml:space="preserve">, </w:t>
      </w:r>
      <w:r>
        <w:rPr>
          <w:rFonts w:ascii="Times New Roman" w:hAnsi="Times New Roman" w:hint="eastAsia"/>
          <w:kern w:val="0"/>
          <w:szCs w:val="21"/>
        </w:rPr>
        <w:t>等</w:t>
      </w:r>
      <w:r>
        <w:rPr>
          <w:rFonts w:ascii="Times New Roman" w:hAnsi="Times New Roman" w:hint="eastAsia"/>
          <w:kern w:val="0"/>
          <w:szCs w:val="21"/>
        </w:rPr>
        <w:t xml:space="preserve">. </w:t>
      </w:r>
      <w:r>
        <w:rPr>
          <w:rFonts w:ascii="Times New Roman" w:hAnsi="Times New Roman" w:hint="eastAsia"/>
          <w:kern w:val="0"/>
          <w:szCs w:val="21"/>
        </w:rPr>
        <w:t>不同植被覆盖条件下</w:t>
      </w:r>
      <w:r>
        <w:rPr>
          <w:rFonts w:ascii="Times New Roman" w:hAnsi="Times New Roman" w:hint="eastAsia"/>
          <w:kern w:val="0"/>
          <w:szCs w:val="21"/>
        </w:rPr>
        <w:t>Sentinel-1/2</w:t>
      </w:r>
      <w:r>
        <w:rPr>
          <w:rFonts w:ascii="Times New Roman" w:hAnsi="Times New Roman" w:hint="eastAsia"/>
          <w:kern w:val="0"/>
          <w:szCs w:val="21"/>
        </w:rPr>
        <w:t>数据融合监测土壤含盐量模型研究</w:t>
      </w:r>
      <w:r>
        <w:rPr>
          <w:rFonts w:ascii="Times New Roman" w:hAnsi="Times New Roman" w:hint="eastAsia"/>
          <w:kern w:val="0"/>
          <w:szCs w:val="21"/>
        </w:rPr>
        <w:t xml:space="preserve">[J]. </w:t>
      </w:r>
      <w:r>
        <w:rPr>
          <w:rFonts w:ascii="Times New Roman" w:hAnsi="Times New Roman" w:hint="eastAsia"/>
          <w:kern w:val="0"/>
          <w:szCs w:val="21"/>
        </w:rPr>
        <w:t>农业机械学报</w:t>
      </w:r>
      <w:r>
        <w:rPr>
          <w:rFonts w:ascii="Times New Roman" w:hAnsi="Times New Roman" w:hint="eastAsia"/>
          <w:kern w:val="0"/>
          <w:szCs w:val="21"/>
        </w:rPr>
        <w:t>, 2025,56(8):32-41.</w:t>
      </w:r>
    </w:p>
    <w:p w14:paraId="3DB1FEA4" w14:textId="77777777" w:rsidR="00C83319" w:rsidRDefault="00000000">
      <w:pPr>
        <w:widowControl/>
        <w:ind w:left="425"/>
        <w:rPr>
          <w:rFonts w:ascii="Times New Roman" w:hAnsi="Times New Roman"/>
          <w:kern w:val="0"/>
          <w:szCs w:val="21"/>
        </w:rPr>
      </w:pPr>
      <w:r>
        <w:rPr>
          <w:rFonts w:ascii="Times New Roman" w:hAnsi="Times New Roman" w:hint="eastAsia"/>
          <w:kern w:val="0"/>
          <w:szCs w:val="21"/>
        </w:rPr>
        <w:t xml:space="preserve">Tian </w:t>
      </w:r>
      <w:proofErr w:type="spellStart"/>
      <w:r>
        <w:rPr>
          <w:rFonts w:ascii="Times New Roman" w:hAnsi="Times New Roman" w:hint="eastAsia"/>
          <w:kern w:val="0"/>
          <w:szCs w:val="21"/>
        </w:rPr>
        <w:t>jin</w:t>
      </w:r>
      <w:proofErr w:type="spellEnd"/>
      <w:r>
        <w:rPr>
          <w:rFonts w:ascii="Times New Roman" w:hAnsi="Times New Roman" w:hint="eastAsia"/>
          <w:kern w:val="0"/>
          <w:szCs w:val="21"/>
        </w:rPr>
        <w:t xml:space="preserve"> Dai, Jun ying Chen, Jia qi Guo, et al. Monitoring of Soil Salt Content during Different Growth Periods of Crops Based on Sentinel-1 /2[J]. Transactions of the Chinese Society for Agricultural Machinery, 2025,56(8):32-</w:t>
      </w:r>
      <w:proofErr w:type="gramStart"/>
      <w:r>
        <w:rPr>
          <w:rFonts w:ascii="Times New Roman" w:hAnsi="Times New Roman" w:hint="eastAsia"/>
          <w:kern w:val="0"/>
          <w:szCs w:val="21"/>
        </w:rPr>
        <w:t>41.(</w:t>
      </w:r>
      <w:proofErr w:type="gramEnd"/>
      <w:r>
        <w:rPr>
          <w:rFonts w:ascii="Times New Roman" w:hAnsi="Times New Roman" w:hint="eastAsia"/>
          <w:kern w:val="0"/>
          <w:szCs w:val="21"/>
        </w:rPr>
        <w:t>in Chinese with English abstract)</w:t>
      </w:r>
    </w:p>
    <w:p w14:paraId="7082A900" w14:textId="77777777" w:rsidR="00C83319" w:rsidRDefault="00000000">
      <w:pPr>
        <w:widowControl/>
        <w:numPr>
          <w:ilvl w:val="0"/>
          <w:numId w:val="2"/>
        </w:numPr>
        <w:rPr>
          <w:rFonts w:ascii="Times New Roman" w:hAnsi="Times New Roman"/>
          <w:kern w:val="0"/>
          <w:szCs w:val="21"/>
        </w:rPr>
      </w:pPr>
      <w:r>
        <w:rPr>
          <w:rFonts w:ascii="Times New Roman" w:hAnsi="Times New Roman" w:hint="eastAsia"/>
          <w:kern w:val="0"/>
          <w:szCs w:val="21"/>
        </w:rPr>
        <w:t xml:space="preserve">Chen Tianqi, </w:t>
      </w:r>
      <w:proofErr w:type="spellStart"/>
      <w:r>
        <w:rPr>
          <w:rFonts w:ascii="Times New Roman" w:hAnsi="Times New Roman" w:hint="eastAsia"/>
          <w:kern w:val="0"/>
          <w:szCs w:val="21"/>
        </w:rPr>
        <w:t>Guestrin</w:t>
      </w:r>
      <w:proofErr w:type="spellEnd"/>
      <w:r>
        <w:rPr>
          <w:rFonts w:ascii="Times New Roman" w:hAnsi="Times New Roman" w:hint="eastAsia"/>
          <w:kern w:val="0"/>
          <w:szCs w:val="21"/>
        </w:rPr>
        <w:t xml:space="preserve"> Carlos. XGBoost: A Scalable Tree Boosting System, New York, NY, USA, 2016[C]. ACM, 2016.</w:t>
      </w:r>
    </w:p>
    <w:p w14:paraId="5F9A5385" w14:textId="77777777" w:rsidR="00C83319" w:rsidRDefault="00000000">
      <w:pPr>
        <w:widowControl/>
        <w:numPr>
          <w:ilvl w:val="0"/>
          <w:numId w:val="2"/>
        </w:numPr>
        <w:rPr>
          <w:rFonts w:ascii="Times New Roman" w:hAnsi="Times New Roman"/>
          <w:kern w:val="0"/>
          <w:szCs w:val="21"/>
        </w:rPr>
      </w:pPr>
      <w:r>
        <w:rPr>
          <w:rFonts w:ascii="Times New Roman" w:hAnsi="Times New Roman" w:hint="eastAsia"/>
          <w:kern w:val="0"/>
          <w:szCs w:val="21"/>
        </w:rPr>
        <w:t xml:space="preserve">Lyu Yujiao, Wang Pengxin, Bai </w:t>
      </w:r>
      <w:proofErr w:type="spellStart"/>
      <w:r>
        <w:rPr>
          <w:rFonts w:ascii="Times New Roman" w:hAnsi="Times New Roman" w:hint="eastAsia"/>
          <w:kern w:val="0"/>
          <w:szCs w:val="21"/>
        </w:rPr>
        <w:t>Xueyuan</w:t>
      </w:r>
      <w:proofErr w:type="spellEnd"/>
      <w:r>
        <w:rPr>
          <w:rFonts w:ascii="Times New Roman" w:hAnsi="Times New Roman" w:hint="eastAsia"/>
          <w:kern w:val="0"/>
          <w:szCs w:val="21"/>
        </w:rPr>
        <w:t>, et al. Machine learning techniques and interpretability for maize yield estimation using Time-Series images of MODIS and Multi-Source data[J]. Computers and Electronics in Agriculture, 2024,222:109063.</w:t>
      </w:r>
    </w:p>
    <w:p w14:paraId="3E82EC29" w14:textId="77777777" w:rsidR="00C83319" w:rsidRDefault="00000000">
      <w:pPr>
        <w:widowControl/>
        <w:numPr>
          <w:ilvl w:val="0"/>
          <w:numId w:val="2"/>
        </w:numPr>
        <w:rPr>
          <w:rFonts w:ascii="Times New Roman" w:hAnsi="Times New Roman"/>
          <w:kern w:val="0"/>
          <w:szCs w:val="21"/>
        </w:rPr>
      </w:pPr>
      <w:r>
        <w:rPr>
          <w:rFonts w:ascii="Times New Roman" w:hAnsi="Times New Roman" w:hint="eastAsia"/>
          <w:kern w:val="0"/>
          <w:szCs w:val="21"/>
        </w:rPr>
        <w:t>Tan Jiao, Ding Jianli, Wang Zeyuan, et al. Estimating soil salinity in mulched cotton fields using UAV-based hyperspectral remote sensing and a Seagull Optimization Algorithm-Enhanced Random Forest Model[J]. Computers and Electronics in Agriculture, 2024,221:109017.</w:t>
      </w:r>
    </w:p>
    <w:p w14:paraId="3FAAA860" w14:textId="77777777" w:rsidR="00C83319" w:rsidRDefault="00000000">
      <w:pPr>
        <w:widowControl/>
        <w:numPr>
          <w:ilvl w:val="0"/>
          <w:numId w:val="2"/>
        </w:numPr>
        <w:rPr>
          <w:rFonts w:ascii="Times New Roman" w:hAnsi="Times New Roman"/>
          <w:kern w:val="0"/>
          <w:szCs w:val="21"/>
        </w:rPr>
      </w:pPr>
      <w:r>
        <w:rPr>
          <w:rFonts w:ascii="Times New Roman" w:hAnsi="Times New Roman" w:hint="eastAsia"/>
          <w:kern w:val="0"/>
          <w:szCs w:val="21"/>
        </w:rPr>
        <w:t>陈睿华</w:t>
      </w:r>
      <w:r>
        <w:rPr>
          <w:rFonts w:ascii="Times New Roman" w:hAnsi="Times New Roman" w:hint="eastAsia"/>
          <w:kern w:val="0"/>
          <w:szCs w:val="21"/>
        </w:rPr>
        <w:t xml:space="preserve">, </w:t>
      </w:r>
      <w:r>
        <w:rPr>
          <w:rFonts w:ascii="Times New Roman" w:hAnsi="Times New Roman" w:hint="eastAsia"/>
          <w:kern w:val="0"/>
          <w:szCs w:val="21"/>
        </w:rPr>
        <w:t>王怡婧</w:t>
      </w:r>
      <w:r>
        <w:rPr>
          <w:rFonts w:ascii="Times New Roman" w:hAnsi="Times New Roman" w:hint="eastAsia"/>
          <w:kern w:val="0"/>
          <w:szCs w:val="21"/>
        </w:rPr>
        <w:t xml:space="preserve">, </w:t>
      </w:r>
      <w:r>
        <w:rPr>
          <w:rFonts w:ascii="Times New Roman" w:hAnsi="Times New Roman" w:hint="eastAsia"/>
          <w:kern w:val="0"/>
          <w:szCs w:val="21"/>
        </w:rPr>
        <w:t>张俊华</w:t>
      </w:r>
      <w:r>
        <w:rPr>
          <w:rFonts w:ascii="Times New Roman" w:hAnsi="Times New Roman" w:hint="eastAsia"/>
          <w:kern w:val="0"/>
          <w:szCs w:val="21"/>
        </w:rPr>
        <w:t xml:space="preserve">, </w:t>
      </w:r>
      <w:r>
        <w:rPr>
          <w:rFonts w:ascii="Times New Roman" w:hAnsi="Times New Roman" w:hint="eastAsia"/>
          <w:kern w:val="0"/>
          <w:szCs w:val="21"/>
        </w:rPr>
        <w:t>等</w:t>
      </w:r>
      <w:r>
        <w:rPr>
          <w:rFonts w:ascii="Times New Roman" w:hAnsi="Times New Roman" w:hint="eastAsia"/>
          <w:kern w:val="0"/>
          <w:szCs w:val="21"/>
        </w:rPr>
        <w:t xml:space="preserve">. </w:t>
      </w:r>
      <w:r>
        <w:rPr>
          <w:rFonts w:ascii="Times New Roman" w:hAnsi="Times New Roman" w:hint="eastAsia"/>
          <w:kern w:val="0"/>
          <w:szCs w:val="21"/>
        </w:rPr>
        <w:t>基于分数阶微分光谱指数的银川平原土壤含盐量反演</w:t>
      </w:r>
      <w:r>
        <w:rPr>
          <w:rFonts w:ascii="Times New Roman" w:hAnsi="Times New Roman" w:hint="eastAsia"/>
          <w:kern w:val="0"/>
          <w:szCs w:val="21"/>
        </w:rPr>
        <w:t xml:space="preserve">[J]. </w:t>
      </w:r>
      <w:r>
        <w:rPr>
          <w:rFonts w:ascii="Times New Roman" w:hAnsi="Times New Roman" w:hint="eastAsia"/>
          <w:kern w:val="0"/>
          <w:szCs w:val="21"/>
        </w:rPr>
        <w:t>生态学杂志</w:t>
      </w:r>
      <w:r>
        <w:rPr>
          <w:rFonts w:ascii="Times New Roman" w:hAnsi="Times New Roman" w:hint="eastAsia"/>
          <w:kern w:val="0"/>
          <w:szCs w:val="21"/>
        </w:rPr>
        <w:t>, 2023,42(9):2296-2304.</w:t>
      </w:r>
    </w:p>
    <w:p w14:paraId="110A4FA8" w14:textId="77777777" w:rsidR="00C83319" w:rsidRDefault="00000000">
      <w:pPr>
        <w:widowControl/>
        <w:ind w:left="425"/>
        <w:rPr>
          <w:rFonts w:ascii="Times New Roman" w:hAnsi="Times New Roman"/>
          <w:kern w:val="0"/>
          <w:szCs w:val="21"/>
        </w:rPr>
      </w:pPr>
      <w:r>
        <w:rPr>
          <w:rFonts w:ascii="Times New Roman" w:hAnsi="Times New Roman" w:hint="eastAsia"/>
          <w:kern w:val="0"/>
          <w:szCs w:val="21"/>
        </w:rPr>
        <w:t xml:space="preserve">Rui </w:t>
      </w:r>
      <w:proofErr w:type="spellStart"/>
      <w:r>
        <w:rPr>
          <w:rFonts w:ascii="Times New Roman" w:hAnsi="Times New Roman" w:hint="eastAsia"/>
          <w:kern w:val="0"/>
          <w:szCs w:val="21"/>
        </w:rPr>
        <w:t>hua</w:t>
      </w:r>
      <w:proofErr w:type="spellEnd"/>
      <w:r>
        <w:rPr>
          <w:rFonts w:ascii="Times New Roman" w:hAnsi="Times New Roman" w:hint="eastAsia"/>
          <w:kern w:val="0"/>
          <w:szCs w:val="21"/>
        </w:rPr>
        <w:t xml:space="preserve"> Chen, Yi </w:t>
      </w:r>
      <w:proofErr w:type="spellStart"/>
      <w:r>
        <w:rPr>
          <w:rFonts w:ascii="Times New Roman" w:hAnsi="Times New Roman" w:hint="eastAsia"/>
          <w:kern w:val="0"/>
          <w:szCs w:val="21"/>
        </w:rPr>
        <w:t>jing</w:t>
      </w:r>
      <w:proofErr w:type="spellEnd"/>
      <w:r>
        <w:rPr>
          <w:rFonts w:ascii="Times New Roman" w:hAnsi="Times New Roman" w:hint="eastAsia"/>
          <w:kern w:val="0"/>
          <w:szCs w:val="21"/>
        </w:rPr>
        <w:t xml:space="preserve"> Wang, Jun </w:t>
      </w:r>
      <w:proofErr w:type="spellStart"/>
      <w:r>
        <w:rPr>
          <w:rFonts w:ascii="Times New Roman" w:hAnsi="Times New Roman" w:hint="eastAsia"/>
          <w:kern w:val="0"/>
          <w:szCs w:val="21"/>
        </w:rPr>
        <w:t>hua</w:t>
      </w:r>
      <w:proofErr w:type="spellEnd"/>
      <w:r>
        <w:rPr>
          <w:rFonts w:ascii="Times New Roman" w:hAnsi="Times New Roman" w:hint="eastAsia"/>
          <w:kern w:val="0"/>
          <w:szCs w:val="21"/>
        </w:rPr>
        <w:t xml:space="preserve"> Zhang, et al. Inversion of soil salinity in Yinchuan Plain based on fractional-order differential spectral </w:t>
      </w:r>
      <w:proofErr w:type="gramStart"/>
      <w:r>
        <w:rPr>
          <w:rFonts w:ascii="Times New Roman" w:hAnsi="Times New Roman" w:hint="eastAsia"/>
          <w:kern w:val="0"/>
          <w:szCs w:val="21"/>
        </w:rPr>
        <w:t>index.[</w:t>
      </w:r>
      <w:proofErr w:type="gramEnd"/>
      <w:r>
        <w:rPr>
          <w:rFonts w:ascii="Times New Roman" w:hAnsi="Times New Roman" w:hint="eastAsia"/>
          <w:kern w:val="0"/>
          <w:szCs w:val="21"/>
        </w:rPr>
        <w:t>J]. Chinese Journal of Ecology, 2023,42(9):2296-</w:t>
      </w:r>
      <w:proofErr w:type="gramStart"/>
      <w:r>
        <w:rPr>
          <w:rFonts w:ascii="Times New Roman" w:hAnsi="Times New Roman" w:hint="eastAsia"/>
          <w:kern w:val="0"/>
          <w:szCs w:val="21"/>
        </w:rPr>
        <w:t>2304.(</w:t>
      </w:r>
      <w:proofErr w:type="gramEnd"/>
      <w:r>
        <w:rPr>
          <w:rFonts w:ascii="Times New Roman" w:hAnsi="Times New Roman" w:hint="eastAsia"/>
          <w:kern w:val="0"/>
          <w:szCs w:val="21"/>
        </w:rPr>
        <w:t>in Chinese with English abstract)</w:t>
      </w:r>
    </w:p>
    <w:p w14:paraId="539E9F45" w14:textId="77777777" w:rsidR="00C83319" w:rsidRDefault="00000000">
      <w:pPr>
        <w:widowControl/>
        <w:numPr>
          <w:ilvl w:val="0"/>
          <w:numId w:val="2"/>
        </w:numPr>
        <w:rPr>
          <w:rFonts w:ascii="Times New Roman" w:hAnsi="Times New Roman"/>
          <w:kern w:val="0"/>
          <w:szCs w:val="21"/>
        </w:rPr>
      </w:pPr>
      <w:r>
        <w:rPr>
          <w:rFonts w:ascii="Times New Roman" w:hAnsi="Times New Roman" w:hint="eastAsia"/>
          <w:kern w:val="0"/>
          <w:szCs w:val="21"/>
        </w:rPr>
        <w:lastRenderedPageBreak/>
        <w:t>潘昊</w:t>
      </w:r>
      <w:r>
        <w:rPr>
          <w:rFonts w:ascii="Times New Roman" w:hAnsi="Times New Roman" w:hint="eastAsia"/>
          <w:kern w:val="0"/>
          <w:szCs w:val="21"/>
        </w:rPr>
        <w:t xml:space="preserve">, </w:t>
      </w:r>
      <w:proofErr w:type="gramStart"/>
      <w:r>
        <w:rPr>
          <w:rFonts w:ascii="Times New Roman" w:hAnsi="Times New Roman" w:hint="eastAsia"/>
          <w:kern w:val="0"/>
          <w:szCs w:val="21"/>
        </w:rPr>
        <w:t>陈诗扬</w:t>
      </w:r>
      <w:proofErr w:type="gramEnd"/>
      <w:r>
        <w:rPr>
          <w:rFonts w:ascii="Times New Roman" w:hAnsi="Times New Roman" w:hint="eastAsia"/>
          <w:kern w:val="0"/>
          <w:szCs w:val="21"/>
        </w:rPr>
        <w:t xml:space="preserve">, </w:t>
      </w:r>
      <w:r>
        <w:rPr>
          <w:rFonts w:ascii="Times New Roman" w:hAnsi="Times New Roman" w:hint="eastAsia"/>
          <w:kern w:val="0"/>
          <w:szCs w:val="21"/>
        </w:rPr>
        <w:t>李祎森</w:t>
      </w:r>
      <w:r>
        <w:rPr>
          <w:rFonts w:ascii="Times New Roman" w:hAnsi="Times New Roman" w:hint="eastAsia"/>
          <w:kern w:val="0"/>
          <w:szCs w:val="21"/>
        </w:rPr>
        <w:t xml:space="preserve">, </w:t>
      </w:r>
      <w:r>
        <w:rPr>
          <w:rFonts w:ascii="Times New Roman" w:hAnsi="Times New Roman" w:hint="eastAsia"/>
          <w:kern w:val="0"/>
          <w:szCs w:val="21"/>
        </w:rPr>
        <w:t>等</w:t>
      </w:r>
      <w:r>
        <w:rPr>
          <w:rFonts w:ascii="Times New Roman" w:hAnsi="Times New Roman" w:hint="eastAsia"/>
          <w:kern w:val="0"/>
          <w:szCs w:val="21"/>
        </w:rPr>
        <w:t xml:space="preserve">. </w:t>
      </w:r>
      <w:r>
        <w:rPr>
          <w:rFonts w:ascii="Times New Roman" w:hAnsi="Times New Roman" w:hint="eastAsia"/>
          <w:kern w:val="0"/>
          <w:szCs w:val="21"/>
        </w:rPr>
        <w:t>分数阶微分数据变换在滨海盐渍土盐分反演中的适用性</w:t>
      </w:r>
      <w:r>
        <w:rPr>
          <w:rFonts w:ascii="Times New Roman" w:hAnsi="Times New Roman" w:hint="eastAsia"/>
          <w:kern w:val="0"/>
          <w:szCs w:val="21"/>
        </w:rPr>
        <w:t xml:space="preserve">[J]. </w:t>
      </w:r>
      <w:r>
        <w:rPr>
          <w:rFonts w:ascii="Times New Roman" w:hAnsi="Times New Roman" w:hint="eastAsia"/>
          <w:kern w:val="0"/>
          <w:szCs w:val="21"/>
        </w:rPr>
        <w:t>农业工程学报</w:t>
      </w:r>
      <w:r>
        <w:rPr>
          <w:rFonts w:ascii="Times New Roman" w:hAnsi="Times New Roman" w:hint="eastAsia"/>
          <w:kern w:val="0"/>
          <w:szCs w:val="21"/>
        </w:rPr>
        <w:t>, 2025,41(3):73-82.</w:t>
      </w:r>
    </w:p>
    <w:p w14:paraId="0750FF99" w14:textId="77777777" w:rsidR="00C83319" w:rsidRDefault="00000000">
      <w:pPr>
        <w:widowControl/>
        <w:ind w:left="425"/>
        <w:rPr>
          <w:rFonts w:ascii="Times New Roman" w:hAnsi="Times New Roman"/>
          <w:kern w:val="0"/>
          <w:szCs w:val="21"/>
        </w:rPr>
      </w:pPr>
      <w:r>
        <w:rPr>
          <w:rFonts w:ascii="Times New Roman" w:hAnsi="Times New Roman" w:hint="eastAsia"/>
          <w:kern w:val="0"/>
          <w:szCs w:val="21"/>
        </w:rPr>
        <w:t xml:space="preserve">Hao Pan, Shi yang Chen, Yi </w:t>
      </w:r>
      <w:proofErr w:type="spellStart"/>
      <w:r>
        <w:rPr>
          <w:rFonts w:ascii="Times New Roman" w:hAnsi="Times New Roman" w:hint="eastAsia"/>
          <w:kern w:val="0"/>
          <w:szCs w:val="21"/>
        </w:rPr>
        <w:t>sen</w:t>
      </w:r>
      <w:proofErr w:type="spellEnd"/>
      <w:r>
        <w:rPr>
          <w:rFonts w:ascii="Times New Roman" w:hAnsi="Times New Roman" w:hint="eastAsia"/>
          <w:kern w:val="0"/>
          <w:szCs w:val="21"/>
        </w:rPr>
        <w:t xml:space="preserve"> Li, et al. Applicability of fractional-order differential transformation for salinization monitoring in coastal saline soils[J]. Transactions of the Chinese Society of Agricultural Engineering, 2025,41(3):73-</w:t>
      </w:r>
      <w:proofErr w:type="gramStart"/>
      <w:r>
        <w:rPr>
          <w:rFonts w:ascii="Times New Roman" w:hAnsi="Times New Roman" w:hint="eastAsia"/>
          <w:kern w:val="0"/>
          <w:szCs w:val="21"/>
        </w:rPr>
        <w:t>82.(</w:t>
      </w:r>
      <w:proofErr w:type="gramEnd"/>
      <w:r>
        <w:rPr>
          <w:rFonts w:ascii="Times New Roman" w:hAnsi="Times New Roman" w:hint="eastAsia"/>
          <w:kern w:val="0"/>
          <w:szCs w:val="21"/>
        </w:rPr>
        <w:t>in Chinese with English abstract)</w:t>
      </w:r>
    </w:p>
    <w:p w14:paraId="496A48C7" w14:textId="77777777" w:rsidR="00C83319" w:rsidRDefault="00000000">
      <w:pPr>
        <w:widowControl/>
        <w:numPr>
          <w:ilvl w:val="0"/>
          <w:numId w:val="2"/>
        </w:numPr>
        <w:rPr>
          <w:rFonts w:ascii="Times New Roman" w:hAnsi="Times New Roman"/>
          <w:kern w:val="0"/>
          <w:szCs w:val="21"/>
        </w:rPr>
      </w:pPr>
      <w:r>
        <w:rPr>
          <w:rFonts w:ascii="Times New Roman" w:hAnsi="Times New Roman" w:hint="eastAsia"/>
          <w:kern w:val="0"/>
          <w:szCs w:val="21"/>
        </w:rPr>
        <w:t xml:space="preserve">Zhu Chuanmei, Ding Jianli, Zhang Zipeng, et al. Exploring the potential of UAV hyperspectral image for estimating soil salinity: Effects of optimal band combination algorithm and random forest[J]. </w:t>
      </w:r>
      <w:proofErr w:type="spellStart"/>
      <w:r>
        <w:rPr>
          <w:rFonts w:ascii="Times New Roman" w:hAnsi="Times New Roman" w:hint="eastAsia"/>
          <w:kern w:val="0"/>
          <w:szCs w:val="21"/>
        </w:rPr>
        <w:t>Spectrochimica</w:t>
      </w:r>
      <w:proofErr w:type="spellEnd"/>
      <w:r>
        <w:rPr>
          <w:rFonts w:ascii="Times New Roman" w:hAnsi="Times New Roman" w:hint="eastAsia"/>
          <w:kern w:val="0"/>
          <w:szCs w:val="21"/>
        </w:rPr>
        <w:t xml:space="preserve"> Acta Part A: Molecular and Biomolecular Spectroscopy, 2022,279:121416.</w:t>
      </w:r>
    </w:p>
    <w:p w14:paraId="0D76DCFA" w14:textId="77777777" w:rsidR="00C83319" w:rsidRDefault="00000000">
      <w:pPr>
        <w:widowControl/>
        <w:numPr>
          <w:ilvl w:val="0"/>
          <w:numId w:val="2"/>
        </w:numPr>
        <w:rPr>
          <w:rFonts w:ascii="Times New Roman" w:hAnsi="Times New Roman"/>
          <w:kern w:val="0"/>
          <w:szCs w:val="21"/>
        </w:rPr>
      </w:pPr>
      <w:r>
        <w:rPr>
          <w:rFonts w:ascii="Times New Roman" w:hAnsi="Times New Roman" w:hint="eastAsia"/>
          <w:kern w:val="0"/>
          <w:szCs w:val="21"/>
        </w:rPr>
        <w:t xml:space="preserve">Wang Jingzhe, Ding Jianli, </w:t>
      </w:r>
      <w:proofErr w:type="spellStart"/>
      <w:r>
        <w:rPr>
          <w:rFonts w:ascii="Times New Roman" w:hAnsi="Times New Roman" w:hint="eastAsia"/>
          <w:kern w:val="0"/>
          <w:szCs w:val="21"/>
        </w:rPr>
        <w:t>Abulimiti</w:t>
      </w:r>
      <w:proofErr w:type="spellEnd"/>
      <w:r>
        <w:rPr>
          <w:rFonts w:ascii="Times New Roman" w:hAnsi="Times New Roman" w:hint="eastAsia"/>
          <w:kern w:val="0"/>
          <w:szCs w:val="21"/>
        </w:rPr>
        <w:t xml:space="preserve"> </w:t>
      </w:r>
      <w:proofErr w:type="spellStart"/>
      <w:r>
        <w:rPr>
          <w:rFonts w:ascii="Times New Roman" w:hAnsi="Times New Roman" w:hint="eastAsia"/>
          <w:kern w:val="0"/>
          <w:szCs w:val="21"/>
        </w:rPr>
        <w:t>Aerzuna</w:t>
      </w:r>
      <w:proofErr w:type="spellEnd"/>
      <w:r>
        <w:rPr>
          <w:rFonts w:ascii="Times New Roman" w:hAnsi="Times New Roman" w:hint="eastAsia"/>
          <w:kern w:val="0"/>
          <w:szCs w:val="21"/>
        </w:rPr>
        <w:t>, et al. Quantitative estimation of soil salinity by means of different modeling methods and visible-near infrared (VIS</w:t>
      </w:r>
      <w:r>
        <w:rPr>
          <w:rFonts w:ascii="Times New Roman" w:hAnsi="Times New Roman" w:hint="eastAsia"/>
          <w:kern w:val="0"/>
          <w:szCs w:val="21"/>
        </w:rPr>
        <w:t>–</w:t>
      </w:r>
      <w:r>
        <w:rPr>
          <w:rFonts w:ascii="Times New Roman" w:hAnsi="Times New Roman" w:hint="eastAsia"/>
          <w:kern w:val="0"/>
          <w:szCs w:val="21"/>
        </w:rPr>
        <w:t xml:space="preserve">NIR) spectroscopy, </w:t>
      </w:r>
      <w:proofErr w:type="spellStart"/>
      <w:r>
        <w:rPr>
          <w:rFonts w:ascii="Times New Roman" w:hAnsi="Times New Roman" w:hint="eastAsia"/>
          <w:kern w:val="0"/>
          <w:szCs w:val="21"/>
        </w:rPr>
        <w:t>Ebinur</w:t>
      </w:r>
      <w:proofErr w:type="spellEnd"/>
      <w:r>
        <w:rPr>
          <w:rFonts w:ascii="Times New Roman" w:hAnsi="Times New Roman" w:hint="eastAsia"/>
          <w:kern w:val="0"/>
          <w:szCs w:val="21"/>
        </w:rPr>
        <w:t xml:space="preserve"> Lake Wetland, Northwest China[J]. </w:t>
      </w:r>
      <w:proofErr w:type="spellStart"/>
      <w:r>
        <w:rPr>
          <w:rFonts w:ascii="Times New Roman" w:hAnsi="Times New Roman" w:hint="eastAsia"/>
          <w:kern w:val="0"/>
          <w:szCs w:val="21"/>
        </w:rPr>
        <w:t>PeerJ</w:t>
      </w:r>
      <w:proofErr w:type="spellEnd"/>
      <w:r>
        <w:rPr>
          <w:rFonts w:ascii="Times New Roman" w:hAnsi="Times New Roman" w:hint="eastAsia"/>
          <w:kern w:val="0"/>
          <w:szCs w:val="21"/>
        </w:rPr>
        <w:t>, 2018,</w:t>
      </w:r>
      <w:proofErr w:type="gramStart"/>
      <w:r>
        <w:rPr>
          <w:rFonts w:ascii="Times New Roman" w:hAnsi="Times New Roman" w:hint="eastAsia"/>
          <w:kern w:val="0"/>
          <w:szCs w:val="21"/>
        </w:rPr>
        <w:t>6:e</w:t>
      </w:r>
      <w:proofErr w:type="gramEnd"/>
      <w:r>
        <w:rPr>
          <w:rFonts w:ascii="Times New Roman" w:hAnsi="Times New Roman" w:hint="eastAsia"/>
          <w:kern w:val="0"/>
          <w:szCs w:val="21"/>
        </w:rPr>
        <w:t>4703.</w:t>
      </w:r>
    </w:p>
    <w:p w14:paraId="24081EC4" w14:textId="77777777" w:rsidR="00C83319" w:rsidRDefault="00000000">
      <w:pPr>
        <w:widowControl/>
        <w:numPr>
          <w:ilvl w:val="0"/>
          <w:numId w:val="2"/>
        </w:numPr>
        <w:rPr>
          <w:rFonts w:ascii="Times New Roman" w:hAnsi="Times New Roman"/>
          <w:kern w:val="0"/>
          <w:szCs w:val="21"/>
        </w:rPr>
      </w:pPr>
      <w:r>
        <w:rPr>
          <w:rFonts w:ascii="Times New Roman" w:hAnsi="Times New Roman" w:hint="eastAsia"/>
          <w:kern w:val="0"/>
          <w:szCs w:val="21"/>
        </w:rPr>
        <w:t>Bai Xueyuan, Li Zhenhai, Li Wei, et al. Comparison of Machine-Learning and CASA Models for Predicting Apple Fruit Yields from Time-Series Planet Imageries[J]. Remote Sensing, 2021,13(16):3073.</w:t>
      </w:r>
    </w:p>
    <w:sectPr w:rsidR="00C83319" w:rsidSect="00B263F1">
      <w:type w:val="continuous"/>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3D8EF6" w14:textId="77777777" w:rsidR="00EF2D87" w:rsidRDefault="00EF2D87" w:rsidP="00F27E99">
      <w:r>
        <w:separator/>
      </w:r>
    </w:p>
  </w:endnote>
  <w:endnote w:type="continuationSeparator" w:id="0">
    <w:p w14:paraId="7B64C856" w14:textId="77777777" w:rsidR="00EF2D87" w:rsidRDefault="00EF2D87" w:rsidP="00F27E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楷体_GB2312">
    <w:altName w:val="楷体"/>
    <w:charset w:val="86"/>
    <w:family w:val="modern"/>
    <w:pitch w:val="default"/>
    <w:sig w:usb0="00000000" w:usb1="00000000" w:usb2="00000010" w:usb3="00000000" w:csb0="00040000" w:csb1="00000000"/>
  </w:font>
  <w:font w:name="等线">
    <w:altName w:val="DengXian"/>
    <w:panose1 w:val="02010600030101010101"/>
    <w:charset w:val="86"/>
    <w:family w:val="auto"/>
    <w:pitch w:val="variable"/>
    <w:sig w:usb0="A00002BF" w:usb1="38CF7CFA" w:usb2="00000016" w:usb3="00000000" w:csb0="0004000F" w:csb1="00000000"/>
  </w:font>
  <w:font w:name="Helvetica Neue">
    <w:altName w:val="Times New Roman"/>
    <w:charset w:val="00"/>
    <w:family w:val="roman"/>
    <w:pitch w:val="default"/>
    <w:sig w:usb0="00000000" w:usb1="00000000" w:usb2="00000000" w:usb3="00000000" w:csb0="00040001" w:csb1="00000000"/>
  </w:font>
  <w:font w:name="Arial Unicode MS">
    <w:panose1 w:val="020B0604020202020204"/>
    <w:charset w:val="00"/>
    <w:family w:val="roman"/>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仿宋">
    <w:panose1 w:val="02010609060101010101"/>
    <w:charset w:val="86"/>
    <w:family w:val="modern"/>
    <w:pitch w:val="fixed"/>
    <w:sig w:usb0="800002BF" w:usb1="38CF7CFA" w:usb2="00000016" w:usb3="00000000" w:csb0="00040001" w:csb1="00000000"/>
  </w:font>
  <w:font w:name="Symbol">
    <w:panose1 w:val="05050102010706020507"/>
    <w:charset w:val="02"/>
    <w:family w:val="roman"/>
    <w:pitch w:val="variable"/>
    <w:sig w:usb0="00000000" w:usb1="10000000" w:usb2="00000000" w:usb3="00000000" w:csb0="80000000"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6F901E" w14:textId="77777777" w:rsidR="00EF2D87" w:rsidRDefault="00EF2D87" w:rsidP="00F27E99">
      <w:r>
        <w:separator/>
      </w:r>
    </w:p>
  </w:footnote>
  <w:footnote w:type="continuationSeparator" w:id="0">
    <w:p w14:paraId="32F4C3BA" w14:textId="77777777" w:rsidR="00EF2D87" w:rsidRDefault="00EF2D87" w:rsidP="00F27E99">
      <w:r>
        <w:continuationSeparator/>
      </w:r>
    </w:p>
  </w:footnote>
  <w:footnote w:id="1">
    <w:p w14:paraId="4D12B1A1" w14:textId="77777777" w:rsidR="002B781A" w:rsidRPr="002B781A" w:rsidRDefault="002B781A" w:rsidP="002B781A">
      <w:pPr>
        <w:pStyle w:val="af3"/>
        <w:rPr>
          <w:rFonts w:ascii="Times New Roman" w:hAnsi="Times New Roman"/>
          <w:sz w:val="15"/>
          <w:szCs w:val="15"/>
        </w:rPr>
      </w:pPr>
      <w:r w:rsidRPr="002B781A">
        <w:rPr>
          <w:rFonts w:ascii="Times New Roman" w:hAnsi="Times New Roman"/>
          <w:sz w:val="15"/>
          <w:szCs w:val="15"/>
        </w:rPr>
        <w:t>收稿日期：</w:t>
      </w:r>
      <w:r w:rsidRPr="002B781A">
        <w:rPr>
          <w:rFonts w:ascii="Times New Roman" w:hAnsi="Times New Roman"/>
          <w:sz w:val="15"/>
          <w:szCs w:val="15"/>
        </w:rPr>
        <w:t xml:space="preserve">20xx-xx-xx   </w:t>
      </w:r>
      <w:r w:rsidRPr="002B781A">
        <w:rPr>
          <w:rFonts w:ascii="Times New Roman" w:hAnsi="Times New Roman"/>
          <w:sz w:val="15"/>
          <w:szCs w:val="15"/>
        </w:rPr>
        <w:t>修订日期：</w:t>
      </w:r>
      <w:r w:rsidRPr="002B781A">
        <w:rPr>
          <w:rFonts w:ascii="Times New Roman" w:hAnsi="Times New Roman"/>
          <w:sz w:val="15"/>
          <w:szCs w:val="15"/>
        </w:rPr>
        <w:t>20xx-xx-xx</w:t>
      </w:r>
    </w:p>
    <w:p w14:paraId="61354EF8" w14:textId="77777777" w:rsidR="002B781A" w:rsidRPr="002B781A" w:rsidRDefault="002B781A" w:rsidP="002B781A">
      <w:pPr>
        <w:pStyle w:val="af3"/>
        <w:rPr>
          <w:rFonts w:ascii="Times New Roman" w:hAnsi="Times New Roman"/>
          <w:sz w:val="15"/>
          <w:szCs w:val="15"/>
        </w:rPr>
      </w:pPr>
      <w:r w:rsidRPr="002B781A">
        <w:rPr>
          <w:rFonts w:ascii="Times New Roman" w:hAnsi="Times New Roman"/>
          <w:sz w:val="15"/>
          <w:szCs w:val="15"/>
        </w:rPr>
        <w:t>基金项目：由</w:t>
      </w:r>
      <w:bookmarkStart w:id="2" w:name="OLE_LINK3"/>
      <w:r w:rsidRPr="002B781A">
        <w:rPr>
          <w:rFonts w:ascii="Times New Roman" w:hAnsi="Times New Roman"/>
          <w:sz w:val="15"/>
          <w:szCs w:val="15"/>
        </w:rPr>
        <w:t>中国科学院科研项目资助</w:t>
      </w:r>
      <w:bookmarkEnd w:id="2"/>
    </w:p>
    <w:p w14:paraId="552365FF" w14:textId="6CFEACB1" w:rsidR="002B781A" w:rsidRPr="002B781A" w:rsidRDefault="002B781A" w:rsidP="002B781A">
      <w:pPr>
        <w:pStyle w:val="af3"/>
        <w:rPr>
          <w:rFonts w:ascii="Times New Roman" w:hAnsi="Times New Roman"/>
          <w:sz w:val="15"/>
          <w:szCs w:val="15"/>
        </w:rPr>
      </w:pPr>
      <w:r w:rsidRPr="002B781A">
        <w:rPr>
          <w:rFonts w:ascii="Times New Roman" w:hAnsi="Times New Roman"/>
          <w:sz w:val="15"/>
          <w:szCs w:val="15"/>
        </w:rPr>
        <w:t>作者简介：牛铜</w:t>
      </w:r>
      <w:r w:rsidR="00542903">
        <w:rPr>
          <w:rFonts w:ascii="Times New Roman" w:hAnsi="Times New Roman" w:hint="eastAsia"/>
          <w:sz w:val="15"/>
          <w:szCs w:val="15"/>
        </w:rPr>
        <w:t>（</w:t>
      </w:r>
      <w:r w:rsidR="00542903">
        <w:rPr>
          <w:rFonts w:ascii="Times New Roman" w:hAnsi="Times New Roman" w:hint="eastAsia"/>
          <w:sz w:val="15"/>
          <w:szCs w:val="15"/>
        </w:rPr>
        <w:t>2002-</w:t>
      </w:r>
      <w:r w:rsidR="00542903">
        <w:rPr>
          <w:rFonts w:ascii="Times New Roman" w:hAnsi="Times New Roman" w:hint="eastAsia"/>
          <w:sz w:val="15"/>
          <w:szCs w:val="15"/>
        </w:rPr>
        <w:t>）</w:t>
      </w:r>
      <w:r w:rsidR="002C09F9">
        <w:rPr>
          <w:rFonts w:ascii="Times New Roman" w:hAnsi="Times New Roman" w:hint="eastAsia"/>
          <w:sz w:val="15"/>
          <w:szCs w:val="15"/>
        </w:rPr>
        <w:t>，</w:t>
      </w:r>
      <w:r w:rsidR="00542903">
        <w:rPr>
          <w:rFonts w:ascii="Times New Roman" w:hAnsi="Times New Roman" w:hint="eastAsia"/>
          <w:sz w:val="15"/>
          <w:szCs w:val="15"/>
        </w:rPr>
        <w:t>男</w:t>
      </w:r>
      <w:r w:rsidR="00D81C17">
        <w:rPr>
          <w:rFonts w:ascii="Times New Roman" w:hAnsi="Times New Roman" w:hint="eastAsia"/>
          <w:sz w:val="15"/>
          <w:szCs w:val="15"/>
        </w:rPr>
        <w:t>，硕士</w:t>
      </w:r>
      <w:r w:rsidRPr="002B781A">
        <w:rPr>
          <w:rFonts w:ascii="Times New Roman" w:hAnsi="Times New Roman"/>
          <w:sz w:val="15"/>
          <w:szCs w:val="15"/>
        </w:rPr>
        <w:t>，</w:t>
      </w:r>
      <w:r w:rsidR="00080FCC">
        <w:rPr>
          <w:rFonts w:ascii="Times New Roman" w:hAnsi="Times New Roman" w:hint="eastAsia"/>
          <w:sz w:val="15"/>
          <w:szCs w:val="15"/>
        </w:rPr>
        <w:t>主要从事</w:t>
      </w:r>
      <w:r w:rsidRPr="002B781A">
        <w:rPr>
          <w:rFonts w:ascii="Times New Roman" w:hAnsi="Times New Roman"/>
          <w:sz w:val="15"/>
          <w:szCs w:val="15"/>
        </w:rPr>
        <w:t>高光谱土壤盐分反演</w:t>
      </w:r>
      <w:r w:rsidR="00663861">
        <w:rPr>
          <w:rFonts w:ascii="Times New Roman" w:hAnsi="Times New Roman" w:hint="eastAsia"/>
          <w:sz w:val="15"/>
          <w:szCs w:val="15"/>
        </w:rPr>
        <w:t>，</w:t>
      </w:r>
      <w:r w:rsidRPr="002B781A">
        <w:rPr>
          <w:rFonts w:ascii="Times New Roman" w:hAnsi="Times New Roman"/>
          <w:sz w:val="15"/>
          <w:szCs w:val="15"/>
        </w:rPr>
        <w:t>Email: niu_tong@cau.edu.cn</w:t>
      </w:r>
    </w:p>
    <w:p w14:paraId="53E80F23" w14:textId="27B61BDA" w:rsidR="002B781A" w:rsidRDefault="002B781A" w:rsidP="002B781A">
      <w:pPr>
        <w:pStyle w:val="af3"/>
      </w:pPr>
      <w:r w:rsidRPr="002B781A">
        <w:rPr>
          <w:rFonts w:ascii="Times New Roman" w:hAnsi="Times New Roman"/>
          <w:sz w:val="15"/>
          <w:szCs w:val="15"/>
        </w:rPr>
        <w:t>通信作者：张杰</w:t>
      </w:r>
      <w:r w:rsidR="00542903">
        <w:rPr>
          <w:rFonts w:ascii="Times New Roman" w:hAnsi="Times New Roman" w:hint="eastAsia"/>
          <w:sz w:val="15"/>
          <w:szCs w:val="15"/>
        </w:rPr>
        <w:t>（</w:t>
      </w:r>
      <w:r w:rsidR="00542903">
        <w:rPr>
          <w:rFonts w:ascii="Times New Roman" w:hAnsi="Times New Roman" w:hint="eastAsia"/>
          <w:sz w:val="15"/>
          <w:szCs w:val="15"/>
        </w:rPr>
        <w:t>1990-</w:t>
      </w:r>
      <w:r w:rsidR="00542903">
        <w:rPr>
          <w:rFonts w:ascii="Times New Roman" w:hAnsi="Times New Roman" w:hint="eastAsia"/>
          <w:sz w:val="15"/>
          <w:szCs w:val="15"/>
        </w:rPr>
        <w:t>）</w:t>
      </w:r>
      <w:r w:rsidR="002C09F9">
        <w:rPr>
          <w:rFonts w:ascii="Times New Roman" w:hAnsi="Times New Roman" w:hint="eastAsia"/>
          <w:sz w:val="15"/>
          <w:szCs w:val="15"/>
        </w:rPr>
        <w:t>，</w:t>
      </w:r>
      <w:r w:rsidR="00542903">
        <w:rPr>
          <w:rFonts w:ascii="Times New Roman" w:hAnsi="Times New Roman" w:hint="eastAsia"/>
          <w:sz w:val="15"/>
          <w:szCs w:val="15"/>
        </w:rPr>
        <w:t>女</w:t>
      </w:r>
      <w:r w:rsidRPr="002B781A">
        <w:rPr>
          <w:rFonts w:ascii="Times New Roman" w:hAnsi="Times New Roman"/>
          <w:sz w:val="15"/>
          <w:szCs w:val="15"/>
        </w:rPr>
        <w:t>，</w:t>
      </w:r>
      <w:r w:rsidR="00542903" w:rsidRPr="002B781A">
        <w:rPr>
          <w:rFonts w:ascii="Times New Roman" w:hAnsi="Times New Roman"/>
          <w:sz w:val="15"/>
          <w:szCs w:val="15"/>
        </w:rPr>
        <w:t>副教授</w:t>
      </w:r>
      <w:r w:rsidR="00542903">
        <w:rPr>
          <w:rFonts w:ascii="Times New Roman" w:hAnsi="Times New Roman" w:hint="eastAsia"/>
          <w:sz w:val="15"/>
          <w:szCs w:val="15"/>
        </w:rPr>
        <w:t>，博士</w:t>
      </w:r>
      <w:r w:rsidRPr="002B781A">
        <w:rPr>
          <w:rFonts w:ascii="Times New Roman" w:hAnsi="Times New Roman"/>
          <w:sz w:val="15"/>
          <w:szCs w:val="15"/>
        </w:rPr>
        <w:t>，</w:t>
      </w:r>
      <w:r w:rsidR="00080FCC">
        <w:rPr>
          <w:rFonts w:ascii="Times New Roman" w:hAnsi="Times New Roman" w:hint="eastAsia"/>
          <w:sz w:val="15"/>
          <w:szCs w:val="15"/>
        </w:rPr>
        <w:t>主要从事</w:t>
      </w:r>
      <w:r w:rsidRPr="002B781A">
        <w:rPr>
          <w:rFonts w:ascii="Times New Roman" w:hAnsi="Times New Roman"/>
          <w:sz w:val="15"/>
          <w:szCs w:val="15"/>
        </w:rPr>
        <w:t>时空大数据与智能决策</w:t>
      </w:r>
      <w:r w:rsidR="00663861">
        <w:rPr>
          <w:rFonts w:ascii="Times New Roman" w:hAnsi="Times New Roman" w:hint="eastAsia"/>
          <w:sz w:val="15"/>
          <w:szCs w:val="15"/>
        </w:rPr>
        <w:t>，</w:t>
      </w:r>
      <w:r w:rsidRPr="002B781A">
        <w:rPr>
          <w:rFonts w:ascii="Times New Roman" w:hAnsi="Times New Roman"/>
          <w:sz w:val="15"/>
          <w:szCs w:val="15"/>
        </w:rPr>
        <w:t>Email: jiezhang@cau.edu.cn</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34D84"/>
    <w:multiLevelType w:val="singleLevel"/>
    <w:tmpl w:val="06F34D84"/>
    <w:lvl w:ilvl="0">
      <w:start w:val="1"/>
      <w:numFmt w:val="decimal"/>
      <w:pStyle w:val="a"/>
      <w:lvlText w:val="[%1]"/>
      <w:lvlJc w:val="left"/>
      <w:pPr>
        <w:tabs>
          <w:tab w:val="left" w:pos="420"/>
        </w:tabs>
        <w:ind w:left="425" w:hanging="425"/>
      </w:pPr>
      <w:rPr>
        <w:rFonts w:hint="default"/>
      </w:rPr>
    </w:lvl>
  </w:abstractNum>
  <w:abstractNum w:abstractNumId="1" w15:restartNumberingAfterBreak="0">
    <w:nsid w:val="6FC65220"/>
    <w:multiLevelType w:val="multilevel"/>
    <w:tmpl w:val="6FC65220"/>
    <w:lvl w:ilvl="0">
      <w:numFmt w:val="decimal"/>
      <w:pStyle w:val="1"/>
      <w:lvlText w:val="%1"/>
      <w:lvlJc w:val="left"/>
      <w:pPr>
        <w:ind w:left="420" w:hanging="420"/>
      </w:pPr>
      <w:rPr>
        <w:rFonts w:ascii="Times New Roman" w:hAnsi="Times New Roman" w:cs="Times New Roman" w:hint="default"/>
        <w:b/>
      </w:rPr>
    </w:lvl>
    <w:lvl w:ilvl="1">
      <w:start w:val="1"/>
      <w:numFmt w:val="decimal"/>
      <w:pStyle w:val="2"/>
      <w:isLgl/>
      <w:lvlText w:val="%1.%2"/>
      <w:lvlJc w:val="left"/>
      <w:pPr>
        <w:ind w:left="375" w:hanging="375"/>
      </w:pPr>
      <w:rPr>
        <w:rFonts w:ascii="Times New Roman" w:hAnsi="Times New Roman" w:cs="Times New Roman" w:hint="default"/>
        <w:b/>
      </w:rPr>
    </w:lvl>
    <w:lvl w:ilvl="2">
      <w:start w:val="1"/>
      <w:numFmt w:val="decimal"/>
      <w:pStyle w:val="3"/>
      <w:isLgl/>
      <w:lvlText w:val="%1.%2.%3"/>
      <w:lvlJc w:val="left"/>
      <w:pPr>
        <w:ind w:left="1003" w:hanging="720"/>
      </w:pPr>
      <w:rPr>
        <w:rFonts w:ascii="Times New Roman" w:hAnsi="Times New Roman" w:cs="Times New Roman" w:hint="default"/>
        <w:b/>
        <w:color w:val="auto"/>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num w:numId="1" w16cid:durableId="1701469499">
    <w:abstractNumId w:val="1"/>
  </w:num>
  <w:num w:numId="2" w16cid:durableId="5987580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bordersDoNotSurroundHeader/>
  <w:bordersDoNotSurroundFooter/>
  <w:proofState w:spelling="clean" w:grammar="clean"/>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NzAwtDQyNDc3sTAztzRW0lEKTi0uzszPAykwNKwFAAOMmKktAAAA"/>
    <w:docVar w:name="commondata" w:val="eyJoZGlkIjoiOGNiNTE3ZmEzZGFmZWIxNGM1ODcwZjFiNmY3MTE4NDkifQ=="/>
    <w:docVar w:name="NE.Ref{85AC471D-5454-440B-8A51-27A3FF30EC7C}" w:val=" ADDIN NE.Ref.{85AC471D-5454-440B-8A51-27A3FF30EC7C}&lt;Citation&gt;&lt;Group&gt;&lt;References&gt;&lt;Item&gt;&lt;ID&gt;642&lt;/ID&gt;&lt;UID&gt;{BC7BD2C2-5A88-4A54-B49E-468D2057EDCD}&lt;/UID&gt;&lt;Title&gt;基于深度学习的作物长势监测和产量估测研究进展&lt;/Title&gt;&lt;Template&gt;Journal Article&lt;/Template&gt;&lt;Star&gt;0&lt;/Star&gt;&lt;Tag&gt;0&lt;/Tag&gt;&lt;Author&gt;王鹏新; 田惠仁; 张悦; 韩东; 王婕; 尹猛&lt;/Author&gt;&lt;Year&gt;2022&lt;/Year&gt;&lt;Details&gt;&lt;_created&gt;65577146&lt;/_created&gt;&lt;_language&gt;chi&lt;/_language&gt;&lt;_modified&gt;65637735&lt;/_modified&gt;&lt;_accessed&gt;65637733&lt;/_accessed&gt;&lt;_url&gt;https://d.wanfangdata.com.cn/periodical/ChlQZXJpb2RpY2FsQ0hJTmV3UzIwMjQwNzA0Eg9ueWp4eGIyMDIyMDIwMDEaCDRpNTJvdWw3&lt;/_url&gt;&lt;_journal&gt;农业机械学报&lt;/_journal&gt;&lt;_volume&gt;53&lt;/_volume&gt;&lt;_issue&gt;2&lt;/_issue&gt;&lt;_pages&gt;1-14&lt;/_pages&gt;&lt;_tertiary_title&gt;Transactions of the Chinese Society for Agricultural Machinery&lt;/_tertiary_title&gt;&lt;_doi&gt;10.6041/j.issn.1000-1298.2022.02.001&lt;/_doi&gt;&lt;_isbn&gt;1000-1298&lt;/_isbn&gt;&lt;_keywords&gt;农作物; 长势监测; 产量估测; 遥感; 深度学习&lt;/_keywords&gt;&lt;_author_aff&gt;中国农业大学&lt;/_author_aff&gt;&lt;_author_adr&gt;中国农业大学&lt;/_author_adr&gt;&lt;_translated_author&gt;Pengxin, WANG; Huiren, TIAN; Yue, ZHANG; Dong, HAN; Jie, WANG; Meng, YIN&lt;/_translated_author&gt;&lt;_translated_title&gt;Crop Growth Monitoring and Yield Estimation Based on Deep Learning:State of the Art and Beyond&lt;/_translated_title&gt;&lt;_db_provider&gt;北京万方数据股份有限公司&lt;/_db_provider&gt;&lt;_db_updated&gt;Wanfangdata&lt;/_db_updated&gt;&lt;/Details&gt;&lt;Extra&gt;&lt;DBUID&gt;{03752FAB-B361-4F66-989B-C711D9502F78}&lt;/DBUID&gt;&lt;/Extra&gt;&lt;/Item&gt;&lt;/References&gt;&lt;/Group&gt;&lt;/Citation&gt;_x000a_"/>
    <w:docVar w:name="ne_docsoft" w:val="MSWord"/>
    <w:docVar w:name="ne_docversion" w:val="NoteExpress 2.0"/>
    <w:docVar w:name="ne_stylename" w:val="Numbered(multilingual)"/>
  </w:docVars>
  <w:rsids>
    <w:rsidRoot w:val="00CF037C"/>
    <w:rsid w:val="00001196"/>
    <w:rsid w:val="00001C8A"/>
    <w:rsid w:val="00010359"/>
    <w:rsid w:val="00011E3F"/>
    <w:rsid w:val="00012DA8"/>
    <w:rsid w:val="00015821"/>
    <w:rsid w:val="000162B6"/>
    <w:rsid w:val="00020ED3"/>
    <w:rsid w:val="00022D4D"/>
    <w:rsid w:val="000255A8"/>
    <w:rsid w:val="00027A1C"/>
    <w:rsid w:val="000308F4"/>
    <w:rsid w:val="00030F36"/>
    <w:rsid w:val="00031F18"/>
    <w:rsid w:val="00032816"/>
    <w:rsid w:val="000350DA"/>
    <w:rsid w:val="000359B2"/>
    <w:rsid w:val="00036D40"/>
    <w:rsid w:val="00040D43"/>
    <w:rsid w:val="00041011"/>
    <w:rsid w:val="000434E1"/>
    <w:rsid w:val="00045039"/>
    <w:rsid w:val="0004534F"/>
    <w:rsid w:val="00045981"/>
    <w:rsid w:val="00051318"/>
    <w:rsid w:val="00052115"/>
    <w:rsid w:val="0005405A"/>
    <w:rsid w:val="00054AEC"/>
    <w:rsid w:val="0005680A"/>
    <w:rsid w:val="00061CDD"/>
    <w:rsid w:val="00062F13"/>
    <w:rsid w:val="0006458F"/>
    <w:rsid w:val="00065FF1"/>
    <w:rsid w:val="000679E0"/>
    <w:rsid w:val="00067E15"/>
    <w:rsid w:val="00070FEC"/>
    <w:rsid w:val="00072D78"/>
    <w:rsid w:val="0007496C"/>
    <w:rsid w:val="00075D2C"/>
    <w:rsid w:val="0007715A"/>
    <w:rsid w:val="00080FCC"/>
    <w:rsid w:val="000823CF"/>
    <w:rsid w:val="000825B0"/>
    <w:rsid w:val="000857CC"/>
    <w:rsid w:val="00090E54"/>
    <w:rsid w:val="000916AF"/>
    <w:rsid w:val="00091A8E"/>
    <w:rsid w:val="00091C23"/>
    <w:rsid w:val="00092FED"/>
    <w:rsid w:val="00096332"/>
    <w:rsid w:val="000978EC"/>
    <w:rsid w:val="000A037F"/>
    <w:rsid w:val="000A0416"/>
    <w:rsid w:val="000A28B5"/>
    <w:rsid w:val="000A31E1"/>
    <w:rsid w:val="000A409D"/>
    <w:rsid w:val="000A6397"/>
    <w:rsid w:val="000A7EB4"/>
    <w:rsid w:val="000B3870"/>
    <w:rsid w:val="000B609A"/>
    <w:rsid w:val="000B6436"/>
    <w:rsid w:val="000B7B52"/>
    <w:rsid w:val="000C0798"/>
    <w:rsid w:val="000C1658"/>
    <w:rsid w:val="000C75CD"/>
    <w:rsid w:val="000D2DA3"/>
    <w:rsid w:val="000D4CD6"/>
    <w:rsid w:val="000D52E3"/>
    <w:rsid w:val="000D6643"/>
    <w:rsid w:val="000D6EC4"/>
    <w:rsid w:val="000D7128"/>
    <w:rsid w:val="000D780F"/>
    <w:rsid w:val="000E0431"/>
    <w:rsid w:val="000E17A3"/>
    <w:rsid w:val="000E2AE5"/>
    <w:rsid w:val="000E3677"/>
    <w:rsid w:val="000E4226"/>
    <w:rsid w:val="000E73CE"/>
    <w:rsid w:val="000F10AE"/>
    <w:rsid w:val="000F23AC"/>
    <w:rsid w:val="000F2F2A"/>
    <w:rsid w:val="000F4A2E"/>
    <w:rsid w:val="000F589C"/>
    <w:rsid w:val="000F60E8"/>
    <w:rsid w:val="00101A01"/>
    <w:rsid w:val="001028F2"/>
    <w:rsid w:val="00102B0B"/>
    <w:rsid w:val="00110AE6"/>
    <w:rsid w:val="00113FA9"/>
    <w:rsid w:val="0011733A"/>
    <w:rsid w:val="001209CB"/>
    <w:rsid w:val="001227E8"/>
    <w:rsid w:val="001241A7"/>
    <w:rsid w:val="00125F36"/>
    <w:rsid w:val="001272D4"/>
    <w:rsid w:val="001277E4"/>
    <w:rsid w:val="001318E4"/>
    <w:rsid w:val="00134484"/>
    <w:rsid w:val="00137160"/>
    <w:rsid w:val="0013726D"/>
    <w:rsid w:val="00142097"/>
    <w:rsid w:val="001440AD"/>
    <w:rsid w:val="00144B77"/>
    <w:rsid w:val="001467A4"/>
    <w:rsid w:val="00147A0C"/>
    <w:rsid w:val="00150707"/>
    <w:rsid w:val="0015509E"/>
    <w:rsid w:val="001570BA"/>
    <w:rsid w:val="001570DE"/>
    <w:rsid w:val="0015759A"/>
    <w:rsid w:val="001603CA"/>
    <w:rsid w:val="00161700"/>
    <w:rsid w:val="00161DDD"/>
    <w:rsid w:val="001624B3"/>
    <w:rsid w:val="00162BCC"/>
    <w:rsid w:val="0016475A"/>
    <w:rsid w:val="001709B8"/>
    <w:rsid w:val="00172A02"/>
    <w:rsid w:val="00172C53"/>
    <w:rsid w:val="00174410"/>
    <w:rsid w:val="00175CE3"/>
    <w:rsid w:val="00176B72"/>
    <w:rsid w:val="00176D49"/>
    <w:rsid w:val="00176D67"/>
    <w:rsid w:val="00177EDF"/>
    <w:rsid w:val="001821FB"/>
    <w:rsid w:val="00182225"/>
    <w:rsid w:val="001825A6"/>
    <w:rsid w:val="001826DB"/>
    <w:rsid w:val="00182C8B"/>
    <w:rsid w:val="00183F52"/>
    <w:rsid w:val="00185166"/>
    <w:rsid w:val="00185D8D"/>
    <w:rsid w:val="00187BFA"/>
    <w:rsid w:val="001923C2"/>
    <w:rsid w:val="00194FA1"/>
    <w:rsid w:val="001A1810"/>
    <w:rsid w:val="001A2099"/>
    <w:rsid w:val="001A33C3"/>
    <w:rsid w:val="001A4695"/>
    <w:rsid w:val="001A5455"/>
    <w:rsid w:val="001A56D3"/>
    <w:rsid w:val="001A697C"/>
    <w:rsid w:val="001B1A97"/>
    <w:rsid w:val="001C4AEE"/>
    <w:rsid w:val="001C4F65"/>
    <w:rsid w:val="001D16E3"/>
    <w:rsid w:val="001D1E20"/>
    <w:rsid w:val="001D56B0"/>
    <w:rsid w:val="001D6735"/>
    <w:rsid w:val="001E1FF1"/>
    <w:rsid w:val="001E4DED"/>
    <w:rsid w:val="001E60E5"/>
    <w:rsid w:val="001E689D"/>
    <w:rsid w:val="001E6D69"/>
    <w:rsid w:val="001E7488"/>
    <w:rsid w:val="001F030F"/>
    <w:rsid w:val="001F1264"/>
    <w:rsid w:val="001F1577"/>
    <w:rsid w:val="001F16E1"/>
    <w:rsid w:val="001F174F"/>
    <w:rsid w:val="001F1D51"/>
    <w:rsid w:val="001F2285"/>
    <w:rsid w:val="001F3B3C"/>
    <w:rsid w:val="001F475E"/>
    <w:rsid w:val="001F4C85"/>
    <w:rsid w:val="001F4F18"/>
    <w:rsid w:val="001F7A55"/>
    <w:rsid w:val="002005FD"/>
    <w:rsid w:val="00202243"/>
    <w:rsid w:val="00202CD2"/>
    <w:rsid w:val="00206B8D"/>
    <w:rsid w:val="002070A1"/>
    <w:rsid w:val="00211B0B"/>
    <w:rsid w:val="00212EBC"/>
    <w:rsid w:val="00217FAA"/>
    <w:rsid w:val="00225905"/>
    <w:rsid w:val="00225DB4"/>
    <w:rsid w:val="00230AF6"/>
    <w:rsid w:val="0023191C"/>
    <w:rsid w:val="00235245"/>
    <w:rsid w:val="002357DC"/>
    <w:rsid w:val="00235A1D"/>
    <w:rsid w:val="00240876"/>
    <w:rsid w:val="002416B7"/>
    <w:rsid w:val="00242AE1"/>
    <w:rsid w:val="00242CA5"/>
    <w:rsid w:val="00255D73"/>
    <w:rsid w:val="002579A9"/>
    <w:rsid w:val="0026063E"/>
    <w:rsid w:val="00260877"/>
    <w:rsid w:val="00264097"/>
    <w:rsid w:val="002646A9"/>
    <w:rsid w:val="00270D2E"/>
    <w:rsid w:val="0027385B"/>
    <w:rsid w:val="00277189"/>
    <w:rsid w:val="00280CA7"/>
    <w:rsid w:val="002833D3"/>
    <w:rsid w:val="002844CF"/>
    <w:rsid w:val="00290135"/>
    <w:rsid w:val="00296535"/>
    <w:rsid w:val="002966F9"/>
    <w:rsid w:val="00297254"/>
    <w:rsid w:val="00297E4B"/>
    <w:rsid w:val="002A23FA"/>
    <w:rsid w:val="002A2865"/>
    <w:rsid w:val="002A43FD"/>
    <w:rsid w:val="002A46A5"/>
    <w:rsid w:val="002A7477"/>
    <w:rsid w:val="002B2740"/>
    <w:rsid w:val="002B556B"/>
    <w:rsid w:val="002B781A"/>
    <w:rsid w:val="002C09F9"/>
    <w:rsid w:val="002C1239"/>
    <w:rsid w:val="002C33EF"/>
    <w:rsid w:val="002C3E1C"/>
    <w:rsid w:val="002C534C"/>
    <w:rsid w:val="002C635E"/>
    <w:rsid w:val="002D1562"/>
    <w:rsid w:val="002D57D1"/>
    <w:rsid w:val="002D6063"/>
    <w:rsid w:val="002D6B3C"/>
    <w:rsid w:val="002D74A7"/>
    <w:rsid w:val="002D78F7"/>
    <w:rsid w:val="002D7973"/>
    <w:rsid w:val="002E10D7"/>
    <w:rsid w:val="002E162F"/>
    <w:rsid w:val="002E69B5"/>
    <w:rsid w:val="002E7723"/>
    <w:rsid w:val="002F0EB3"/>
    <w:rsid w:val="002F2CE4"/>
    <w:rsid w:val="002F4084"/>
    <w:rsid w:val="002F6023"/>
    <w:rsid w:val="002F78A0"/>
    <w:rsid w:val="00300AD2"/>
    <w:rsid w:val="003025AE"/>
    <w:rsid w:val="00302D1C"/>
    <w:rsid w:val="00302D59"/>
    <w:rsid w:val="00307C8A"/>
    <w:rsid w:val="00311E6D"/>
    <w:rsid w:val="0031323C"/>
    <w:rsid w:val="00313BE1"/>
    <w:rsid w:val="00315009"/>
    <w:rsid w:val="003175A6"/>
    <w:rsid w:val="0032080F"/>
    <w:rsid w:val="00320B09"/>
    <w:rsid w:val="00323EA3"/>
    <w:rsid w:val="00326A88"/>
    <w:rsid w:val="00326B4C"/>
    <w:rsid w:val="00331752"/>
    <w:rsid w:val="00334726"/>
    <w:rsid w:val="00334C4B"/>
    <w:rsid w:val="003358F6"/>
    <w:rsid w:val="00336025"/>
    <w:rsid w:val="00340BF5"/>
    <w:rsid w:val="003419D5"/>
    <w:rsid w:val="00342118"/>
    <w:rsid w:val="00342FFD"/>
    <w:rsid w:val="0034541E"/>
    <w:rsid w:val="003473A3"/>
    <w:rsid w:val="003479F5"/>
    <w:rsid w:val="00347AAD"/>
    <w:rsid w:val="00347CC0"/>
    <w:rsid w:val="00352A90"/>
    <w:rsid w:val="003547F1"/>
    <w:rsid w:val="00354F94"/>
    <w:rsid w:val="00356258"/>
    <w:rsid w:val="00361DC7"/>
    <w:rsid w:val="00362F48"/>
    <w:rsid w:val="0036551D"/>
    <w:rsid w:val="00365DCE"/>
    <w:rsid w:val="0036673C"/>
    <w:rsid w:val="00366DD2"/>
    <w:rsid w:val="00370070"/>
    <w:rsid w:val="00373339"/>
    <w:rsid w:val="00374027"/>
    <w:rsid w:val="00374280"/>
    <w:rsid w:val="00375C58"/>
    <w:rsid w:val="00381375"/>
    <w:rsid w:val="003825E9"/>
    <w:rsid w:val="00382A3A"/>
    <w:rsid w:val="00382D92"/>
    <w:rsid w:val="003833BA"/>
    <w:rsid w:val="00383B7D"/>
    <w:rsid w:val="00385BB3"/>
    <w:rsid w:val="00390363"/>
    <w:rsid w:val="003918EC"/>
    <w:rsid w:val="00393AE5"/>
    <w:rsid w:val="003946D9"/>
    <w:rsid w:val="00396743"/>
    <w:rsid w:val="003A0172"/>
    <w:rsid w:val="003A07B7"/>
    <w:rsid w:val="003A16D6"/>
    <w:rsid w:val="003A1C6D"/>
    <w:rsid w:val="003A22F3"/>
    <w:rsid w:val="003A347C"/>
    <w:rsid w:val="003A3B05"/>
    <w:rsid w:val="003B190B"/>
    <w:rsid w:val="003B1D2C"/>
    <w:rsid w:val="003B4573"/>
    <w:rsid w:val="003B551C"/>
    <w:rsid w:val="003B5AE5"/>
    <w:rsid w:val="003C2897"/>
    <w:rsid w:val="003C3069"/>
    <w:rsid w:val="003C4268"/>
    <w:rsid w:val="003C58DA"/>
    <w:rsid w:val="003D14E8"/>
    <w:rsid w:val="003D2154"/>
    <w:rsid w:val="003D3575"/>
    <w:rsid w:val="003D3E04"/>
    <w:rsid w:val="003D3E8C"/>
    <w:rsid w:val="003D41D0"/>
    <w:rsid w:val="003D5D30"/>
    <w:rsid w:val="003D7BED"/>
    <w:rsid w:val="003E225D"/>
    <w:rsid w:val="003E2ACD"/>
    <w:rsid w:val="003E7291"/>
    <w:rsid w:val="003E75A7"/>
    <w:rsid w:val="003F0657"/>
    <w:rsid w:val="003F1685"/>
    <w:rsid w:val="003F23A8"/>
    <w:rsid w:val="003F5446"/>
    <w:rsid w:val="003F5B85"/>
    <w:rsid w:val="003F6B35"/>
    <w:rsid w:val="004013CB"/>
    <w:rsid w:val="00402F8B"/>
    <w:rsid w:val="00403B42"/>
    <w:rsid w:val="00403F05"/>
    <w:rsid w:val="00404552"/>
    <w:rsid w:val="004052D2"/>
    <w:rsid w:val="00405F55"/>
    <w:rsid w:val="00411973"/>
    <w:rsid w:val="00415231"/>
    <w:rsid w:val="004158A5"/>
    <w:rsid w:val="00416639"/>
    <w:rsid w:val="004175E6"/>
    <w:rsid w:val="00421F3E"/>
    <w:rsid w:val="00422A43"/>
    <w:rsid w:val="004272E1"/>
    <w:rsid w:val="004303F0"/>
    <w:rsid w:val="00430680"/>
    <w:rsid w:val="00432307"/>
    <w:rsid w:val="00432863"/>
    <w:rsid w:val="00435E84"/>
    <w:rsid w:val="00436B52"/>
    <w:rsid w:val="00437453"/>
    <w:rsid w:val="00440B48"/>
    <w:rsid w:val="0044168B"/>
    <w:rsid w:val="00445862"/>
    <w:rsid w:val="0045598B"/>
    <w:rsid w:val="0045746F"/>
    <w:rsid w:val="004610D9"/>
    <w:rsid w:val="004626DD"/>
    <w:rsid w:val="00462D4B"/>
    <w:rsid w:val="004632CC"/>
    <w:rsid w:val="00463DB3"/>
    <w:rsid w:val="00463E3F"/>
    <w:rsid w:val="00465FA3"/>
    <w:rsid w:val="00466587"/>
    <w:rsid w:val="00467604"/>
    <w:rsid w:val="00470623"/>
    <w:rsid w:val="00470C17"/>
    <w:rsid w:val="00471BDC"/>
    <w:rsid w:val="0047255D"/>
    <w:rsid w:val="00472862"/>
    <w:rsid w:val="004757FC"/>
    <w:rsid w:val="00475FDD"/>
    <w:rsid w:val="0047722C"/>
    <w:rsid w:val="0047768D"/>
    <w:rsid w:val="004824E4"/>
    <w:rsid w:val="00483398"/>
    <w:rsid w:val="004835B2"/>
    <w:rsid w:val="0048472B"/>
    <w:rsid w:val="00490CD0"/>
    <w:rsid w:val="00493897"/>
    <w:rsid w:val="004944EF"/>
    <w:rsid w:val="0049455D"/>
    <w:rsid w:val="004946F3"/>
    <w:rsid w:val="00494718"/>
    <w:rsid w:val="00494EF9"/>
    <w:rsid w:val="00495E47"/>
    <w:rsid w:val="00497150"/>
    <w:rsid w:val="00497C7C"/>
    <w:rsid w:val="004A077A"/>
    <w:rsid w:val="004A1D9F"/>
    <w:rsid w:val="004A2044"/>
    <w:rsid w:val="004A40DA"/>
    <w:rsid w:val="004A429A"/>
    <w:rsid w:val="004A43A0"/>
    <w:rsid w:val="004B05D1"/>
    <w:rsid w:val="004B1269"/>
    <w:rsid w:val="004B5113"/>
    <w:rsid w:val="004B5E50"/>
    <w:rsid w:val="004B778C"/>
    <w:rsid w:val="004C00A8"/>
    <w:rsid w:val="004C0C02"/>
    <w:rsid w:val="004C16A3"/>
    <w:rsid w:val="004C26E7"/>
    <w:rsid w:val="004C4C93"/>
    <w:rsid w:val="004C621D"/>
    <w:rsid w:val="004C6D2B"/>
    <w:rsid w:val="004D39BD"/>
    <w:rsid w:val="004D5D42"/>
    <w:rsid w:val="004D7D8B"/>
    <w:rsid w:val="004E052D"/>
    <w:rsid w:val="004E0E66"/>
    <w:rsid w:val="004E2239"/>
    <w:rsid w:val="004E33D2"/>
    <w:rsid w:val="004F08C6"/>
    <w:rsid w:val="004F0AD4"/>
    <w:rsid w:val="004F396D"/>
    <w:rsid w:val="004F480A"/>
    <w:rsid w:val="004F78BB"/>
    <w:rsid w:val="004F78FB"/>
    <w:rsid w:val="005058A8"/>
    <w:rsid w:val="00505DC9"/>
    <w:rsid w:val="00510FC9"/>
    <w:rsid w:val="0051148E"/>
    <w:rsid w:val="00513777"/>
    <w:rsid w:val="00513AE1"/>
    <w:rsid w:val="005170D9"/>
    <w:rsid w:val="00517CFE"/>
    <w:rsid w:val="00522A23"/>
    <w:rsid w:val="00523C94"/>
    <w:rsid w:val="00524C58"/>
    <w:rsid w:val="0052674A"/>
    <w:rsid w:val="00527FDD"/>
    <w:rsid w:val="005334EE"/>
    <w:rsid w:val="00534AA0"/>
    <w:rsid w:val="005378E8"/>
    <w:rsid w:val="00537EA0"/>
    <w:rsid w:val="005418D4"/>
    <w:rsid w:val="00541FA0"/>
    <w:rsid w:val="005423D4"/>
    <w:rsid w:val="00542903"/>
    <w:rsid w:val="00545F8F"/>
    <w:rsid w:val="00546EDB"/>
    <w:rsid w:val="005508F6"/>
    <w:rsid w:val="005616D0"/>
    <w:rsid w:val="0056175A"/>
    <w:rsid w:val="00561C7D"/>
    <w:rsid w:val="005620AD"/>
    <w:rsid w:val="0056245C"/>
    <w:rsid w:val="00563677"/>
    <w:rsid w:val="00563E74"/>
    <w:rsid w:val="00566D6D"/>
    <w:rsid w:val="00567062"/>
    <w:rsid w:val="00571B52"/>
    <w:rsid w:val="00571C3F"/>
    <w:rsid w:val="00572A4D"/>
    <w:rsid w:val="00572E51"/>
    <w:rsid w:val="005730BE"/>
    <w:rsid w:val="00573A35"/>
    <w:rsid w:val="005819D7"/>
    <w:rsid w:val="005821B9"/>
    <w:rsid w:val="005828EC"/>
    <w:rsid w:val="0058333E"/>
    <w:rsid w:val="0058628A"/>
    <w:rsid w:val="0059645D"/>
    <w:rsid w:val="0059716F"/>
    <w:rsid w:val="005A10AA"/>
    <w:rsid w:val="005A203A"/>
    <w:rsid w:val="005A2C8D"/>
    <w:rsid w:val="005A5296"/>
    <w:rsid w:val="005A6B28"/>
    <w:rsid w:val="005A70E4"/>
    <w:rsid w:val="005A7C0B"/>
    <w:rsid w:val="005B2D78"/>
    <w:rsid w:val="005C1374"/>
    <w:rsid w:val="005C233F"/>
    <w:rsid w:val="005C34ED"/>
    <w:rsid w:val="005C379A"/>
    <w:rsid w:val="005C5730"/>
    <w:rsid w:val="005C6B93"/>
    <w:rsid w:val="005C7FF2"/>
    <w:rsid w:val="005D3154"/>
    <w:rsid w:val="005D5631"/>
    <w:rsid w:val="005D67CF"/>
    <w:rsid w:val="005D6A38"/>
    <w:rsid w:val="005D7EA1"/>
    <w:rsid w:val="005E1575"/>
    <w:rsid w:val="005E2792"/>
    <w:rsid w:val="005E3363"/>
    <w:rsid w:val="005E51EB"/>
    <w:rsid w:val="005E7727"/>
    <w:rsid w:val="005E778C"/>
    <w:rsid w:val="005F4470"/>
    <w:rsid w:val="005F4485"/>
    <w:rsid w:val="005F7289"/>
    <w:rsid w:val="005F72D5"/>
    <w:rsid w:val="005F7D12"/>
    <w:rsid w:val="005F7D8F"/>
    <w:rsid w:val="006001B5"/>
    <w:rsid w:val="006025B8"/>
    <w:rsid w:val="00604E85"/>
    <w:rsid w:val="00605CCE"/>
    <w:rsid w:val="00606B26"/>
    <w:rsid w:val="00610B12"/>
    <w:rsid w:val="00617DAF"/>
    <w:rsid w:val="00620464"/>
    <w:rsid w:val="00622B5A"/>
    <w:rsid w:val="00623910"/>
    <w:rsid w:val="006253B8"/>
    <w:rsid w:val="00625843"/>
    <w:rsid w:val="00626899"/>
    <w:rsid w:val="00633E0C"/>
    <w:rsid w:val="0063621F"/>
    <w:rsid w:val="00637C02"/>
    <w:rsid w:val="00641335"/>
    <w:rsid w:val="00644A37"/>
    <w:rsid w:val="00645E53"/>
    <w:rsid w:val="00645F94"/>
    <w:rsid w:val="00646BD7"/>
    <w:rsid w:val="00650AB6"/>
    <w:rsid w:val="00651621"/>
    <w:rsid w:val="0065250C"/>
    <w:rsid w:val="006528EB"/>
    <w:rsid w:val="00652FB8"/>
    <w:rsid w:val="00660DF3"/>
    <w:rsid w:val="00660F50"/>
    <w:rsid w:val="00663861"/>
    <w:rsid w:val="006639A2"/>
    <w:rsid w:val="00666179"/>
    <w:rsid w:val="00666230"/>
    <w:rsid w:val="0066740C"/>
    <w:rsid w:val="006675F4"/>
    <w:rsid w:val="0066792E"/>
    <w:rsid w:val="006719A6"/>
    <w:rsid w:val="00672F57"/>
    <w:rsid w:val="006733B2"/>
    <w:rsid w:val="0067385B"/>
    <w:rsid w:val="00673DE9"/>
    <w:rsid w:val="00674E2A"/>
    <w:rsid w:val="006762B6"/>
    <w:rsid w:val="00677514"/>
    <w:rsid w:val="00677A1D"/>
    <w:rsid w:val="0068098A"/>
    <w:rsid w:val="006822A0"/>
    <w:rsid w:val="0068382E"/>
    <w:rsid w:val="00683CD7"/>
    <w:rsid w:val="00685861"/>
    <w:rsid w:val="0068718C"/>
    <w:rsid w:val="00690437"/>
    <w:rsid w:val="006960B1"/>
    <w:rsid w:val="006A0CB2"/>
    <w:rsid w:val="006A1A4D"/>
    <w:rsid w:val="006A3645"/>
    <w:rsid w:val="006A559A"/>
    <w:rsid w:val="006A7FAE"/>
    <w:rsid w:val="006B02ED"/>
    <w:rsid w:val="006B1AAE"/>
    <w:rsid w:val="006B3315"/>
    <w:rsid w:val="006C1F81"/>
    <w:rsid w:val="006C4435"/>
    <w:rsid w:val="006C653A"/>
    <w:rsid w:val="006C7D0F"/>
    <w:rsid w:val="006C7E7D"/>
    <w:rsid w:val="006D1583"/>
    <w:rsid w:val="006E0544"/>
    <w:rsid w:val="006E2F51"/>
    <w:rsid w:val="006F6882"/>
    <w:rsid w:val="007014F7"/>
    <w:rsid w:val="00701611"/>
    <w:rsid w:val="00704065"/>
    <w:rsid w:val="00710EC0"/>
    <w:rsid w:val="0071174E"/>
    <w:rsid w:val="00711E34"/>
    <w:rsid w:val="0071356C"/>
    <w:rsid w:val="00713EA8"/>
    <w:rsid w:val="00716D50"/>
    <w:rsid w:val="00717D61"/>
    <w:rsid w:val="00721DFA"/>
    <w:rsid w:val="007243BC"/>
    <w:rsid w:val="00725AEE"/>
    <w:rsid w:val="007269BA"/>
    <w:rsid w:val="00727005"/>
    <w:rsid w:val="00730C24"/>
    <w:rsid w:val="0073299E"/>
    <w:rsid w:val="0073489C"/>
    <w:rsid w:val="00734EA9"/>
    <w:rsid w:val="007357B2"/>
    <w:rsid w:val="00736507"/>
    <w:rsid w:val="00740893"/>
    <w:rsid w:val="00742D54"/>
    <w:rsid w:val="0074348B"/>
    <w:rsid w:val="00743ADE"/>
    <w:rsid w:val="00751023"/>
    <w:rsid w:val="00751B02"/>
    <w:rsid w:val="00754036"/>
    <w:rsid w:val="007570D2"/>
    <w:rsid w:val="00757400"/>
    <w:rsid w:val="00762F15"/>
    <w:rsid w:val="00762FF1"/>
    <w:rsid w:val="007654BD"/>
    <w:rsid w:val="0077095B"/>
    <w:rsid w:val="0077290D"/>
    <w:rsid w:val="00772A54"/>
    <w:rsid w:val="00780C37"/>
    <w:rsid w:val="00782E94"/>
    <w:rsid w:val="007833AA"/>
    <w:rsid w:val="00783548"/>
    <w:rsid w:val="0078625D"/>
    <w:rsid w:val="00786726"/>
    <w:rsid w:val="00787A58"/>
    <w:rsid w:val="00791D49"/>
    <w:rsid w:val="007925F7"/>
    <w:rsid w:val="00792A3D"/>
    <w:rsid w:val="00795F56"/>
    <w:rsid w:val="00797C51"/>
    <w:rsid w:val="007A0ADE"/>
    <w:rsid w:val="007A23DF"/>
    <w:rsid w:val="007A4674"/>
    <w:rsid w:val="007A5AA8"/>
    <w:rsid w:val="007A7F99"/>
    <w:rsid w:val="007B09D6"/>
    <w:rsid w:val="007B15F7"/>
    <w:rsid w:val="007B3025"/>
    <w:rsid w:val="007B38FF"/>
    <w:rsid w:val="007B39DF"/>
    <w:rsid w:val="007B64E6"/>
    <w:rsid w:val="007B799F"/>
    <w:rsid w:val="007C18A2"/>
    <w:rsid w:val="007C1F6D"/>
    <w:rsid w:val="007C27D8"/>
    <w:rsid w:val="007C2EA6"/>
    <w:rsid w:val="007C3598"/>
    <w:rsid w:val="007C411A"/>
    <w:rsid w:val="007C4462"/>
    <w:rsid w:val="007C6171"/>
    <w:rsid w:val="007C7AFF"/>
    <w:rsid w:val="007D1728"/>
    <w:rsid w:val="007D223D"/>
    <w:rsid w:val="007D271F"/>
    <w:rsid w:val="007D2A90"/>
    <w:rsid w:val="007D3FFF"/>
    <w:rsid w:val="007D5004"/>
    <w:rsid w:val="007D563B"/>
    <w:rsid w:val="007E01C4"/>
    <w:rsid w:val="007E1B1B"/>
    <w:rsid w:val="007E3155"/>
    <w:rsid w:val="007E4B1F"/>
    <w:rsid w:val="007E4CCB"/>
    <w:rsid w:val="007E6146"/>
    <w:rsid w:val="007E7D36"/>
    <w:rsid w:val="007F0894"/>
    <w:rsid w:val="007F6496"/>
    <w:rsid w:val="0080192D"/>
    <w:rsid w:val="00802151"/>
    <w:rsid w:val="00803556"/>
    <w:rsid w:val="008050E3"/>
    <w:rsid w:val="00807695"/>
    <w:rsid w:val="00811062"/>
    <w:rsid w:val="0081158F"/>
    <w:rsid w:val="00812EA6"/>
    <w:rsid w:val="00813EB4"/>
    <w:rsid w:val="00814065"/>
    <w:rsid w:val="00815C47"/>
    <w:rsid w:val="00817856"/>
    <w:rsid w:val="00820373"/>
    <w:rsid w:val="008206AB"/>
    <w:rsid w:val="00820CC6"/>
    <w:rsid w:val="00821E18"/>
    <w:rsid w:val="00821F76"/>
    <w:rsid w:val="00822AE5"/>
    <w:rsid w:val="00824D72"/>
    <w:rsid w:val="0082502C"/>
    <w:rsid w:val="00827A18"/>
    <w:rsid w:val="00830223"/>
    <w:rsid w:val="00830EF9"/>
    <w:rsid w:val="008320D1"/>
    <w:rsid w:val="0083234B"/>
    <w:rsid w:val="008344F2"/>
    <w:rsid w:val="0083457C"/>
    <w:rsid w:val="00835127"/>
    <w:rsid w:val="00837D26"/>
    <w:rsid w:val="008454ED"/>
    <w:rsid w:val="00847E31"/>
    <w:rsid w:val="00852DC1"/>
    <w:rsid w:val="008530C5"/>
    <w:rsid w:val="00854353"/>
    <w:rsid w:val="00855D95"/>
    <w:rsid w:val="008569F4"/>
    <w:rsid w:val="00857870"/>
    <w:rsid w:val="00860353"/>
    <w:rsid w:val="008624D4"/>
    <w:rsid w:val="00866B9C"/>
    <w:rsid w:val="008671C7"/>
    <w:rsid w:val="00870BD5"/>
    <w:rsid w:val="008717B8"/>
    <w:rsid w:val="00871F71"/>
    <w:rsid w:val="00873938"/>
    <w:rsid w:val="00875DE2"/>
    <w:rsid w:val="008779EB"/>
    <w:rsid w:val="00880B1D"/>
    <w:rsid w:val="00886654"/>
    <w:rsid w:val="008936D7"/>
    <w:rsid w:val="00895075"/>
    <w:rsid w:val="00896FA1"/>
    <w:rsid w:val="008A32E2"/>
    <w:rsid w:val="008A77AC"/>
    <w:rsid w:val="008B010E"/>
    <w:rsid w:val="008B024D"/>
    <w:rsid w:val="008B0E06"/>
    <w:rsid w:val="008B1D9B"/>
    <w:rsid w:val="008B242B"/>
    <w:rsid w:val="008B52CC"/>
    <w:rsid w:val="008B7AD7"/>
    <w:rsid w:val="008C4074"/>
    <w:rsid w:val="008C5031"/>
    <w:rsid w:val="008C66E1"/>
    <w:rsid w:val="008C7F55"/>
    <w:rsid w:val="008D28C0"/>
    <w:rsid w:val="008D5A85"/>
    <w:rsid w:val="008D784C"/>
    <w:rsid w:val="008E2039"/>
    <w:rsid w:val="008E7C92"/>
    <w:rsid w:val="008F04BA"/>
    <w:rsid w:val="008F05A1"/>
    <w:rsid w:val="008F1403"/>
    <w:rsid w:val="008F20F0"/>
    <w:rsid w:val="008F3F6F"/>
    <w:rsid w:val="008F48E1"/>
    <w:rsid w:val="008F6158"/>
    <w:rsid w:val="00901AA5"/>
    <w:rsid w:val="00902575"/>
    <w:rsid w:val="00902F28"/>
    <w:rsid w:val="009132F9"/>
    <w:rsid w:val="00914585"/>
    <w:rsid w:val="00914B2C"/>
    <w:rsid w:val="009164DF"/>
    <w:rsid w:val="0091703C"/>
    <w:rsid w:val="00917DD3"/>
    <w:rsid w:val="00920DA1"/>
    <w:rsid w:val="00923FE1"/>
    <w:rsid w:val="0092439C"/>
    <w:rsid w:val="00924592"/>
    <w:rsid w:val="009249BA"/>
    <w:rsid w:val="0093110B"/>
    <w:rsid w:val="00931991"/>
    <w:rsid w:val="00931ADC"/>
    <w:rsid w:val="00935C2D"/>
    <w:rsid w:val="00940BB3"/>
    <w:rsid w:val="0094195B"/>
    <w:rsid w:val="00943055"/>
    <w:rsid w:val="00950D4E"/>
    <w:rsid w:val="00951844"/>
    <w:rsid w:val="0095606A"/>
    <w:rsid w:val="00956090"/>
    <w:rsid w:val="009577C7"/>
    <w:rsid w:val="00961EE9"/>
    <w:rsid w:val="00962E2C"/>
    <w:rsid w:val="0096304F"/>
    <w:rsid w:val="00963892"/>
    <w:rsid w:val="00963AF7"/>
    <w:rsid w:val="00965B5E"/>
    <w:rsid w:val="00965DBC"/>
    <w:rsid w:val="009665FC"/>
    <w:rsid w:val="00966627"/>
    <w:rsid w:val="00971737"/>
    <w:rsid w:val="009722D2"/>
    <w:rsid w:val="00973552"/>
    <w:rsid w:val="009748C9"/>
    <w:rsid w:val="009760C4"/>
    <w:rsid w:val="009767AA"/>
    <w:rsid w:val="0097735A"/>
    <w:rsid w:val="00977C90"/>
    <w:rsid w:val="00981396"/>
    <w:rsid w:val="00981769"/>
    <w:rsid w:val="00982E49"/>
    <w:rsid w:val="00983BDC"/>
    <w:rsid w:val="00991917"/>
    <w:rsid w:val="00991CAE"/>
    <w:rsid w:val="00994E19"/>
    <w:rsid w:val="00994F6E"/>
    <w:rsid w:val="009957E7"/>
    <w:rsid w:val="00997903"/>
    <w:rsid w:val="009A3781"/>
    <w:rsid w:val="009A473D"/>
    <w:rsid w:val="009A6CCE"/>
    <w:rsid w:val="009A7F6B"/>
    <w:rsid w:val="009B1CA1"/>
    <w:rsid w:val="009B299A"/>
    <w:rsid w:val="009B738A"/>
    <w:rsid w:val="009C27BB"/>
    <w:rsid w:val="009C50B2"/>
    <w:rsid w:val="009D2AD1"/>
    <w:rsid w:val="009D2D7A"/>
    <w:rsid w:val="009D4CAF"/>
    <w:rsid w:val="009D6BD0"/>
    <w:rsid w:val="009D72D9"/>
    <w:rsid w:val="009E011F"/>
    <w:rsid w:val="009E21DF"/>
    <w:rsid w:val="009E2369"/>
    <w:rsid w:val="009E38DD"/>
    <w:rsid w:val="009E6CB8"/>
    <w:rsid w:val="009E7F67"/>
    <w:rsid w:val="009F2F19"/>
    <w:rsid w:val="009F35E4"/>
    <w:rsid w:val="009F3890"/>
    <w:rsid w:val="009F41CE"/>
    <w:rsid w:val="009F7A45"/>
    <w:rsid w:val="00A01684"/>
    <w:rsid w:val="00A03564"/>
    <w:rsid w:val="00A03910"/>
    <w:rsid w:val="00A04982"/>
    <w:rsid w:val="00A06209"/>
    <w:rsid w:val="00A06B5B"/>
    <w:rsid w:val="00A10376"/>
    <w:rsid w:val="00A10D24"/>
    <w:rsid w:val="00A11845"/>
    <w:rsid w:val="00A14378"/>
    <w:rsid w:val="00A14494"/>
    <w:rsid w:val="00A1516F"/>
    <w:rsid w:val="00A1536B"/>
    <w:rsid w:val="00A15F43"/>
    <w:rsid w:val="00A2207D"/>
    <w:rsid w:val="00A231D7"/>
    <w:rsid w:val="00A25507"/>
    <w:rsid w:val="00A25627"/>
    <w:rsid w:val="00A264E6"/>
    <w:rsid w:val="00A30615"/>
    <w:rsid w:val="00A309C2"/>
    <w:rsid w:val="00A32A40"/>
    <w:rsid w:val="00A336CF"/>
    <w:rsid w:val="00A35CDE"/>
    <w:rsid w:val="00A37D5B"/>
    <w:rsid w:val="00A42E32"/>
    <w:rsid w:val="00A4418A"/>
    <w:rsid w:val="00A4516B"/>
    <w:rsid w:val="00A45A39"/>
    <w:rsid w:val="00A47146"/>
    <w:rsid w:val="00A5019F"/>
    <w:rsid w:val="00A55369"/>
    <w:rsid w:val="00A601DC"/>
    <w:rsid w:val="00A6068F"/>
    <w:rsid w:val="00A60EA6"/>
    <w:rsid w:val="00A65CD3"/>
    <w:rsid w:val="00A65E89"/>
    <w:rsid w:val="00A7152B"/>
    <w:rsid w:val="00A75B0B"/>
    <w:rsid w:val="00A8107F"/>
    <w:rsid w:val="00A811C8"/>
    <w:rsid w:val="00A81A8D"/>
    <w:rsid w:val="00A8375C"/>
    <w:rsid w:val="00A84AB8"/>
    <w:rsid w:val="00A84F45"/>
    <w:rsid w:val="00A87860"/>
    <w:rsid w:val="00A915D4"/>
    <w:rsid w:val="00A92A0A"/>
    <w:rsid w:val="00A935D7"/>
    <w:rsid w:val="00A93751"/>
    <w:rsid w:val="00A94174"/>
    <w:rsid w:val="00A941B7"/>
    <w:rsid w:val="00A95C77"/>
    <w:rsid w:val="00A96532"/>
    <w:rsid w:val="00AA06EF"/>
    <w:rsid w:val="00AA4C8E"/>
    <w:rsid w:val="00AA5366"/>
    <w:rsid w:val="00AA54A9"/>
    <w:rsid w:val="00AB2528"/>
    <w:rsid w:val="00AB467A"/>
    <w:rsid w:val="00AB4FE5"/>
    <w:rsid w:val="00AB7748"/>
    <w:rsid w:val="00AC0402"/>
    <w:rsid w:val="00AC2A6D"/>
    <w:rsid w:val="00AC2D1C"/>
    <w:rsid w:val="00AC44C4"/>
    <w:rsid w:val="00AC48DA"/>
    <w:rsid w:val="00AC514E"/>
    <w:rsid w:val="00AC6B55"/>
    <w:rsid w:val="00AC7B5D"/>
    <w:rsid w:val="00AC7F4F"/>
    <w:rsid w:val="00AD3301"/>
    <w:rsid w:val="00AD4B51"/>
    <w:rsid w:val="00AD79B5"/>
    <w:rsid w:val="00AE14B7"/>
    <w:rsid w:val="00AE1521"/>
    <w:rsid w:val="00AE1590"/>
    <w:rsid w:val="00AE3716"/>
    <w:rsid w:val="00AE486A"/>
    <w:rsid w:val="00AE55E1"/>
    <w:rsid w:val="00AE677C"/>
    <w:rsid w:val="00AE6930"/>
    <w:rsid w:val="00AE6B5C"/>
    <w:rsid w:val="00AF05F6"/>
    <w:rsid w:val="00AF5579"/>
    <w:rsid w:val="00AF69B2"/>
    <w:rsid w:val="00B00A3E"/>
    <w:rsid w:val="00B02712"/>
    <w:rsid w:val="00B05D55"/>
    <w:rsid w:val="00B05E0C"/>
    <w:rsid w:val="00B0606B"/>
    <w:rsid w:val="00B0757E"/>
    <w:rsid w:val="00B0759A"/>
    <w:rsid w:val="00B12523"/>
    <w:rsid w:val="00B148C8"/>
    <w:rsid w:val="00B151B5"/>
    <w:rsid w:val="00B1663C"/>
    <w:rsid w:val="00B16D77"/>
    <w:rsid w:val="00B20229"/>
    <w:rsid w:val="00B209F8"/>
    <w:rsid w:val="00B20B55"/>
    <w:rsid w:val="00B20BE9"/>
    <w:rsid w:val="00B229F8"/>
    <w:rsid w:val="00B23880"/>
    <w:rsid w:val="00B25275"/>
    <w:rsid w:val="00B25476"/>
    <w:rsid w:val="00B258A4"/>
    <w:rsid w:val="00B263F1"/>
    <w:rsid w:val="00B27763"/>
    <w:rsid w:val="00B31699"/>
    <w:rsid w:val="00B33A2E"/>
    <w:rsid w:val="00B348BA"/>
    <w:rsid w:val="00B3498B"/>
    <w:rsid w:val="00B351F3"/>
    <w:rsid w:val="00B365F4"/>
    <w:rsid w:val="00B40A43"/>
    <w:rsid w:val="00B41089"/>
    <w:rsid w:val="00B412E8"/>
    <w:rsid w:val="00B440C1"/>
    <w:rsid w:val="00B45064"/>
    <w:rsid w:val="00B455D0"/>
    <w:rsid w:val="00B60A0F"/>
    <w:rsid w:val="00B61E99"/>
    <w:rsid w:val="00B634CC"/>
    <w:rsid w:val="00B63D74"/>
    <w:rsid w:val="00B65F06"/>
    <w:rsid w:val="00B6706B"/>
    <w:rsid w:val="00B671F5"/>
    <w:rsid w:val="00B67225"/>
    <w:rsid w:val="00B67DFC"/>
    <w:rsid w:val="00B71344"/>
    <w:rsid w:val="00B720B5"/>
    <w:rsid w:val="00B73E56"/>
    <w:rsid w:val="00B74CA5"/>
    <w:rsid w:val="00B7531B"/>
    <w:rsid w:val="00B75F2B"/>
    <w:rsid w:val="00B7639F"/>
    <w:rsid w:val="00B76905"/>
    <w:rsid w:val="00B8025E"/>
    <w:rsid w:val="00B81E12"/>
    <w:rsid w:val="00B8349A"/>
    <w:rsid w:val="00B8491F"/>
    <w:rsid w:val="00B84F69"/>
    <w:rsid w:val="00B85ADE"/>
    <w:rsid w:val="00B85D32"/>
    <w:rsid w:val="00B908FB"/>
    <w:rsid w:val="00B92246"/>
    <w:rsid w:val="00B968F1"/>
    <w:rsid w:val="00B97649"/>
    <w:rsid w:val="00BA10D6"/>
    <w:rsid w:val="00BA2C8D"/>
    <w:rsid w:val="00BB0BC1"/>
    <w:rsid w:val="00BB0C15"/>
    <w:rsid w:val="00BB0DE4"/>
    <w:rsid w:val="00BB12C7"/>
    <w:rsid w:val="00BB2861"/>
    <w:rsid w:val="00BC29DA"/>
    <w:rsid w:val="00BC4C87"/>
    <w:rsid w:val="00BD1BFC"/>
    <w:rsid w:val="00BD2003"/>
    <w:rsid w:val="00BD3956"/>
    <w:rsid w:val="00BD3C76"/>
    <w:rsid w:val="00BD6631"/>
    <w:rsid w:val="00BE1D20"/>
    <w:rsid w:val="00BE2EAF"/>
    <w:rsid w:val="00BE33A5"/>
    <w:rsid w:val="00BE4771"/>
    <w:rsid w:val="00BE47D4"/>
    <w:rsid w:val="00BE79E3"/>
    <w:rsid w:val="00BF0AF8"/>
    <w:rsid w:val="00BF4EC2"/>
    <w:rsid w:val="00BF5D18"/>
    <w:rsid w:val="00BF62DA"/>
    <w:rsid w:val="00C0011B"/>
    <w:rsid w:val="00C01CE8"/>
    <w:rsid w:val="00C0253E"/>
    <w:rsid w:val="00C035D0"/>
    <w:rsid w:val="00C0429D"/>
    <w:rsid w:val="00C05007"/>
    <w:rsid w:val="00C129D4"/>
    <w:rsid w:val="00C14106"/>
    <w:rsid w:val="00C1473A"/>
    <w:rsid w:val="00C15780"/>
    <w:rsid w:val="00C16389"/>
    <w:rsid w:val="00C206AD"/>
    <w:rsid w:val="00C2105E"/>
    <w:rsid w:val="00C2146D"/>
    <w:rsid w:val="00C222BC"/>
    <w:rsid w:val="00C22471"/>
    <w:rsid w:val="00C24C6C"/>
    <w:rsid w:val="00C31C53"/>
    <w:rsid w:val="00C34B77"/>
    <w:rsid w:val="00C36EC0"/>
    <w:rsid w:val="00C407ED"/>
    <w:rsid w:val="00C4091B"/>
    <w:rsid w:val="00C417DA"/>
    <w:rsid w:val="00C41859"/>
    <w:rsid w:val="00C427E7"/>
    <w:rsid w:val="00C454CF"/>
    <w:rsid w:val="00C45CC5"/>
    <w:rsid w:val="00C5177B"/>
    <w:rsid w:val="00C51EC1"/>
    <w:rsid w:val="00C540B5"/>
    <w:rsid w:val="00C555FD"/>
    <w:rsid w:val="00C60EBE"/>
    <w:rsid w:val="00C66222"/>
    <w:rsid w:val="00C70D98"/>
    <w:rsid w:val="00C72828"/>
    <w:rsid w:val="00C73559"/>
    <w:rsid w:val="00C75088"/>
    <w:rsid w:val="00C75888"/>
    <w:rsid w:val="00C77F32"/>
    <w:rsid w:val="00C83319"/>
    <w:rsid w:val="00C857FE"/>
    <w:rsid w:val="00C86EDD"/>
    <w:rsid w:val="00C87581"/>
    <w:rsid w:val="00C87BAF"/>
    <w:rsid w:val="00CA022A"/>
    <w:rsid w:val="00CA1626"/>
    <w:rsid w:val="00CA26C5"/>
    <w:rsid w:val="00CA2BB5"/>
    <w:rsid w:val="00CA3D55"/>
    <w:rsid w:val="00CA3E57"/>
    <w:rsid w:val="00CA4023"/>
    <w:rsid w:val="00CA688B"/>
    <w:rsid w:val="00CB0955"/>
    <w:rsid w:val="00CB0F22"/>
    <w:rsid w:val="00CB221E"/>
    <w:rsid w:val="00CB41B7"/>
    <w:rsid w:val="00CB5EC9"/>
    <w:rsid w:val="00CC2311"/>
    <w:rsid w:val="00CC44D8"/>
    <w:rsid w:val="00CC4FC3"/>
    <w:rsid w:val="00CC5036"/>
    <w:rsid w:val="00CD355B"/>
    <w:rsid w:val="00CD3B6A"/>
    <w:rsid w:val="00CD79C4"/>
    <w:rsid w:val="00CE4A8F"/>
    <w:rsid w:val="00CE5C31"/>
    <w:rsid w:val="00CE641F"/>
    <w:rsid w:val="00CE702F"/>
    <w:rsid w:val="00CE71E7"/>
    <w:rsid w:val="00CE7E4D"/>
    <w:rsid w:val="00CF037C"/>
    <w:rsid w:val="00CF0E17"/>
    <w:rsid w:val="00CF1CEE"/>
    <w:rsid w:val="00CF2DBE"/>
    <w:rsid w:val="00CF2DD7"/>
    <w:rsid w:val="00CF3420"/>
    <w:rsid w:val="00CF6D59"/>
    <w:rsid w:val="00D00E01"/>
    <w:rsid w:val="00D01209"/>
    <w:rsid w:val="00D01631"/>
    <w:rsid w:val="00D01B3B"/>
    <w:rsid w:val="00D05B37"/>
    <w:rsid w:val="00D06CC8"/>
    <w:rsid w:val="00D10154"/>
    <w:rsid w:val="00D13285"/>
    <w:rsid w:val="00D15ACD"/>
    <w:rsid w:val="00D167D2"/>
    <w:rsid w:val="00D20F94"/>
    <w:rsid w:val="00D21A05"/>
    <w:rsid w:val="00D25332"/>
    <w:rsid w:val="00D25465"/>
    <w:rsid w:val="00D25FEB"/>
    <w:rsid w:val="00D26C8B"/>
    <w:rsid w:val="00D304B4"/>
    <w:rsid w:val="00D3224E"/>
    <w:rsid w:val="00D3574F"/>
    <w:rsid w:val="00D37635"/>
    <w:rsid w:val="00D41709"/>
    <w:rsid w:val="00D42CE8"/>
    <w:rsid w:val="00D449B1"/>
    <w:rsid w:val="00D44D4E"/>
    <w:rsid w:val="00D465A3"/>
    <w:rsid w:val="00D471D6"/>
    <w:rsid w:val="00D53CB8"/>
    <w:rsid w:val="00D5528F"/>
    <w:rsid w:val="00D552F8"/>
    <w:rsid w:val="00D574CB"/>
    <w:rsid w:val="00D602C7"/>
    <w:rsid w:val="00D6641D"/>
    <w:rsid w:val="00D67856"/>
    <w:rsid w:val="00D67922"/>
    <w:rsid w:val="00D7028F"/>
    <w:rsid w:val="00D70CA4"/>
    <w:rsid w:val="00D71573"/>
    <w:rsid w:val="00D725DF"/>
    <w:rsid w:val="00D741D4"/>
    <w:rsid w:val="00D76119"/>
    <w:rsid w:val="00D767E1"/>
    <w:rsid w:val="00D77863"/>
    <w:rsid w:val="00D80286"/>
    <w:rsid w:val="00D80D57"/>
    <w:rsid w:val="00D81718"/>
    <w:rsid w:val="00D81C17"/>
    <w:rsid w:val="00D820DC"/>
    <w:rsid w:val="00D83A32"/>
    <w:rsid w:val="00D852C8"/>
    <w:rsid w:val="00D874D7"/>
    <w:rsid w:val="00D8777B"/>
    <w:rsid w:val="00D87841"/>
    <w:rsid w:val="00D90451"/>
    <w:rsid w:val="00D90C0B"/>
    <w:rsid w:val="00D912E9"/>
    <w:rsid w:val="00D95A34"/>
    <w:rsid w:val="00DA2507"/>
    <w:rsid w:val="00DA2D57"/>
    <w:rsid w:val="00DA4E20"/>
    <w:rsid w:val="00DA6897"/>
    <w:rsid w:val="00DA794F"/>
    <w:rsid w:val="00DB05CF"/>
    <w:rsid w:val="00DB2C3D"/>
    <w:rsid w:val="00DB3871"/>
    <w:rsid w:val="00DB3985"/>
    <w:rsid w:val="00DB6744"/>
    <w:rsid w:val="00DC3972"/>
    <w:rsid w:val="00DC4AD8"/>
    <w:rsid w:val="00DC52DA"/>
    <w:rsid w:val="00DC7606"/>
    <w:rsid w:val="00DD26A1"/>
    <w:rsid w:val="00DD6D19"/>
    <w:rsid w:val="00DD734C"/>
    <w:rsid w:val="00DE0A2C"/>
    <w:rsid w:val="00DE16EC"/>
    <w:rsid w:val="00DE1CB5"/>
    <w:rsid w:val="00DE22E8"/>
    <w:rsid w:val="00DE5A62"/>
    <w:rsid w:val="00DE62A6"/>
    <w:rsid w:val="00DE62C3"/>
    <w:rsid w:val="00DE668C"/>
    <w:rsid w:val="00DE7724"/>
    <w:rsid w:val="00DE7F8A"/>
    <w:rsid w:val="00DF076F"/>
    <w:rsid w:val="00DF3E2A"/>
    <w:rsid w:val="00DF645A"/>
    <w:rsid w:val="00DF6D12"/>
    <w:rsid w:val="00E00201"/>
    <w:rsid w:val="00E01550"/>
    <w:rsid w:val="00E04479"/>
    <w:rsid w:val="00E060D7"/>
    <w:rsid w:val="00E06771"/>
    <w:rsid w:val="00E06EFA"/>
    <w:rsid w:val="00E112AD"/>
    <w:rsid w:val="00E15425"/>
    <w:rsid w:val="00E160D0"/>
    <w:rsid w:val="00E16B87"/>
    <w:rsid w:val="00E21542"/>
    <w:rsid w:val="00E22AF6"/>
    <w:rsid w:val="00E24E3B"/>
    <w:rsid w:val="00E263B0"/>
    <w:rsid w:val="00E30E2D"/>
    <w:rsid w:val="00E32149"/>
    <w:rsid w:val="00E330C7"/>
    <w:rsid w:val="00E36058"/>
    <w:rsid w:val="00E36E80"/>
    <w:rsid w:val="00E378E8"/>
    <w:rsid w:val="00E37C89"/>
    <w:rsid w:val="00E4003D"/>
    <w:rsid w:val="00E40533"/>
    <w:rsid w:val="00E47960"/>
    <w:rsid w:val="00E5030F"/>
    <w:rsid w:val="00E511B0"/>
    <w:rsid w:val="00E5148A"/>
    <w:rsid w:val="00E52209"/>
    <w:rsid w:val="00E5475D"/>
    <w:rsid w:val="00E54FA5"/>
    <w:rsid w:val="00E55E86"/>
    <w:rsid w:val="00E61C95"/>
    <w:rsid w:val="00E666A2"/>
    <w:rsid w:val="00E67FA5"/>
    <w:rsid w:val="00E709BD"/>
    <w:rsid w:val="00E713D1"/>
    <w:rsid w:val="00E73EAC"/>
    <w:rsid w:val="00E73ED2"/>
    <w:rsid w:val="00E745E8"/>
    <w:rsid w:val="00E75BA1"/>
    <w:rsid w:val="00E763A5"/>
    <w:rsid w:val="00E81591"/>
    <w:rsid w:val="00E81FA5"/>
    <w:rsid w:val="00E82A6A"/>
    <w:rsid w:val="00E85006"/>
    <w:rsid w:val="00E86A96"/>
    <w:rsid w:val="00E87CF1"/>
    <w:rsid w:val="00E91D4E"/>
    <w:rsid w:val="00E942A2"/>
    <w:rsid w:val="00E97C5C"/>
    <w:rsid w:val="00EA018E"/>
    <w:rsid w:val="00EA1176"/>
    <w:rsid w:val="00EA1DD5"/>
    <w:rsid w:val="00EA23CE"/>
    <w:rsid w:val="00EA2935"/>
    <w:rsid w:val="00EA4E2B"/>
    <w:rsid w:val="00EB1A42"/>
    <w:rsid w:val="00EB3266"/>
    <w:rsid w:val="00EB5059"/>
    <w:rsid w:val="00EB73D9"/>
    <w:rsid w:val="00EC1FDA"/>
    <w:rsid w:val="00EC2866"/>
    <w:rsid w:val="00EC39CE"/>
    <w:rsid w:val="00EC4DC4"/>
    <w:rsid w:val="00EC7195"/>
    <w:rsid w:val="00ED0618"/>
    <w:rsid w:val="00ED1682"/>
    <w:rsid w:val="00ED3C9E"/>
    <w:rsid w:val="00ED3F29"/>
    <w:rsid w:val="00ED3FB4"/>
    <w:rsid w:val="00ED5BB6"/>
    <w:rsid w:val="00ED5E76"/>
    <w:rsid w:val="00ED6971"/>
    <w:rsid w:val="00ED734C"/>
    <w:rsid w:val="00ED7DAB"/>
    <w:rsid w:val="00EE2E97"/>
    <w:rsid w:val="00EE2F7C"/>
    <w:rsid w:val="00EE4B80"/>
    <w:rsid w:val="00EE4F8C"/>
    <w:rsid w:val="00EE5601"/>
    <w:rsid w:val="00EE7B33"/>
    <w:rsid w:val="00EF1EAA"/>
    <w:rsid w:val="00EF2D87"/>
    <w:rsid w:val="00EF30FD"/>
    <w:rsid w:val="00EF73A8"/>
    <w:rsid w:val="00F01570"/>
    <w:rsid w:val="00F03FBA"/>
    <w:rsid w:val="00F07D5C"/>
    <w:rsid w:val="00F102F2"/>
    <w:rsid w:val="00F110BA"/>
    <w:rsid w:val="00F12FFD"/>
    <w:rsid w:val="00F14495"/>
    <w:rsid w:val="00F15557"/>
    <w:rsid w:val="00F2213E"/>
    <w:rsid w:val="00F22D59"/>
    <w:rsid w:val="00F23270"/>
    <w:rsid w:val="00F23DAC"/>
    <w:rsid w:val="00F262E0"/>
    <w:rsid w:val="00F2671A"/>
    <w:rsid w:val="00F26B33"/>
    <w:rsid w:val="00F27E99"/>
    <w:rsid w:val="00F30FEE"/>
    <w:rsid w:val="00F311FD"/>
    <w:rsid w:val="00F34F54"/>
    <w:rsid w:val="00F35399"/>
    <w:rsid w:val="00F40122"/>
    <w:rsid w:val="00F438E0"/>
    <w:rsid w:val="00F43C4B"/>
    <w:rsid w:val="00F53339"/>
    <w:rsid w:val="00F53699"/>
    <w:rsid w:val="00F538EF"/>
    <w:rsid w:val="00F54D73"/>
    <w:rsid w:val="00F5566E"/>
    <w:rsid w:val="00F56652"/>
    <w:rsid w:val="00F57CFC"/>
    <w:rsid w:val="00F618BD"/>
    <w:rsid w:val="00F62905"/>
    <w:rsid w:val="00F63608"/>
    <w:rsid w:val="00F65791"/>
    <w:rsid w:val="00F660E7"/>
    <w:rsid w:val="00F66F35"/>
    <w:rsid w:val="00F714E7"/>
    <w:rsid w:val="00F71834"/>
    <w:rsid w:val="00F746E0"/>
    <w:rsid w:val="00F75C30"/>
    <w:rsid w:val="00F77FFC"/>
    <w:rsid w:val="00F81558"/>
    <w:rsid w:val="00F8242A"/>
    <w:rsid w:val="00F82E7B"/>
    <w:rsid w:val="00F840D2"/>
    <w:rsid w:val="00F84AB5"/>
    <w:rsid w:val="00F86F7D"/>
    <w:rsid w:val="00F911E4"/>
    <w:rsid w:val="00F91283"/>
    <w:rsid w:val="00F9307E"/>
    <w:rsid w:val="00F96A36"/>
    <w:rsid w:val="00FA2579"/>
    <w:rsid w:val="00FA62CE"/>
    <w:rsid w:val="00FA6665"/>
    <w:rsid w:val="00FA6959"/>
    <w:rsid w:val="00FB2060"/>
    <w:rsid w:val="00FB2B48"/>
    <w:rsid w:val="00FB698C"/>
    <w:rsid w:val="00FB6D1B"/>
    <w:rsid w:val="00FC0A8F"/>
    <w:rsid w:val="00FC1A6D"/>
    <w:rsid w:val="00FC1E03"/>
    <w:rsid w:val="00FC49AA"/>
    <w:rsid w:val="00FC5089"/>
    <w:rsid w:val="00FD2232"/>
    <w:rsid w:val="00FD299A"/>
    <w:rsid w:val="00FD34F8"/>
    <w:rsid w:val="00FD53FA"/>
    <w:rsid w:val="00FD5631"/>
    <w:rsid w:val="00FD6629"/>
    <w:rsid w:val="00FD7D73"/>
    <w:rsid w:val="00FE1ECB"/>
    <w:rsid w:val="00FE3A54"/>
    <w:rsid w:val="00FF3F0C"/>
    <w:rsid w:val="00FF5880"/>
    <w:rsid w:val="00FF6A8E"/>
    <w:rsid w:val="0C3B20E4"/>
    <w:rsid w:val="2CC016BC"/>
    <w:rsid w:val="44173F4F"/>
    <w:rsid w:val="4C62195E"/>
    <w:rsid w:val="6143643E"/>
    <w:rsid w:val="61620883"/>
    <w:rsid w:val="6F2269E7"/>
    <w:rsid w:val="6FAF4FFE"/>
    <w:rsid w:val="71EB7914"/>
    <w:rsid w:val="76260A2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147C8E66"/>
  <w14:defaultImageDpi w14:val="330"/>
  <w15:docId w15:val="{0F44E463-D97C-432F-A859-360FE22B5B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unhideWhenUsed="1" w:qFormat="1"/>
    <w:lsdException w:name="annotation text" w:uiPriority="0" w:qFormat="1"/>
    <w:lsdException w:name="header" w:qFormat="1"/>
    <w:lsdException w:name="footer" w:unhideWhenUsed="1" w:qFormat="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unhideWhenUsed="1" w:qFormat="1"/>
    <w:lsdException w:name="annotation reference" w:uiPriority="0" w:qFormat="1"/>
    <w:lsdException w:name="line number" w:semiHidden="1" w:unhideWhenUsed="1"/>
    <w:lsdException w:name="page number" w:semiHidden="1" w:unhideWhenUsed="1"/>
    <w:lsdException w:name="endnote reference" w:uiPriority="0" w:qFormat="1"/>
    <w:lsdException w:name="endnote text" w:uiPriority="0"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qFormat="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iPriority="0" w:qFormat="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uiPriority="0"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uiPriority="39" w:qFormat="1"/>
    <w:lsdException w:name="Table Theme" w:semiHidden="1" w:unhideWhenUsed="1"/>
    <w:lsdException w:name="Placeholder Text" w:semiHidden="1" w:qFormat="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pPr>
      <w:widowControl w:val="0"/>
      <w:jc w:val="both"/>
    </w:pPr>
    <w:rPr>
      <w:rFonts w:ascii="Calibri" w:hAnsi="Calibri"/>
      <w:kern w:val="2"/>
      <w:sz w:val="21"/>
      <w:szCs w:val="24"/>
    </w:rPr>
  </w:style>
  <w:style w:type="paragraph" w:styleId="1">
    <w:name w:val="heading 1"/>
    <w:basedOn w:val="a0"/>
    <w:next w:val="a1"/>
    <w:link w:val="10"/>
    <w:qFormat/>
    <w:pPr>
      <w:numPr>
        <w:numId w:val="1"/>
      </w:numPr>
      <w:spacing w:beforeLines="50" w:before="156" w:afterLines="50" w:after="156"/>
      <w:outlineLvl w:val="0"/>
    </w:pPr>
    <w:rPr>
      <w:rFonts w:ascii="Times New Roman" w:eastAsia="黑体" w:hAnsi="Times New Roman"/>
      <w:sz w:val="24"/>
    </w:rPr>
  </w:style>
  <w:style w:type="paragraph" w:styleId="2">
    <w:name w:val="heading 2"/>
    <w:basedOn w:val="a0"/>
    <w:next w:val="a1"/>
    <w:link w:val="20"/>
    <w:qFormat/>
    <w:pPr>
      <w:numPr>
        <w:ilvl w:val="1"/>
        <w:numId w:val="1"/>
      </w:numPr>
      <w:ind w:left="426" w:hanging="426"/>
      <w:outlineLvl w:val="1"/>
    </w:pPr>
    <w:rPr>
      <w:rFonts w:ascii="Times New Roman" w:eastAsia="黑体" w:hAnsi="Times New Roman"/>
      <w:szCs w:val="21"/>
    </w:rPr>
  </w:style>
  <w:style w:type="paragraph" w:styleId="3">
    <w:name w:val="heading 3"/>
    <w:basedOn w:val="a0"/>
    <w:next w:val="a1"/>
    <w:link w:val="30"/>
    <w:qFormat/>
    <w:pPr>
      <w:numPr>
        <w:ilvl w:val="2"/>
        <w:numId w:val="1"/>
      </w:numPr>
      <w:ind w:left="567" w:hanging="567"/>
      <w:outlineLvl w:val="2"/>
    </w:pPr>
    <w:rPr>
      <w:rFonts w:ascii="宋体" w:hAnsi="宋体"/>
      <w:szCs w:val="21"/>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1">
    <w:name w:val="Body Text"/>
    <w:basedOn w:val="a0"/>
    <w:link w:val="a5"/>
    <w:uiPriority w:val="1"/>
    <w:qFormat/>
    <w:pPr>
      <w:autoSpaceDE w:val="0"/>
      <w:autoSpaceDN w:val="0"/>
      <w:adjustRightInd w:val="0"/>
      <w:jc w:val="left"/>
    </w:pPr>
    <w:rPr>
      <w:rFonts w:ascii="楷体_GB2312" w:eastAsia="楷体_GB2312" w:hAnsi="楷体_GB2312" w:cs="楷体_GB2312"/>
      <w:kern w:val="0"/>
      <w:szCs w:val="21"/>
    </w:rPr>
  </w:style>
  <w:style w:type="paragraph" w:styleId="a6">
    <w:name w:val="caption"/>
    <w:basedOn w:val="a0"/>
    <w:qFormat/>
    <w:pPr>
      <w:spacing w:after="120"/>
    </w:pPr>
    <w:rPr>
      <w:i/>
    </w:rPr>
  </w:style>
  <w:style w:type="paragraph" w:styleId="a7">
    <w:name w:val="annotation text"/>
    <w:basedOn w:val="a0"/>
    <w:link w:val="a8"/>
    <w:qFormat/>
    <w:pPr>
      <w:jc w:val="left"/>
    </w:pPr>
  </w:style>
  <w:style w:type="paragraph" w:styleId="a9">
    <w:name w:val="Date"/>
    <w:basedOn w:val="a0"/>
    <w:next w:val="a0"/>
    <w:link w:val="aa"/>
    <w:uiPriority w:val="99"/>
    <w:semiHidden/>
    <w:unhideWhenUsed/>
    <w:qFormat/>
    <w:pPr>
      <w:ind w:leftChars="2500" w:left="100"/>
    </w:pPr>
    <w:rPr>
      <w:rFonts w:asciiTheme="minorHAnsi" w:eastAsiaTheme="minorEastAsia" w:hAnsiTheme="minorHAnsi" w:cstheme="minorBidi"/>
      <w:szCs w:val="22"/>
    </w:rPr>
  </w:style>
  <w:style w:type="paragraph" w:styleId="ab">
    <w:name w:val="endnote text"/>
    <w:basedOn w:val="a0"/>
    <w:link w:val="ac"/>
    <w:qFormat/>
    <w:pPr>
      <w:snapToGrid w:val="0"/>
      <w:jc w:val="left"/>
    </w:pPr>
  </w:style>
  <w:style w:type="paragraph" w:styleId="ad">
    <w:name w:val="Balloon Text"/>
    <w:basedOn w:val="a0"/>
    <w:link w:val="ae"/>
    <w:uiPriority w:val="99"/>
    <w:qFormat/>
    <w:rPr>
      <w:sz w:val="18"/>
      <w:szCs w:val="18"/>
    </w:rPr>
  </w:style>
  <w:style w:type="paragraph" w:styleId="af">
    <w:name w:val="footer"/>
    <w:basedOn w:val="a0"/>
    <w:link w:val="af0"/>
    <w:uiPriority w:val="99"/>
    <w:unhideWhenUsed/>
    <w:qFormat/>
    <w:pPr>
      <w:tabs>
        <w:tab w:val="center" w:pos="4153"/>
        <w:tab w:val="right" w:pos="8306"/>
      </w:tabs>
      <w:snapToGrid w:val="0"/>
      <w:jc w:val="left"/>
    </w:pPr>
    <w:rPr>
      <w:sz w:val="18"/>
      <w:szCs w:val="18"/>
    </w:rPr>
  </w:style>
  <w:style w:type="paragraph" w:styleId="af1">
    <w:name w:val="header"/>
    <w:basedOn w:val="a0"/>
    <w:link w:val="af2"/>
    <w:uiPriority w:val="99"/>
    <w:qFormat/>
    <w:pPr>
      <w:pBdr>
        <w:bottom w:val="single" w:sz="6" w:space="1" w:color="auto"/>
      </w:pBdr>
      <w:tabs>
        <w:tab w:val="center" w:pos="4153"/>
        <w:tab w:val="right" w:pos="8306"/>
      </w:tabs>
      <w:snapToGrid w:val="0"/>
      <w:jc w:val="center"/>
    </w:pPr>
    <w:rPr>
      <w:sz w:val="18"/>
      <w:szCs w:val="18"/>
    </w:rPr>
  </w:style>
  <w:style w:type="paragraph" w:styleId="af3">
    <w:name w:val="footnote text"/>
    <w:basedOn w:val="a0"/>
    <w:link w:val="af4"/>
    <w:uiPriority w:val="99"/>
    <w:unhideWhenUsed/>
    <w:qFormat/>
    <w:pPr>
      <w:snapToGrid w:val="0"/>
      <w:jc w:val="left"/>
    </w:pPr>
    <w:rPr>
      <w:sz w:val="18"/>
      <w:szCs w:val="18"/>
    </w:rPr>
  </w:style>
  <w:style w:type="paragraph" w:styleId="HTML">
    <w:name w:val="HTML Preformatted"/>
    <w:basedOn w:val="a0"/>
    <w:link w:val="HTML0"/>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hint="eastAsia"/>
      <w:kern w:val="0"/>
      <w:sz w:val="24"/>
    </w:rPr>
  </w:style>
  <w:style w:type="paragraph" w:styleId="af5">
    <w:name w:val="Normal (Web)"/>
    <w:basedOn w:val="a0"/>
    <w:uiPriority w:val="99"/>
    <w:semiHidden/>
    <w:unhideWhenUsed/>
    <w:qFormat/>
    <w:pPr>
      <w:spacing w:beforeAutospacing="1" w:afterAutospacing="1"/>
      <w:jc w:val="left"/>
    </w:pPr>
    <w:rPr>
      <w:kern w:val="0"/>
      <w:sz w:val="24"/>
    </w:rPr>
  </w:style>
  <w:style w:type="paragraph" w:styleId="af6">
    <w:name w:val="annotation subject"/>
    <w:basedOn w:val="a7"/>
    <w:next w:val="a7"/>
    <w:link w:val="af7"/>
    <w:qFormat/>
    <w:rPr>
      <w:b/>
      <w:bCs/>
    </w:rPr>
  </w:style>
  <w:style w:type="table" w:styleId="af8">
    <w:name w:val="Table Grid"/>
    <w:basedOn w:val="a3"/>
    <w:uiPriority w:val="39"/>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f9">
    <w:name w:val="Strong"/>
    <w:qFormat/>
    <w:rPr>
      <w:b/>
    </w:rPr>
  </w:style>
  <w:style w:type="character" w:styleId="afa">
    <w:name w:val="endnote reference"/>
    <w:qFormat/>
    <w:rPr>
      <w:vertAlign w:val="superscript"/>
    </w:rPr>
  </w:style>
  <w:style w:type="character" w:styleId="afb">
    <w:name w:val="Hyperlink"/>
    <w:basedOn w:val="BodyTextChar"/>
    <w:uiPriority w:val="99"/>
    <w:qFormat/>
    <w:rPr>
      <w:color w:val="0000FF"/>
      <w:u w:val="single"/>
    </w:rPr>
  </w:style>
  <w:style w:type="character" w:customStyle="1" w:styleId="BodyTextChar">
    <w:name w:val="Body Text Char"/>
    <w:basedOn w:val="a2"/>
    <w:qFormat/>
  </w:style>
  <w:style w:type="character" w:styleId="afc">
    <w:name w:val="annotation reference"/>
    <w:qFormat/>
    <w:rPr>
      <w:sz w:val="21"/>
      <w:szCs w:val="21"/>
    </w:rPr>
  </w:style>
  <w:style w:type="character" w:styleId="afd">
    <w:name w:val="footnote reference"/>
    <w:uiPriority w:val="99"/>
    <w:unhideWhenUsed/>
    <w:qFormat/>
    <w:rPr>
      <w:vertAlign w:val="superscript"/>
    </w:rPr>
  </w:style>
  <w:style w:type="character" w:customStyle="1" w:styleId="10">
    <w:name w:val="标题 1 字符"/>
    <w:link w:val="1"/>
    <w:qFormat/>
    <w:rPr>
      <w:rFonts w:ascii="Times New Roman" w:eastAsia="黑体" w:hAnsi="Times New Roman" w:cs="Times New Roman"/>
      <w:kern w:val="2"/>
      <w:sz w:val="24"/>
      <w:szCs w:val="24"/>
      <w:lang w:val="en-US" w:eastAsia="zh-CN" w:bidi="ar-SA"/>
    </w:rPr>
  </w:style>
  <w:style w:type="character" w:customStyle="1" w:styleId="20">
    <w:name w:val="标题 2 字符"/>
    <w:link w:val="2"/>
    <w:qFormat/>
    <w:rPr>
      <w:rFonts w:ascii="Times New Roman" w:eastAsia="黑体" w:hAnsi="Times New Roman" w:cs="Times New Roman"/>
      <w:kern w:val="2"/>
      <w:sz w:val="21"/>
      <w:szCs w:val="21"/>
      <w:lang w:val="en-US" w:eastAsia="zh-CN" w:bidi="ar-SA"/>
    </w:rPr>
  </w:style>
  <w:style w:type="character" w:customStyle="1" w:styleId="30">
    <w:name w:val="标题 3 字符"/>
    <w:link w:val="3"/>
    <w:qFormat/>
    <w:rPr>
      <w:rFonts w:ascii="宋体" w:eastAsia="宋体" w:hAnsi="宋体" w:cs="Times New Roman"/>
      <w:kern w:val="2"/>
      <w:sz w:val="21"/>
      <w:szCs w:val="21"/>
      <w:lang w:val="en-US" w:eastAsia="zh-CN" w:bidi="ar-SA"/>
    </w:rPr>
  </w:style>
  <w:style w:type="character" w:customStyle="1" w:styleId="af2">
    <w:name w:val="页眉 字符"/>
    <w:link w:val="af1"/>
    <w:uiPriority w:val="99"/>
    <w:qFormat/>
    <w:rPr>
      <w:rFonts w:ascii="Calibri" w:eastAsia="宋体" w:hAnsi="Calibri" w:cs="Times New Roman"/>
      <w:sz w:val="18"/>
      <w:szCs w:val="18"/>
    </w:rPr>
  </w:style>
  <w:style w:type="character" w:customStyle="1" w:styleId="af4">
    <w:name w:val="脚注文本 字符"/>
    <w:basedOn w:val="a2"/>
    <w:link w:val="af3"/>
    <w:uiPriority w:val="99"/>
    <w:qFormat/>
    <w:rPr>
      <w:rFonts w:ascii="Calibri" w:eastAsia="宋体" w:hAnsi="Calibri" w:cs="Times New Roman"/>
      <w:sz w:val="18"/>
      <w:szCs w:val="18"/>
    </w:rPr>
  </w:style>
  <w:style w:type="character" w:customStyle="1" w:styleId="af0">
    <w:name w:val="页脚 字符"/>
    <w:basedOn w:val="a2"/>
    <w:link w:val="af"/>
    <w:uiPriority w:val="99"/>
    <w:qFormat/>
    <w:rPr>
      <w:rFonts w:ascii="Calibri" w:eastAsia="宋体" w:hAnsi="Calibri" w:cs="Times New Roman"/>
      <w:sz w:val="18"/>
      <w:szCs w:val="18"/>
    </w:rPr>
  </w:style>
  <w:style w:type="character" w:customStyle="1" w:styleId="11">
    <w:name w:val="页眉 字符1"/>
    <w:basedOn w:val="a2"/>
    <w:uiPriority w:val="99"/>
    <w:semiHidden/>
    <w:qFormat/>
    <w:rPr>
      <w:rFonts w:ascii="Calibri" w:eastAsia="宋体" w:hAnsi="Calibri" w:cs="Times New Roman"/>
      <w:sz w:val="18"/>
      <w:szCs w:val="18"/>
    </w:rPr>
  </w:style>
  <w:style w:type="character" w:customStyle="1" w:styleId="HTML0">
    <w:name w:val="HTML 预设格式 字符"/>
    <w:basedOn w:val="a2"/>
    <w:link w:val="HTML"/>
    <w:qFormat/>
    <w:rPr>
      <w:rFonts w:ascii="宋体" w:eastAsia="宋体" w:hAnsi="宋体" w:cs="Times New Roman"/>
      <w:kern w:val="0"/>
      <w:sz w:val="24"/>
      <w:szCs w:val="24"/>
    </w:rPr>
  </w:style>
  <w:style w:type="character" w:customStyle="1" w:styleId="ac">
    <w:name w:val="尾注文本 字符"/>
    <w:basedOn w:val="a2"/>
    <w:link w:val="ab"/>
    <w:qFormat/>
    <w:rPr>
      <w:rFonts w:ascii="Calibri" w:eastAsia="宋体" w:hAnsi="Calibri" w:cs="Times New Roman"/>
      <w:szCs w:val="24"/>
    </w:rPr>
  </w:style>
  <w:style w:type="character" w:customStyle="1" w:styleId="a8">
    <w:name w:val="批注文字 字符"/>
    <w:basedOn w:val="a2"/>
    <w:link w:val="a7"/>
    <w:qFormat/>
    <w:rPr>
      <w:rFonts w:ascii="Calibri" w:eastAsia="宋体" w:hAnsi="Calibri" w:cs="Times New Roman"/>
      <w:szCs w:val="24"/>
    </w:rPr>
  </w:style>
  <w:style w:type="paragraph" w:styleId="afe">
    <w:name w:val="List Paragraph"/>
    <w:basedOn w:val="a0"/>
    <w:link w:val="aff"/>
    <w:uiPriority w:val="34"/>
    <w:qFormat/>
    <w:pPr>
      <w:ind w:firstLineChars="200" w:firstLine="420"/>
    </w:pPr>
  </w:style>
  <w:style w:type="paragraph" w:customStyle="1" w:styleId="aff0">
    <w:name w:val="页眉与页脚"/>
    <w:qFormat/>
    <w:pPr>
      <w:framePr w:wrap="around" w:hAnchor="text" w:y="1"/>
      <w:tabs>
        <w:tab w:val="right" w:pos="9020"/>
      </w:tabs>
    </w:pPr>
    <w:rPr>
      <w:rFonts w:ascii="Helvetica Neue" w:eastAsia="Arial Unicode MS" w:hAnsi="Helvetica Neue" w:cs="Arial Unicode MS"/>
      <w:color w:val="000000"/>
      <w:sz w:val="24"/>
      <w:szCs w:val="24"/>
    </w:rPr>
  </w:style>
  <w:style w:type="character" w:customStyle="1" w:styleId="af7">
    <w:name w:val="批注主题 字符"/>
    <w:basedOn w:val="a8"/>
    <w:link w:val="af6"/>
    <w:qFormat/>
    <w:rPr>
      <w:rFonts w:ascii="Calibri" w:eastAsia="宋体" w:hAnsi="Calibri" w:cs="Times New Roman"/>
      <w:b/>
      <w:bCs/>
      <w:szCs w:val="24"/>
    </w:rPr>
  </w:style>
  <w:style w:type="character" w:customStyle="1" w:styleId="ae">
    <w:name w:val="批注框文本 字符"/>
    <w:basedOn w:val="a2"/>
    <w:link w:val="ad"/>
    <w:uiPriority w:val="99"/>
    <w:qFormat/>
    <w:rPr>
      <w:rFonts w:ascii="Calibri" w:eastAsia="宋体" w:hAnsi="Calibri" w:cs="Times New Roman"/>
      <w:sz w:val="18"/>
      <w:szCs w:val="18"/>
    </w:rPr>
  </w:style>
  <w:style w:type="character" w:customStyle="1" w:styleId="aa">
    <w:name w:val="日期 字符"/>
    <w:basedOn w:val="a2"/>
    <w:link w:val="a9"/>
    <w:uiPriority w:val="99"/>
    <w:semiHidden/>
    <w:qFormat/>
  </w:style>
  <w:style w:type="table" w:customStyle="1" w:styleId="12">
    <w:name w:val="网格型浅色1"/>
    <w:basedOn w:val="a3"/>
    <w:uiPriority w:val="40"/>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110">
    <w:name w:val="无格式表格 11"/>
    <w:basedOn w:val="a3"/>
    <w:uiPriority w:val="41"/>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21">
    <w:name w:val="无格式表格 21"/>
    <w:basedOn w:val="a3"/>
    <w:uiPriority w:val="42"/>
    <w:qFormat/>
    <w:tblPr>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13">
    <w:name w:val="网格型1"/>
    <w:basedOn w:val="a3"/>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5">
    <w:name w:val="正文文本 字符"/>
    <w:basedOn w:val="a2"/>
    <w:link w:val="a1"/>
    <w:uiPriority w:val="1"/>
    <w:qFormat/>
    <w:rPr>
      <w:rFonts w:ascii="楷体_GB2312" w:eastAsia="楷体_GB2312" w:hAnsi="楷体_GB2312" w:cs="楷体_GB2312"/>
      <w:kern w:val="0"/>
      <w:szCs w:val="21"/>
    </w:rPr>
  </w:style>
  <w:style w:type="character" w:styleId="aff1">
    <w:name w:val="Placeholder Text"/>
    <w:basedOn w:val="a2"/>
    <w:uiPriority w:val="99"/>
    <w:semiHidden/>
    <w:qFormat/>
    <w:rPr>
      <w:color w:val="808080"/>
    </w:rPr>
  </w:style>
  <w:style w:type="table" w:customStyle="1" w:styleId="111">
    <w:name w:val="网格型11"/>
    <w:basedOn w:val="a3"/>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4">
    <w:name w:val="修订1"/>
    <w:hidden/>
    <w:uiPriority w:val="99"/>
    <w:semiHidden/>
    <w:qFormat/>
    <w:rPr>
      <w:rFonts w:ascii="Calibri" w:hAnsi="Calibri"/>
      <w:kern w:val="2"/>
      <w:sz w:val="21"/>
      <w:szCs w:val="24"/>
    </w:rPr>
  </w:style>
  <w:style w:type="paragraph" w:customStyle="1" w:styleId="MTDisplayEquation">
    <w:name w:val="MTDisplayEquation"/>
    <w:basedOn w:val="afe"/>
    <w:next w:val="a0"/>
    <w:link w:val="MTDisplayEquation0"/>
    <w:qFormat/>
    <w:pPr>
      <w:tabs>
        <w:tab w:val="center" w:pos="4160"/>
        <w:tab w:val="right" w:pos="8300"/>
      </w:tabs>
    </w:pPr>
    <w:rPr>
      <w:szCs w:val="21"/>
    </w:rPr>
  </w:style>
  <w:style w:type="character" w:customStyle="1" w:styleId="aff">
    <w:name w:val="列表段落 字符"/>
    <w:basedOn w:val="a2"/>
    <w:link w:val="afe"/>
    <w:uiPriority w:val="34"/>
    <w:qFormat/>
    <w:rPr>
      <w:rFonts w:ascii="Calibri" w:hAnsi="Calibri"/>
      <w:kern w:val="2"/>
      <w:sz w:val="21"/>
      <w:szCs w:val="24"/>
    </w:rPr>
  </w:style>
  <w:style w:type="character" w:customStyle="1" w:styleId="MTDisplayEquation0">
    <w:name w:val="MTDisplayEquation 字符"/>
    <w:basedOn w:val="aff"/>
    <w:link w:val="MTDisplayEquation"/>
    <w:qFormat/>
    <w:rPr>
      <w:rFonts w:ascii="Calibri" w:hAnsi="Calibri"/>
      <w:kern w:val="2"/>
      <w:sz w:val="21"/>
      <w:szCs w:val="21"/>
    </w:rPr>
  </w:style>
  <w:style w:type="table" w:customStyle="1" w:styleId="aff2">
    <w:name w:val="论文表格"/>
    <w:basedOn w:val="a3"/>
    <w:uiPriority w:val="99"/>
    <w:qFormat/>
    <w:rPr>
      <w:rFonts w:ascii="Cambria Math" w:hAnsi="Cambria Math"/>
    </w:rPr>
    <w:tblPr/>
  </w:style>
  <w:style w:type="paragraph" w:customStyle="1" w:styleId="aff3">
    <w:name w:val="大标题"/>
    <w:basedOn w:val="a0"/>
    <w:qFormat/>
    <w:pPr>
      <w:jc w:val="center"/>
      <w:outlineLvl w:val="0"/>
    </w:pPr>
    <w:rPr>
      <w:rFonts w:ascii="Times New Roman" w:eastAsia="黑体" w:hAnsi="Times New Roman" w:hint="eastAsia"/>
      <w:sz w:val="36"/>
      <w:szCs w:val="36"/>
    </w:rPr>
  </w:style>
  <w:style w:type="paragraph" w:customStyle="1" w:styleId="aff4">
    <w:name w:val="单位"/>
    <w:basedOn w:val="a1"/>
    <w:next w:val="a1"/>
    <w:qFormat/>
    <w:pPr>
      <w:jc w:val="center"/>
    </w:pPr>
    <w:rPr>
      <w:rFonts w:ascii="Times New Roman" w:hAnsi="Times New Roman" w:hint="eastAsia"/>
    </w:rPr>
  </w:style>
  <w:style w:type="paragraph" w:customStyle="1" w:styleId="15">
    <w:name w:val="正文1"/>
    <w:basedOn w:val="a0"/>
    <w:qFormat/>
    <w:pPr>
      <w:widowControl/>
      <w:ind w:firstLineChars="200" w:firstLine="420"/>
    </w:pPr>
    <w:rPr>
      <w:rFonts w:ascii="Times New Roman" w:hAnsi="Times New Roman" w:hint="eastAsia"/>
      <w:kern w:val="0"/>
      <w:szCs w:val="21"/>
    </w:rPr>
  </w:style>
  <w:style w:type="paragraph" w:customStyle="1" w:styleId="aff5">
    <w:name w:val="图例"/>
    <w:basedOn w:val="a0"/>
    <w:qFormat/>
    <w:pPr>
      <w:widowControl/>
      <w:tabs>
        <w:tab w:val="left" w:pos="720"/>
      </w:tabs>
      <w:spacing w:line="277" w:lineRule="exact"/>
      <w:jc w:val="center"/>
    </w:pPr>
    <w:rPr>
      <w:rFonts w:ascii="Times New Roman" w:eastAsia="黑体" w:hAnsi="Times New Roman"/>
      <w:sz w:val="18"/>
      <w:szCs w:val="18"/>
    </w:rPr>
  </w:style>
  <w:style w:type="paragraph" w:customStyle="1" w:styleId="ImageCaption">
    <w:name w:val="Image Caption"/>
    <w:basedOn w:val="a6"/>
    <w:qFormat/>
  </w:style>
  <w:style w:type="paragraph" w:customStyle="1" w:styleId="TableCaption">
    <w:name w:val="Table Caption"/>
    <w:basedOn w:val="a6"/>
    <w:qFormat/>
    <w:pPr>
      <w:keepNext/>
    </w:pPr>
  </w:style>
  <w:style w:type="paragraph" w:customStyle="1" w:styleId="Compact">
    <w:name w:val="Compact"/>
    <w:basedOn w:val="a1"/>
    <w:qFormat/>
    <w:pPr>
      <w:spacing w:before="36" w:after="36"/>
    </w:pPr>
  </w:style>
  <w:style w:type="table" w:customStyle="1" w:styleId="Table">
    <w:name w:val="Table"/>
    <w:semiHidden/>
    <w:unhideWhenUsed/>
    <w:qFormat/>
    <w:tblPr>
      <w:tblCellMar>
        <w:top w:w="0" w:type="dxa"/>
        <w:left w:w="108" w:type="dxa"/>
        <w:bottom w:w="0" w:type="dxa"/>
        <w:right w:w="108" w:type="dxa"/>
      </w:tblCellMar>
    </w:tblPr>
    <w:tblStylePr w:type="firstRow">
      <w:tblPr/>
      <w:tcPr>
        <w:tcBorders>
          <w:bottom w:val="single" w:sz="0" w:space="0" w:color="auto"/>
        </w:tcBorders>
        <w:vAlign w:val="bottom"/>
      </w:tcPr>
    </w:tblStylePr>
  </w:style>
  <w:style w:type="character" w:customStyle="1" w:styleId="citation-425">
    <w:name w:val="citation-425"/>
    <w:basedOn w:val="a2"/>
    <w:qFormat/>
  </w:style>
  <w:style w:type="paragraph" w:customStyle="1" w:styleId="a">
    <w:name w:val="参考文献"/>
    <w:basedOn w:val="a0"/>
    <w:qFormat/>
    <w:pPr>
      <w:widowControl/>
      <w:numPr>
        <w:numId w:val="2"/>
      </w:numPr>
    </w:pPr>
    <w:rPr>
      <w:rFonts w:ascii="Times New Roman" w:hAnsi="Times New Roman" w:hint="eastAsia"/>
      <w:kern w:val="0"/>
      <w:szCs w:val="21"/>
    </w:rPr>
  </w:style>
  <w:style w:type="character" w:customStyle="1" w:styleId="citation-424">
    <w:name w:val="citation-424"/>
    <w:basedOn w:val="a2"/>
    <w:qFormat/>
    <w:rsid w:val="00EB1A4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989FCEE-9453-4DF1-85D3-08D86281D4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92</TotalTime>
  <Pages>17</Pages>
  <Words>4068</Words>
  <Characters>23194</Characters>
  <Application>Microsoft Office Word</Application>
  <DocSecurity>0</DocSecurity>
  <Lines>193</Lines>
  <Paragraphs>54</Paragraphs>
  <ScaleCrop>false</ScaleCrop>
  <Company/>
  <LinksUpToDate>false</LinksUpToDate>
  <CharactersWithSpaces>27208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dc:description>NE.Bib</dc:description>
  <cp:lastModifiedBy>tong niu</cp:lastModifiedBy>
  <cp:revision>50</cp:revision>
  <dcterms:created xsi:type="dcterms:W3CDTF">2026-05-08T02:42:00Z</dcterms:created>
  <dcterms:modified xsi:type="dcterms:W3CDTF">2026-05-12T09:30:00Z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FC5A62634C3D46A3A7FB7A59D2070678_13</vt:lpwstr>
  </property>
  <property fmtid="{D5CDD505-2E9C-101B-9397-08002B2CF9AE}" pid="4" name="MTWinEqns">
    <vt:bool>true</vt:bool>
  </property>
  <property fmtid="{D5CDD505-2E9C-101B-9397-08002B2CF9AE}" pid="5" name="KSOTemplateDocerSaveRecord">
    <vt:lpwstr>eyJoZGlkIjoiZTQzYzM5YTc3MTI2NGJkNWQxZjliNzkxYjlkM2JlNzQiLCJ1c2VySWQiOiI5ODc1NTQzNTkifQ==</vt:lpwstr>
  </property>
</Properties>
</file>