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Project 3 - Concordance of microarray and RNA-Seq differential gene expression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Group Members:</w:t>
      </w:r>
    </w:p>
    <w:p w:rsidR="00000000" w:rsidDel="00000000" w:rsidP="00000000" w:rsidRDefault="00000000" w:rsidRPr="00000000" w14:paraId="00000003">
      <w:pPr>
        <w:spacing w:after="240" w:before="240" w:lineRule="auto"/>
        <w:rPr/>
      </w:pPr>
      <w:r w:rsidDel="00000000" w:rsidR="00000000" w:rsidRPr="00000000">
        <w:rPr>
          <w:rtl w:val="0"/>
        </w:rPr>
        <w:t xml:space="preserve">Jinghan Huang (Data Curator)</w:t>
      </w:r>
    </w:p>
    <w:p w:rsidR="00000000" w:rsidDel="00000000" w:rsidP="00000000" w:rsidRDefault="00000000" w:rsidRPr="00000000" w14:paraId="00000004">
      <w:pPr>
        <w:spacing w:after="240" w:before="240" w:lineRule="auto"/>
        <w:rPr/>
      </w:pPr>
      <w:r w:rsidDel="00000000" w:rsidR="00000000" w:rsidRPr="00000000">
        <w:rPr>
          <w:rtl w:val="0"/>
        </w:rPr>
        <w:t xml:space="preserve">Jiaming Zhang (Programmer)</w:t>
      </w:r>
    </w:p>
    <w:p w:rsidR="00000000" w:rsidDel="00000000" w:rsidP="00000000" w:rsidRDefault="00000000" w:rsidRPr="00000000" w14:paraId="00000005">
      <w:pPr>
        <w:spacing w:after="240" w:before="240" w:lineRule="auto"/>
        <w:rPr/>
      </w:pPr>
      <w:r w:rsidDel="00000000" w:rsidR="00000000" w:rsidRPr="00000000">
        <w:rPr>
          <w:rtl w:val="0"/>
        </w:rPr>
        <w:t xml:space="preserve">Mikhail Kouzminov (Analyst)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TA:</w:t>
      </w:r>
    </w:p>
    <w:p w:rsidR="00000000" w:rsidDel="00000000" w:rsidP="00000000" w:rsidRDefault="00000000" w:rsidRPr="00000000" w14:paraId="00000007">
      <w:pPr>
        <w:spacing w:after="240" w:before="240" w:lineRule="auto"/>
        <w:rPr/>
      </w:pPr>
      <w:r w:rsidDel="00000000" w:rsidR="00000000" w:rsidRPr="00000000">
        <w:rPr>
          <w:rtl w:val="0"/>
        </w:rPr>
        <w:t xml:space="preserve">Kritika Karri</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The original paper, ‘A comprehensive study design reveals treatment- and transcript abundance–dependent concordance between RNA-seq and microarray data’ [1], presented the comparison between two popular techniques for measuring mRNA abundance: microarray and RNA-seq. The goal of this study was to verify the concordance between RNA-seq and microarray data so that the level of the confidence of the results could be more accurately assessed. The author generated the data from the same set of rat liver samples which were treated with different toxicological chemicals representing the different modes of action (MOA) [1]. Since the differentially expressed genes (DEGs) were highly affected by the biological complexity of the MOA, the DEGs had been identified and the performance of the predictive models had been assessed to evaluate the differences and similarities between these two techniques. For the bioinformatics techniques, six bioinformatics pipelines had been used to process the raw RNA-seq data in the upstream analysis, and then three methods (limma, edgeR and DESeq) had been applied for identifying DEGs in downstream analysis. RMA and Microarray Analysis suite had been used for microarray data.</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In this project, we are going to reproduce parts of the results in this paper, including Figure 2a and Figure 3b,c, which showed the between-platform concordance of DEGs against the number of DEGs identified by RNA-seq, and the concordance level related to highly/low expressed DEGs for each toxic group.  The toxic group we selected is toxic group 3, which included Leflunomide, Fluconazole and Ifosfamide.</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Data Description</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The data was obtained from male Sprague Dawley rats treated with 27 different chemicals and then the RNA was isolated from their livers. The samples had been divided into a training set and test set. In the training set, there were 45 treated rats and 18 controls in total. There were 15 chemicals with 3 rats per chemical. While for the test set, there were 36 treated rats and 6 controls in total and therefore 12 chemicals with 3 rats per chemical. The Affymetrix microarrays and Illumina HiScanSQ and Hiseq2000 systems had been applied to process these samples.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The average number of reads for the 9 samples we selected was about 16833935. These pair end reads were all 100bp long. The raw data could be accessed from GEO, NCBI with accession SRP039021 [2], GSE55347 [3] and GSE47875 [4], which were sequenced from rat livers. The samples we processed were SRR1178008, SRR1178009, SRR1178010, SRR1178014, SRR1178021, SRR1178047, SRR1177981, SRR1177982, SRR1177983, SRR1178050, SRR1178061, SRR1178063, SRR1178004, SRR1178006 and SRR1178013 from toxic group 3 that included Leflunomide, Fluconazole and Ifosfamide. These samples were then aligned using STAR and the quality control had also been conducted using fastqc and multiqc software.</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Data quality control</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The quality of the data was assessed by fastqc and multiqc software. In each section of fastqc and multiqc report, there was a standard for acceptable quality. The following table and figures were the results created from multiqc. There wasn’t any sample removed from our dataset, though some of them did not meet the standard of some quality control metrics. The details were shown below.</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1.0566615620214"/>
        <w:gridCol w:w="1290.0459418070443"/>
        <w:gridCol w:w="1290.0459418070443"/>
        <w:gridCol w:w="1232.7105666156203"/>
        <w:gridCol w:w="1247.0444104134763"/>
        <w:gridCol w:w="1247.0444104134763"/>
        <w:gridCol w:w="1462.0520673813169"/>
        <w:tblGridChange w:id="0">
          <w:tblGrid>
            <w:gridCol w:w="1591.0566615620214"/>
            <w:gridCol w:w="1290.0459418070443"/>
            <w:gridCol w:w="1290.0459418070443"/>
            <w:gridCol w:w="1232.7105666156203"/>
            <w:gridCol w:w="1247.0444104134763"/>
            <w:gridCol w:w="1247.0444104134763"/>
            <w:gridCol w:w="1462.0520673813169"/>
          </w:tblGrid>
        </w:tblGridChange>
      </w:tblGrid>
      <w:tr>
        <w:trPr>
          <w:trHeight w:val="22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Sample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Total reads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Number of uniquely mapped reads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 of uniquely mapped reads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Number of multi-mapping reads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 of multi-mapping reads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 of reads unmapped</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SRR1177981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14229351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11410110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80.19%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537573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3.78%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15.91%</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SRR1177982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17168681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14390023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83.82%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630047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3.67%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12.35%</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SRR1177983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16152281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12859278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79.61%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568705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3.52%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16.72%</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SRR1178008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15156072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13348761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88.08%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533695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3.52%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8.16%</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SRR1178009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18110504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16315003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90.09%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460617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2.54%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7.22%</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SRR1178010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18572519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16832537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90.63%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505301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2.72%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6.50%</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SRR1178014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17524782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14637080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83.52%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1151194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6.57%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9.41%</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SRR1178021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17497925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14340044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81.95%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1008867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5.77%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11.98%</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SRR1178047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17093302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14355442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83.98%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999412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5.85%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9.73%</w:t>
            </w:r>
          </w:p>
        </w:tc>
      </w:tr>
    </w:tbl>
    <w:p w:rsidR="00000000" w:rsidDel="00000000" w:rsidP="00000000" w:rsidRDefault="00000000" w:rsidRPr="00000000" w14:paraId="00000058">
      <w:pPr>
        <w:jc w:val="center"/>
        <w:rPr>
          <w:b w:val="1"/>
          <w:sz w:val="20"/>
          <w:szCs w:val="20"/>
        </w:rPr>
      </w:pPr>
      <w:r w:rsidDel="00000000" w:rsidR="00000000" w:rsidRPr="00000000">
        <w:rPr>
          <w:b w:val="1"/>
          <w:sz w:val="20"/>
          <w:szCs w:val="20"/>
          <w:rtl w:val="0"/>
        </w:rPr>
        <w:t xml:space="preserve">Table.1 STAR alignment statisticsTable.1 STAR alignment statistics of total reads, uniquely mapped reads, multi-mapping reads and unmapped reads for the 9 samples</w:t>
      </w:r>
    </w:p>
    <w:p w:rsidR="00000000" w:rsidDel="00000000" w:rsidP="00000000" w:rsidRDefault="00000000" w:rsidRPr="00000000" w14:paraId="00000059">
      <w:pPr>
        <w:jc w:val="center"/>
        <w:rPr>
          <w:b w:val="1"/>
          <w:sz w:val="20"/>
          <w:szCs w:val="20"/>
        </w:rPr>
      </w:pPr>
      <w:r w:rsidDel="00000000" w:rsidR="00000000" w:rsidRPr="00000000">
        <w:rPr>
          <w:rtl w:val="0"/>
        </w:rPr>
      </w:r>
    </w:p>
    <w:p w:rsidR="00000000" w:rsidDel="00000000" w:rsidP="00000000" w:rsidRDefault="00000000" w:rsidRPr="00000000" w14:paraId="0000005A">
      <w:pPr>
        <w:jc w:val="center"/>
        <w:rPr>
          <w:b w:val="1"/>
          <w:sz w:val="20"/>
          <w:szCs w:val="20"/>
        </w:rPr>
      </w:pPr>
      <w:r w:rsidDel="00000000" w:rsidR="00000000" w:rsidRPr="00000000">
        <w:rPr>
          <w:b w:val="1"/>
          <w:sz w:val="20"/>
          <w:szCs w:val="20"/>
        </w:rPr>
        <w:drawing>
          <wp:inline distB="114300" distT="114300" distL="114300" distR="114300">
            <wp:extent cx="4019550" cy="2686050"/>
            <wp:effectExtent b="0" l="0" r="0" t="0"/>
            <wp:docPr id="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0195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b w:val="1"/>
          <w:sz w:val="20"/>
          <w:szCs w:val="20"/>
        </w:rPr>
      </w:pPr>
      <w:r w:rsidDel="00000000" w:rsidR="00000000" w:rsidRPr="00000000">
        <w:rPr>
          <w:b w:val="1"/>
          <w:sz w:val="20"/>
          <w:szCs w:val="20"/>
          <w:rtl w:val="0"/>
        </w:rPr>
        <w:t xml:space="preserve">Fig.1 STAR alignment percentage of numbers of uniquely mapped reads, multi-mapping reads and unmapped reads for the 9 samples</w:t>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spacing w:after="240" w:before="240" w:lineRule="auto"/>
        <w:jc w:val="both"/>
        <w:rPr/>
      </w:pPr>
      <w:r w:rsidDel="00000000" w:rsidR="00000000" w:rsidRPr="00000000">
        <w:rPr>
          <w:rtl w:val="0"/>
        </w:rPr>
        <w:t xml:space="preserve">The alignment statistics (Table.1) and the percentage bar chart for the statistics (Fig.1) were shown above. The average number of the total reads for the 9 samples was around 16833935. Among these reads, there were about 80%-90% of them successfully uniquely mapped to the genome. There were only 2%-6% of the reads multi-mapped and 6%-16% of the reads unmapped, which could be treated as acceptable quality. </w:t>
      </w:r>
    </w:p>
    <w:p w:rsidR="00000000" w:rsidDel="00000000" w:rsidP="00000000" w:rsidRDefault="00000000" w:rsidRPr="00000000" w14:paraId="0000005E">
      <w:pPr>
        <w:spacing w:after="240" w:before="240" w:lineRule="auto"/>
        <w:jc w:val="both"/>
        <w:rPr/>
      </w:pPr>
      <w:r w:rsidDel="00000000" w:rsidR="00000000" w:rsidRPr="00000000">
        <w:rPr>
          <w:rtl w:val="0"/>
        </w:rPr>
      </w:r>
    </w:p>
    <w:p w:rsidR="00000000" w:rsidDel="00000000" w:rsidP="00000000" w:rsidRDefault="00000000" w:rsidRPr="00000000" w14:paraId="0000005F">
      <w:pPr>
        <w:spacing w:after="240" w:before="240" w:lineRule="auto"/>
        <w:jc w:val="center"/>
        <w:rPr/>
      </w:pPr>
      <w:r w:rsidDel="00000000" w:rsidR="00000000" w:rsidRPr="00000000">
        <w:rPr/>
        <w:drawing>
          <wp:inline distB="114300" distT="114300" distL="114300" distR="114300">
            <wp:extent cx="4007644" cy="2671763"/>
            <wp:effectExtent b="0" l="0" r="0" t="0"/>
            <wp:docPr id="3"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007644"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jc w:val="center"/>
        <w:rPr>
          <w:b w:val="1"/>
          <w:sz w:val="20"/>
          <w:szCs w:val="20"/>
        </w:rPr>
      </w:pPr>
      <w:r w:rsidDel="00000000" w:rsidR="00000000" w:rsidRPr="00000000">
        <w:rPr>
          <w:b w:val="1"/>
          <w:sz w:val="20"/>
          <w:szCs w:val="20"/>
          <w:rtl w:val="0"/>
        </w:rPr>
        <w:t xml:space="preserve">Fig.2 MultiQC report: FastQC—quality scores across all bases</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The ‘per base sequence quality’ which showed the quality scores across all bases for the 9 samples (18 fastq files) was shown above (Fig.2). In this part, among the 18 fastq files, only 3 of them passed the quality test. There were 15 of them raising failures. From Fig.2, for most of the samples, the qualities of the bases were good until ~70bp (higher than 30). However, they were not satisfactory after 90bp and dropped below 20 at the end of the reads. The reason for these failures could be concluded that in general sequencing, chemistry degraded with increasing read length and for long runs the base quality would decrease to a level that would result in a failure [5]. One possible solution is to perform quality trimming where reads are truncated based on their average quality. Here the last 10 bp could be trimmed. However, we did not remove these data or perform any further steps to improve their qualities. On one hand, the author of the original paper did not mention if they performed any trimming step, though they did mention that they had used Fastqc for quality control. On the other hand, it was acceptable to see the relatively lower quality at the end of the reads (over 20 around 90bp). As we were aiming to reproduce their results, we kept these data for the following analysis.</w:t>
      </w:r>
    </w:p>
    <w:p w:rsidR="00000000" w:rsidDel="00000000" w:rsidP="00000000" w:rsidRDefault="00000000" w:rsidRPr="00000000" w14:paraId="00000062">
      <w:pPr>
        <w:spacing w:after="240" w:before="240" w:lineRule="auto"/>
        <w:jc w:val="center"/>
        <w:rPr/>
      </w:pPr>
      <w:r w:rsidDel="00000000" w:rsidR="00000000" w:rsidRPr="00000000">
        <w:rPr/>
        <w:drawing>
          <wp:inline distB="114300" distT="114300" distL="114300" distR="114300">
            <wp:extent cx="3807619" cy="2538413"/>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07619"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jc w:val="center"/>
        <w:rPr>
          <w:b w:val="1"/>
          <w:sz w:val="20"/>
          <w:szCs w:val="20"/>
        </w:rPr>
      </w:pPr>
      <w:r w:rsidDel="00000000" w:rsidR="00000000" w:rsidRPr="00000000">
        <w:rPr>
          <w:b w:val="1"/>
          <w:sz w:val="20"/>
          <w:szCs w:val="20"/>
          <w:rtl w:val="0"/>
        </w:rPr>
        <w:t xml:space="preserve">Fig.3 MultiQC report: FastQC—per sequence quality scores</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The ‘per sequence quality scores’ which indicated the quality of the subsets of the sequences was shown in Fig.3. In this part, all the samples passed the quality test. From Fig.3, the most frequently average quality was around 36 and there is no other obvious peak or fluctuation, which indicated that a large proportion of the sequences had good average quality. </w:t>
      </w:r>
    </w:p>
    <w:p w:rsidR="00000000" w:rsidDel="00000000" w:rsidP="00000000" w:rsidRDefault="00000000" w:rsidRPr="00000000" w14:paraId="00000065">
      <w:pPr>
        <w:spacing w:after="240" w:before="240" w:lineRule="auto"/>
        <w:jc w:val="center"/>
        <w:rPr/>
      </w:pPr>
      <w:r w:rsidDel="00000000" w:rsidR="00000000" w:rsidRPr="00000000">
        <w:rPr/>
        <w:drawing>
          <wp:inline distB="114300" distT="114300" distL="114300" distR="114300">
            <wp:extent cx="5286375" cy="2314575"/>
            <wp:effectExtent b="0" l="0" r="0" t="0"/>
            <wp:docPr id="26"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2863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jc w:val="center"/>
        <w:rPr>
          <w:b w:val="1"/>
          <w:sz w:val="20"/>
          <w:szCs w:val="20"/>
        </w:rPr>
      </w:pPr>
      <w:r w:rsidDel="00000000" w:rsidR="00000000" w:rsidRPr="00000000">
        <w:rPr>
          <w:b w:val="1"/>
          <w:sz w:val="20"/>
          <w:szCs w:val="20"/>
          <w:rtl w:val="0"/>
        </w:rPr>
        <w:t xml:space="preserve">Fig.4 MultiQC report: FastQC—Per Base Sequence Content</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The ‘per base sequence content’ which indicated the percentage of four normal DNA bases in each base position was shown in Fig.4. In this part, most of the samples failed the test because an unexpected difference between the four DNA bases was greater than 20% at the start of the reads. From Fig.4, for each sample, there were obvious colors representing the DNA bases shown at the first several bases that indicated their higher percentage. Nevertheless, it was acceptable since nearly all RNA-Seq data will fail this test because of a biased selection of the random primers that would affect around the first 12bp [5]. In this situation, it didn’t represent biased sequences and would not influence the following processing and analysis.  </w:t>
      </w:r>
    </w:p>
    <w:p w:rsidR="00000000" w:rsidDel="00000000" w:rsidP="00000000" w:rsidRDefault="00000000" w:rsidRPr="00000000" w14:paraId="00000068">
      <w:pPr>
        <w:spacing w:after="240" w:before="240" w:lineRule="auto"/>
        <w:jc w:val="center"/>
        <w:rPr/>
      </w:pPr>
      <w:r w:rsidDel="00000000" w:rsidR="00000000" w:rsidRPr="00000000">
        <w:rPr/>
        <w:drawing>
          <wp:inline distB="114300" distT="114300" distL="114300" distR="114300">
            <wp:extent cx="3874102" cy="2586038"/>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74102"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jc w:val="center"/>
        <w:rPr>
          <w:b w:val="1"/>
          <w:sz w:val="20"/>
          <w:szCs w:val="20"/>
        </w:rPr>
      </w:pPr>
      <w:r w:rsidDel="00000000" w:rsidR="00000000" w:rsidRPr="00000000">
        <w:rPr>
          <w:b w:val="1"/>
          <w:sz w:val="20"/>
          <w:szCs w:val="20"/>
          <w:rtl w:val="0"/>
        </w:rPr>
        <w:t xml:space="preserve">Fig.5 MultiQC report: FastQC—Per Sequence GC Content</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The ‘per sequence GC content’ which indicated the average GC content of reads was shown in Fig.5. In this part, there were some warnings raised because the sum of the deviations from the normal distribution represents more than 15% of the reads [5] but they were still acceptable. </w:t>
      </w:r>
    </w:p>
    <w:p w:rsidR="00000000" w:rsidDel="00000000" w:rsidP="00000000" w:rsidRDefault="00000000" w:rsidRPr="00000000" w14:paraId="0000006B">
      <w:pPr>
        <w:spacing w:after="240" w:before="240" w:lineRule="auto"/>
        <w:jc w:val="center"/>
        <w:rPr/>
      </w:pPr>
      <w:r w:rsidDel="00000000" w:rsidR="00000000" w:rsidRPr="00000000">
        <w:rPr/>
        <w:drawing>
          <wp:inline distB="114300" distT="114300" distL="114300" distR="114300">
            <wp:extent cx="3893344" cy="2595563"/>
            <wp:effectExtent b="0" l="0" r="0" t="0"/>
            <wp:docPr id="10"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3893344"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jc w:val="center"/>
        <w:rPr>
          <w:b w:val="1"/>
          <w:sz w:val="20"/>
          <w:szCs w:val="20"/>
        </w:rPr>
      </w:pPr>
      <w:r w:rsidDel="00000000" w:rsidR="00000000" w:rsidRPr="00000000">
        <w:rPr>
          <w:b w:val="1"/>
          <w:sz w:val="20"/>
          <w:szCs w:val="20"/>
          <w:rtl w:val="0"/>
        </w:rPr>
        <w:t xml:space="preserve">Fig.6 MultiQC report: FastQC—Per base N Content</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The ‘per base N content’ which indicated the percentage of ‘N’ at each position was shown in Fig.6. When it was not confident to call any of the four DNA bases, the N would be substituted. In this part, all the samples passed the test and the samples showed very low percent of ‘N’ in each position.  </w:t>
      </w:r>
    </w:p>
    <w:p w:rsidR="00000000" w:rsidDel="00000000" w:rsidP="00000000" w:rsidRDefault="00000000" w:rsidRPr="00000000" w14:paraId="0000006E">
      <w:pPr>
        <w:spacing w:after="240" w:before="240" w:lineRule="auto"/>
        <w:jc w:val="center"/>
        <w:rPr/>
      </w:pPr>
      <w:r w:rsidDel="00000000" w:rsidR="00000000" w:rsidRPr="00000000">
        <w:rPr/>
        <w:drawing>
          <wp:inline distB="114300" distT="114300" distL="114300" distR="114300">
            <wp:extent cx="3833813" cy="2555875"/>
            <wp:effectExtent b="0" l="0" r="0" t="0"/>
            <wp:docPr id="15"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3833813" cy="25558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jc w:val="center"/>
        <w:rPr>
          <w:b w:val="1"/>
          <w:sz w:val="20"/>
          <w:szCs w:val="20"/>
        </w:rPr>
      </w:pPr>
      <w:r w:rsidDel="00000000" w:rsidR="00000000" w:rsidRPr="00000000">
        <w:rPr>
          <w:b w:val="1"/>
          <w:sz w:val="20"/>
          <w:szCs w:val="20"/>
          <w:rtl w:val="0"/>
        </w:rPr>
        <w:t xml:space="preserve">Fig.7 MultiQC report: FastQC—percentage of sequence counts</w:t>
      </w:r>
    </w:p>
    <w:p w:rsidR="00000000" w:rsidDel="00000000" w:rsidP="00000000" w:rsidRDefault="00000000" w:rsidRPr="00000000" w14:paraId="00000070">
      <w:pPr>
        <w:spacing w:after="240" w:before="240" w:lineRule="auto"/>
        <w:jc w:val="center"/>
        <w:rPr/>
      </w:pPr>
      <w:r w:rsidDel="00000000" w:rsidR="00000000" w:rsidRPr="00000000">
        <w:rPr/>
        <w:drawing>
          <wp:inline distB="114300" distT="114300" distL="114300" distR="114300">
            <wp:extent cx="3681413" cy="2460944"/>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81413" cy="246094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jc w:val="center"/>
        <w:rPr>
          <w:b w:val="1"/>
          <w:sz w:val="20"/>
          <w:szCs w:val="20"/>
        </w:rPr>
      </w:pPr>
      <w:r w:rsidDel="00000000" w:rsidR="00000000" w:rsidRPr="00000000">
        <w:rPr>
          <w:b w:val="1"/>
          <w:sz w:val="20"/>
          <w:szCs w:val="20"/>
          <w:rtl w:val="0"/>
        </w:rPr>
        <w:t xml:space="preserve">Fig.8 MultiQC report: FastQC—sequence duplication levels</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The percentage of unique reads and duplicate reads and the ‘sequence duplication levels’ which indicated the relative number of sequences with different degrees of duplication were shown in Fig.7 and Fig.8. In this part, many of the samples failed the test due to their high duplication levels. However, for RNA-seq data, usually high expressed transcripts would be over-sequenced to obtain the lowly expressed transcript so that the large amounts of duplicates would always happen [5]. It was acceptable for RNA-seq data to have a high duplicated level and we concluded that the data could be used for following analysis.</w:t>
      </w:r>
    </w:p>
    <w:p w:rsidR="00000000" w:rsidDel="00000000" w:rsidP="00000000" w:rsidRDefault="00000000" w:rsidRPr="00000000" w14:paraId="00000073">
      <w:pPr>
        <w:spacing w:after="240" w:before="240" w:lineRule="auto"/>
        <w:jc w:val="center"/>
        <w:rPr/>
      </w:pPr>
      <w:r w:rsidDel="00000000" w:rsidR="00000000" w:rsidRPr="00000000">
        <w:rPr/>
        <w:drawing>
          <wp:inline distB="114300" distT="114300" distL="114300" distR="114300">
            <wp:extent cx="3976688" cy="2651125"/>
            <wp:effectExtent b="0" l="0" r="0" t="0"/>
            <wp:docPr id="24"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3976688" cy="26511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jc w:val="center"/>
        <w:rPr>
          <w:b w:val="1"/>
          <w:sz w:val="20"/>
          <w:szCs w:val="20"/>
        </w:rPr>
      </w:pPr>
      <w:r w:rsidDel="00000000" w:rsidR="00000000" w:rsidRPr="00000000">
        <w:rPr>
          <w:b w:val="1"/>
          <w:sz w:val="20"/>
          <w:szCs w:val="20"/>
          <w:rtl w:val="0"/>
        </w:rPr>
        <w:t xml:space="preserve">Fig.9 MultiQC report: FastQC—overrepresented sequence</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The ‘overrepresented sequences’ which indicated the percentage of top overrepresented sequence and sum of remaining overrepresented sequences was shown in Fig.9. In this part, there are two failed tests among the samples due to the sequences representing over 1% of total. As mentioned previously, for RNA-seq some high expressed transcripts would be over-sequenced to obtain those lowly expressed transcripts. Therefore, it was common that overrepresented sequences were present and they were acceptable for RNA-seq data.</w:t>
      </w:r>
    </w:p>
    <w:p w:rsidR="00000000" w:rsidDel="00000000" w:rsidP="00000000" w:rsidRDefault="00000000" w:rsidRPr="00000000" w14:paraId="00000076">
      <w:pPr>
        <w:spacing w:after="240" w:before="240" w:lineRule="auto"/>
        <w:jc w:val="center"/>
        <w:rPr/>
      </w:pPr>
      <w:r w:rsidDel="00000000" w:rsidR="00000000" w:rsidRPr="00000000">
        <w:rPr/>
        <w:drawing>
          <wp:inline distB="114300" distT="114300" distL="114300" distR="114300">
            <wp:extent cx="4129088" cy="2752725"/>
            <wp:effectExtent b="0" l="0" r="0" t="0"/>
            <wp:docPr id="27"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4129088"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jc w:val="center"/>
        <w:rPr>
          <w:b w:val="1"/>
          <w:sz w:val="20"/>
          <w:szCs w:val="20"/>
        </w:rPr>
      </w:pPr>
      <w:r w:rsidDel="00000000" w:rsidR="00000000" w:rsidRPr="00000000">
        <w:rPr>
          <w:b w:val="1"/>
          <w:sz w:val="20"/>
          <w:szCs w:val="20"/>
          <w:rtl w:val="0"/>
        </w:rPr>
        <w:t xml:space="preserve">Fig.10 MultiQC report: FastQC—Adapter content</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The ‘adapter content’ which indicated the cumulative percentage count of the proportion of the adapter sequence at each base position was shown in Fig.10. In this part, all the samples passed the test and there was no adapter sequence present in more than 2% of all reads, which indicated their good quality. </w:t>
      </w:r>
    </w:p>
    <w:p w:rsidR="00000000" w:rsidDel="00000000" w:rsidP="00000000" w:rsidRDefault="00000000" w:rsidRPr="00000000" w14:paraId="00000079">
      <w:pPr>
        <w:spacing w:after="240" w:before="240" w:lineRule="auto"/>
        <w:jc w:val="both"/>
        <w:rPr/>
      </w:pPr>
      <w:r w:rsidDel="00000000" w:rsidR="00000000" w:rsidRPr="00000000">
        <w:rPr>
          <w:rtl w:val="0"/>
        </w:rPr>
      </w:r>
    </w:p>
    <w:p w:rsidR="00000000" w:rsidDel="00000000" w:rsidP="00000000" w:rsidRDefault="00000000" w:rsidRPr="00000000" w14:paraId="0000007A">
      <w:pPr>
        <w:spacing w:after="240" w:before="240" w:lineRule="auto"/>
        <w:jc w:val="both"/>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7B">
      <w:pPr>
        <w:spacing w:after="240" w:before="240" w:lineRule="auto"/>
        <w:jc w:val="both"/>
        <w:rPr>
          <w:b w:val="1"/>
        </w:rPr>
      </w:pPr>
      <w:r w:rsidDel="00000000" w:rsidR="00000000" w:rsidRPr="00000000">
        <w:rPr>
          <w:b w:val="1"/>
          <w:rtl w:val="0"/>
        </w:rPr>
        <w:t xml:space="preserve">Quality Control Tools</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Fastqc/0.11.7 and MultiQC/1.6 had been used for raw data quality control to ensure the good quality of reads. For Fastqc, it provided some analyses that could be used as indices and indicators for the data quality before doing any further analysis [5]. The fastq files were the input and the output was the quality control metrics as html format. For MultiQC [6], it collected information created from multiple bioinformatics software such as Fastqc and STAR (described below) and made them into one single html report. The available information would be put in one directory as input and the output would be one single html report.</w:t>
      </w:r>
    </w:p>
    <w:p w:rsidR="00000000" w:rsidDel="00000000" w:rsidP="00000000" w:rsidRDefault="00000000" w:rsidRPr="00000000" w14:paraId="0000007D">
      <w:pPr>
        <w:spacing w:after="240" w:before="240" w:lineRule="auto"/>
        <w:jc w:val="both"/>
        <w:rPr/>
      </w:pPr>
      <w:r w:rsidDel="00000000" w:rsidR="00000000" w:rsidRPr="00000000">
        <w:rPr>
          <w:b w:val="1"/>
          <w:rtl w:val="0"/>
        </w:rPr>
        <w:t xml:space="preserve">Sample alignment </w:t>
      </w:r>
      <w:r w:rsidDel="00000000" w:rsidR="00000000" w:rsidRPr="00000000">
        <w:rPr>
          <w:rtl w:val="0"/>
        </w:rPr>
        <w:t xml:space="preserve"> </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Each sample was aligned against the rat genome using STAR/2.6.0c [7]. STAR was an alignment tool spliced RNA-seq data and was based on an alignment algorithm that applied sequential maximum mappable seed search in uncompressed suffix arrays followed by seed clustering and stitching procedure [8]. Running STAR aligner required the genome and index as parameters put in one directory, together with setting the fastq files as input. The other parameters we set include ‘runThreadN’ as 16, ‘readFilesCommand’ as zcat and ‘outSAMtype’ as Bam SortedByCoordinate. This allowed us to obtain the sorted Bam format files instead of Sam format files. Besides, the ‘outFileNamePrefix’ parameter was also specified to obtain a unique name for each sample. The output included the alignment bam files, together with alignment statistics including the information for uniquely mapped reads, multi-mapped reads as well as the unmapped reads.</w:t>
      </w:r>
    </w:p>
    <w:p w:rsidR="00000000" w:rsidDel="00000000" w:rsidP="00000000" w:rsidRDefault="00000000" w:rsidRPr="00000000" w14:paraId="0000007F">
      <w:pPr>
        <w:spacing w:after="240" w:before="240" w:lineRule="auto"/>
        <w:jc w:val="both"/>
        <w:rPr>
          <w:b w:val="1"/>
        </w:rPr>
      </w:pPr>
      <w:r w:rsidDel="00000000" w:rsidR="00000000" w:rsidRPr="00000000">
        <w:rPr>
          <w:b w:val="1"/>
          <w:rtl w:val="0"/>
        </w:rPr>
        <w:t xml:space="preserve">Gene annotation </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The nine samples aligned with STAR are then annotated against a gene annotation gtf file using featureCounts tool from the subread package. A qsub script was submitted on SCC, which ran featureCounts on each aligned sample BAM file against the gene annotation file. The script successfully executed and outuputted nine gene count files for each sample. Subsequent quality check on gene annotation output was performed by multiqc per samplewise. The gene counts were extracted from each featureCounts output file and combined into a single csv file for further analysis. Each samples’ gene counts across the entire annotation gene list was plotted as a boxplot using the combined csv file and R for a quick visual examination of the distribution of the counts. Due to irregular distribution and the large range of the gene counts, log scale of the gene counts were used instead.</w:t>
      </w:r>
    </w:p>
    <w:p w:rsidR="00000000" w:rsidDel="00000000" w:rsidP="00000000" w:rsidRDefault="00000000" w:rsidRPr="00000000" w14:paraId="00000081">
      <w:pPr>
        <w:spacing w:after="240" w:before="240" w:lineRule="auto"/>
        <w:jc w:val="both"/>
        <w:rPr>
          <w:b w:val="1"/>
        </w:rPr>
      </w:pPr>
      <w:r w:rsidDel="00000000" w:rsidR="00000000" w:rsidRPr="00000000">
        <w:rPr>
          <w:b w:val="1"/>
          <w:rtl w:val="0"/>
        </w:rPr>
        <w:t xml:space="preserve">RNA-seq differential expression analysis</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DESeq2 that uses a negative binomial regression was employed to analyze the gene count difference between experimental samples groups and control groups. The samples from toxicological chemicals treatment group three contain three sets of mode of action treatment groups, including chemical targeting AhR, CAR/PXR nuclear receptors, and chemical that causes DNA damage. Depending on the delivery vehicle of the toxins, three sets of samples’ gene counts were compared with the appropriate controls. </w:t>
      </w:r>
      <w:r w:rsidDel="00000000" w:rsidR="00000000" w:rsidRPr="00000000">
        <w:rPr>
          <w:rtl w:val="0"/>
        </w:rPr>
        <w:t xml:space="preserve">DESeq2</w:t>
      </w:r>
      <w:r w:rsidDel="00000000" w:rsidR="00000000" w:rsidRPr="00000000">
        <w:rPr>
          <w:rtl w:val="0"/>
        </w:rPr>
        <w:t xml:space="preserve"> package in R successfully produced 3 sets of output files for each toxin group. The result data frames were then sorted based on the adjusted p value in an ascending order, allowing the most significantly differentially expressed genes after toxin treatment to be examined. The number of genes with adjusted p value lower than 0.05 were counted for each treatment group and the top 10 most significant genes were reported and combined into a new dataframe and subsequently saved as a new csv file. Histograms of significant genes’ fold change for each toxin treatment group were plotted using R. Volcano plots were generated using the ggplot package in R and the most significantly differentially expressed genes in each group were highlighted red.</w:t>
      </w:r>
      <w:r w:rsidDel="00000000" w:rsidR="00000000" w:rsidRPr="00000000">
        <w:rPr>
          <w:rtl w:val="0"/>
        </w:rPr>
      </w:r>
    </w:p>
    <w:p w:rsidR="00000000" w:rsidDel="00000000" w:rsidP="00000000" w:rsidRDefault="00000000" w:rsidRPr="00000000" w14:paraId="00000083">
      <w:pPr>
        <w:spacing w:after="240" w:before="240" w:lineRule="auto"/>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The multiQC report on gene annotation showed that the aligned reads from all nine samples has a good match percentage to the genes in the annotation file. Most of the samples have a 60% assigned rate. </w:t>
      </w:r>
    </w:p>
    <w:p w:rsidR="00000000" w:rsidDel="00000000" w:rsidP="00000000" w:rsidRDefault="00000000" w:rsidRPr="00000000" w14:paraId="00000085">
      <w:pPr>
        <w:spacing w:after="240" w:before="240" w:lineRule="auto"/>
        <w:jc w:val="both"/>
        <w:rPr>
          <w:b w:val="1"/>
          <w:sz w:val="24"/>
          <w:szCs w:val="24"/>
        </w:rPr>
      </w:pPr>
      <w:r w:rsidDel="00000000" w:rsidR="00000000" w:rsidRPr="00000000">
        <w:rPr>
          <w:b w:val="1"/>
          <w:sz w:val="24"/>
          <w:szCs w:val="24"/>
        </w:rPr>
        <w:drawing>
          <wp:inline distB="114300" distT="114300" distL="114300" distR="114300">
            <wp:extent cx="5943600" cy="24765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jc w:val="center"/>
        <w:rPr/>
      </w:pPr>
      <w:r w:rsidDel="00000000" w:rsidR="00000000" w:rsidRPr="00000000">
        <w:rPr>
          <w:rtl w:val="0"/>
        </w:rPr>
        <w:t xml:space="preserve">Fig.11. MultiQC result on featureCounts alignment result</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According to the log scale boxplot, The range of the gene counts are really high even on a log scale. The distribution of gene expression level seems to be agreeable between samples.</w:t>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jc w:val="center"/>
        <w:rPr/>
      </w:pPr>
      <w:r w:rsidDel="00000000" w:rsidR="00000000" w:rsidRPr="00000000">
        <w:rPr/>
        <w:drawing>
          <wp:inline distB="114300" distT="114300" distL="114300" distR="114300">
            <wp:extent cx="5943600" cy="4953000"/>
            <wp:effectExtent b="0" l="0" r="0" t="0"/>
            <wp:docPr id="1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jc w:val="center"/>
        <w:rPr/>
      </w:pPr>
      <w:r w:rsidDel="00000000" w:rsidR="00000000" w:rsidRPr="00000000">
        <w:rPr>
          <w:rtl w:val="0"/>
        </w:rPr>
        <w:t xml:space="preserve">Fig.12 Boxplots of gene counts in log scale</w:t>
      </w:r>
    </w:p>
    <w:p w:rsidR="00000000" w:rsidDel="00000000" w:rsidP="00000000" w:rsidRDefault="00000000" w:rsidRPr="00000000" w14:paraId="0000008B">
      <w:pPr>
        <w:spacing w:after="240" w:before="240" w:lineRule="auto"/>
        <w:rPr/>
      </w:pPr>
      <w:r w:rsidDel="00000000" w:rsidR="00000000" w:rsidRPr="00000000">
        <w:rPr>
          <w:rtl w:val="0"/>
        </w:rPr>
        <w:t xml:space="preserve">The histograms showed that AhR samples had most genes with a log2 fold change of 1 comparing treatment samples and control. and CAR/PXR samples have a similar distribution as AhR samples. DNA damage treatment group on the other hand has very few significant genes and the log2 fold change are relatively low compared to AhR and CAR/PXR group.</w:t>
      </w:r>
    </w:p>
    <w:p w:rsidR="00000000" w:rsidDel="00000000" w:rsidP="00000000" w:rsidRDefault="00000000" w:rsidRPr="00000000" w14:paraId="0000008C">
      <w:pPr>
        <w:spacing w:after="240" w:before="240" w:lineRule="auto"/>
        <w:jc w:val="center"/>
        <w:rPr/>
      </w:pPr>
      <w:r w:rsidDel="00000000" w:rsidR="00000000" w:rsidRPr="00000000">
        <w:rPr/>
        <w:drawing>
          <wp:inline distB="114300" distT="114300" distL="114300" distR="114300">
            <wp:extent cx="5943600" cy="3225800"/>
            <wp:effectExtent b="0" l="0" r="0" t="0"/>
            <wp:docPr id="22"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Rule="auto"/>
        <w:jc w:val="center"/>
        <w:rPr/>
      </w:pPr>
      <w:r w:rsidDel="00000000" w:rsidR="00000000" w:rsidRPr="00000000">
        <w:rPr>
          <w:rtl w:val="0"/>
        </w:rPr>
        <w:t xml:space="preserve">Fig.13. Histogram of expression fold change for AhR group samples</w:t>
      </w:r>
    </w:p>
    <w:p w:rsidR="00000000" w:rsidDel="00000000" w:rsidP="00000000" w:rsidRDefault="00000000" w:rsidRPr="00000000" w14:paraId="0000008E">
      <w:pPr>
        <w:spacing w:after="240" w:before="240" w:lineRule="auto"/>
        <w:jc w:val="center"/>
        <w:rPr/>
      </w:pPr>
      <w:r w:rsidDel="00000000" w:rsidR="00000000" w:rsidRPr="00000000">
        <w:rPr>
          <w:rtl w:val="0"/>
        </w:rPr>
      </w:r>
    </w:p>
    <w:p w:rsidR="00000000" w:rsidDel="00000000" w:rsidP="00000000" w:rsidRDefault="00000000" w:rsidRPr="00000000" w14:paraId="0000008F">
      <w:pPr>
        <w:spacing w:after="240" w:before="240" w:lineRule="auto"/>
        <w:jc w:val="center"/>
        <w:rPr/>
      </w:pPr>
      <w:r w:rsidDel="00000000" w:rsidR="00000000" w:rsidRPr="00000000">
        <w:rPr/>
        <w:drawing>
          <wp:inline distB="114300" distT="114300" distL="114300" distR="114300">
            <wp:extent cx="5943600" cy="3225800"/>
            <wp:effectExtent b="0" l="0" r="0" t="0"/>
            <wp:docPr id="14"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Rule="auto"/>
        <w:jc w:val="center"/>
        <w:rPr/>
      </w:pPr>
      <w:r w:rsidDel="00000000" w:rsidR="00000000" w:rsidRPr="00000000">
        <w:rPr>
          <w:rtl w:val="0"/>
        </w:rPr>
        <w:t xml:space="preserve">Fig.14 Histogram of expression fold change for CAR/PXR group samples</w:t>
      </w:r>
      <w:r w:rsidDel="00000000" w:rsidR="00000000" w:rsidRPr="00000000">
        <w:rPr>
          <w:rtl w:val="0"/>
        </w:rPr>
      </w:r>
    </w:p>
    <w:p w:rsidR="00000000" w:rsidDel="00000000" w:rsidP="00000000" w:rsidRDefault="00000000" w:rsidRPr="00000000" w14:paraId="00000091">
      <w:pPr>
        <w:spacing w:after="240" w:before="240" w:lineRule="auto"/>
        <w:jc w:val="both"/>
        <w:rPr>
          <w:b w:val="1"/>
          <w:sz w:val="24"/>
          <w:szCs w:val="24"/>
        </w:rPr>
      </w:pPr>
      <w:r w:rsidDel="00000000" w:rsidR="00000000" w:rsidRPr="00000000">
        <w:rPr>
          <w:b w:val="1"/>
          <w:sz w:val="24"/>
          <w:szCs w:val="24"/>
        </w:rPr>
        <w:drawing>
          <wp:inline distB="114300" distT="114300" distL="114300" distR="114300">
            <wp:extent cx="5943600" cy="3225800"/>
            <wp:effectExtent b="0" l="0" r="0" t="0"/>
            <wp:docPr id="19"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Rule="auto"/>
        <w:jc w:val="center"/>
        <w:rPr/>
      </w:pPr>
      <w:r w:rsidDel="00000000" w:rsidR="00000000" w:rsidRPr="00000000">
        <w:rPr>
          <w:rtl w:val="0"/>
        </w:rPr>
        <w:t xml:space="preserve">Fig.15 Histogram of expression fold change for DNA-dmg group samples</w:t>
      </w:r>
    </w:p>
    <w:p w:rsidR="00000000" w:rsidDel="00000000" w:rsidP="00000000" w:rsidRDefault="00000000" w:rsidRPr="00000000" w14:paraId="00000093">
      <w:pPr>
        <w:spacing w:after="240" w:before="240" w:lineRule="auto"/>
        <w:jc w:val="center"/>
        <w:rPr/>
      </w:pPr>
      <w:r w:rsidDel="00000000" w:rsidR="00000000" w:rsidRPr="00000000">
        <w:rPr>
          <w:rtl w:val="0"/>
        </w:rPr>
      </w:r>
    </w:p>
    <w:p w:rsidR="00000000" w:rsidDel="00000000" w:rsidP="00000000" w:rsidRDefault="00000000" w:rsidRPr="00000000" w14:paraId="00000094">
      <w:pPr>
        <w:spacing w:after="240" w:before="240" w:lineRule="auto"/>
        <w:jc w:val="center"/>
        <w:rPr/>
      </w:pPr>
      <w:r w:rsidDel="00000000" w:rsidR="00000000" w:rsidRPr="00000000">
        <w:rPr>
          <w:rtl w:val="0"/>
        </w:rPr>
      </w:r>
    </w:p>
    <w:p w:rsidR="00000000" w:rsidDel="00000000" w:rsidP="00000000" w:rsidRDefault="00000000" w:rsidRPr="00000000" w14:paraId="00000095">
      <w:pPr>
        <w:spacing w:after="240" w:before="240" w:lineRule="auto"/>
        <w:jc w:val="center"/>
        <w:rPr/>
      </w:pPr>
      <w:r w:rsidDel="00000000" w:rsidR="00000000" w:rsidRPr="00000000">
        <w:rPr>
          <w:rtl w:val="0"/>
        </w:rPr>
      </w:r>
    </w:p>
    <w:p w:rsidR="00000000" w:rsidDel="00000000" w:rsidP="00000000" w:rsidRDefault="00000000" w:rsidRPr="00000000" w14:paraId="00000096">
      <w:pPr>
        <w:spacing w:after="240" w:before="240" w:lineRule="auto"/>
        <w:jc w:val="center"/>
        <w:rPr/>
      </w:pPr>
      <w:r w:rsidDel="00000000" w:rsidR="00000000" w:rsidRPr="00000000">
        <w:rPr>
          <w:rtl w:val="0"/>
        </w:rPr>
      </w:r>
    </w:p>
    <w:p w:rsidR="00000000" w:rsidDel="00000000" w:rsidP="00000000" w:rsidRDefault="00000000" w:rsidRPr="00000000" w14:paraId="00000097">
      <w:pPr>
        <w:spacing w:after="240" w:before="240" w:lineRule="auto"/>
        <w:jc w:val="center"/>
        <w:rPr/>
      </w:pPr>
      <w:r w:rsidDel="00000000" w:rsidR="00000000" w:rsidRPr="00000000">
        <w:rPr>
          <w:rtl w:val="0"/>
        </w:rPr>
      </w:r>
    </w:p>
    <w:p w:rsidR="00000000" w:rsidDel="00000000" w:rsidP="00000000" w:rsidRDefault="00000000" w:rsidRPr="00000000" w14:paraId="00000098">
      <w:pPr>
        <w:spacing w:after="240" w:before="240" w:lineRule="auto"/>
        <w:jc w:val="center"/>
        <w:rPr/>
      </w:pPr>
      <w:r w:rsidDel="00000000" w:rsidR="00000000" w:rsidRPr="00000000">
        <w:rPr>
          <w:rtl w:val="0"/>
        </w:rPr>
      </w:r>
    </w:p>
    <w:p w:rsidR="00000000" w:rsidDel="00000000" w:rsidP="00000000" w:rsidRDefault="00000000" w:rsidRPr="00000000" w14:paraId="00000099">
      <w:pPr>
        <w:spacing w:after="240" w:before="240" w:lineRule="auto"/>
        <w:jc w:val="center"/>
        <w:rPr/>
      </w:pPr>
      <w:r w:rsidDel="00000000" w:rsidR="00000000" w:rsidRPr="00000000">
        <w:rPr>
          <w:rtl w:val="0"/>
        </w:rPr>
      </w:r>
    </w:p>
    <w:p w:rsidR="00000000" w:rsidDel="00000000" w:rsidP="00000000" w:rsidRDefault="00000000" w:rsidRPr="00000000" w14:paraId="0000009A">
      <w:pPr>
        <w:spacing w:after="240" w:before="240" w:lineRule="auto"/>
        <w:jc w:val="center"/>
        <w:rPr/>
      </w:pPr>
      <w:r w:rsidDel="00000000" w:rsidR="00000000" w:rsidRPr="00000000">
        <w:rPr>
          <w:rtl w:val="0"/>
        </w:rPr>
      </w:r>
    </w:p>
    <w:p w:rsidR="00000000" w:rsidDel="00000000" w:rsidP="00000000" w:rsidRDefault="00000000" w:rsidRPr="00000000" w14:paraId="0000009B">
      <w:pPr>
        <w:spacing w:after="240" w:before="240" w:lineRule="auto"/>
        <w:jc w:val="center"/>
        <w:rPr/>
      </w:pPr>
      <w:r w:rsidDel="00000000" w:rsidR="00000000" w:rsidRPr="00000000">
        <w:rPr>
          <w:rtl w:val="0"/>
        </w:rPr>
      </w:r>
    </w:p>
    <w:p w:rsidR="00000000" w:rsidDel="00000000" w:rsidP="00000000" w:rsidRDefault="00000000" w:rsidRPr="00000000" w14:paraId="0000009C">
      <w:pPr>
        <w:spacing w:after="240" w:before="240" w:lineRule="auto"/>
        <w:jc w:val="center"/>
        <w:rPr/>
      </w:pPr>
      <w:r w:rsidDel="00000000" w:rsidR="00000000" w:rsidRPr="00000000">
        <w:rPr>
          <w:rtl w:val="0"/>
        </w:rPr>
      </w:r>
    </w:p>
    <w:p w:rsidR="00000000" w:rsidDel="00000000" w:rsidP="00000000" w:rsidRDefault="00000000" w:rsidRPr="00000000" w14:paraId="0000009D">
      <w:pPr>
        <w:spacing w:after="240" w:before="240" w:lineRule="auto"/>
        <w:jc w:val="center"/>
        <w:rPr/>
      </w:pPr>
      <w:r w:rsidDel="00000000" w:rsidR="00000000" w:rsidRPr="00000000">
        <w:rPr>
          <w:rtl w:val="0"/>
        </w:rPr>
      </w:r>
    </w:p>
    <w:p w:rsidR="00000000" w:rsidDel="00000000" w:rsidP="00000000" w:rsidRDefault="00000000" w:rsidRPr="00000000" w14:paraId="0000009E">
      <w:pPr>
        <w:spacing w:after="240" w:before="240" w:lineRule="auto"/>
        <w:jc w:val="left"/>
        <w:rPr/>
      </w:pPr>
      <w:r w:rsidDel="00000000" w:rsidR="00000000" w:rsidRPr="00000000">
        <w:rPr>
          <w:rtl w:val="0"/>
        </w:rPr>
      </w:r>
    </w:p>
    <w:p w:rsidR="00000000" w:rsidDel="00000000" w:rsidP="00000000" w:rsidRDefault="00000000" w:rsidRPr="00000000" w14:paraId="0000009F">
      <w:pPr>
        <w:spacing w:after="240" w:before="240" w:lineRule="auto"/>
        <w:jc w:val="left"/>
        <w:rPr/>
      </w:pPr>
      <w:r w:rsidDel="00000000" w:rsidR="00000000" w:rsidRPr="00000000">
        <w:rPr>
          <w:rtl w:val="0"/>
        </w:rPr>
      </w:r>
    </w:p>
    <w:p w:rsidR="00000000" w:rsidDel="00000000" w:rsidP="00000000" w:rsidRDefault="00000000" w:rsidRPr="00000000" w14:paraId="000000A0">
      <w:pPr>
        <w:spacing w:after="240" w:before="240" w:lineRule="auto"/>
        <w:jc w:val="center"/>
        <w:rPr/>
      </w:pPr>
      <w:r w:rsidDel="00000000" w:rsidR="00000000" w:rsidRPr="00000000">
        <w:rPr/>
        <w:drawing>
          <wp:inline distB="114300" distT="114300" distL="114300" distR="114300">
            <wp:extent cx="4762500" cy="5048250"/>
            <wp:effectExtent b="0" l="0" r="0" t="0"/>
            <wp:docPr id="17"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76250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jc w:val="center"/>
        <w:rPr/>
      </w:pPr>
      <w:r w:rsidDel="00000000" w:rsidR="00000000" w:rsidRPr="00000000">
        <w:rPr>
          <w:rtl w:val="0"/>
        </w:rPr>
        <w:t xml:space="preserve">Fig.16. Expression log-fold change against p-value for AhR samples</w:t>
      </w:r>
    </w:p>
    <w:p w:rsidR="00000000" w:rsidDel="00000000" w:rsidP="00000000" w:rsidRDefault="00000000" w:rsidRPr="00000000" w14:paraId="000000A2">
      <w:pPr>
        <w:spacing w:after="240" w:before="240" w:lineRule="auto"/>
        <w:jc w:val="center"/>
        <w:rPr/>
      </w:pPr>
      <w:r w:rsidDel="00000000" w:rsidR="00000000" w:rsidRPr="00000000">
        <w:rPr/>
        <w:drawing>
          <wp:inline distB="114300" distT="114300" distL="114300" distR="114300">
            <wp:extent cx="4762500" cy="5048250"/>
            <wp:effectExtent b="0" l="0" r="0" t="0"/>
            <wp:docPr id="25"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476250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40" w:before="240" w:lineRule="auto"/>
        <w:jc w:val="center"/>
        <w:rPr/>
      </w:pPr>
      <w:r w:rsidDel="00000000" w:rsidR="00000000" w:rsidRPr="00000000">
        <w:rPr>
          <w:rtl w:val="0"/>
        </w:rPr>
        <w:t xml:space="preserve">Fig.17 Expression log-fold change against p-value for CAR/PXR samples</w:t>
      </w:r>
    </w:p>
    <w:p w:rsidR="00000000" w:rsidDel="00000000" w:rsidP="00000000" w:rsidRDefault="00000000" w:rsidRPr="00000000" w14:paraId="000000A4">
      <w:pPr>
        <w:spacing w:after="240" w:before="240" w:lineRule="auto"/>
        <w:jc w:val="center"/>
        <w:rPr/>
      </w:pPr>
      <w:r w:rsidDel="00000000" w:rsidR="00000000" w:rsidRPr="00000000">
        <w:rPr/>
        <w:drawing>
          <wp:inline distB="114300" distT="114300" distL="114300" distR="114300">
            <wp:extent cx="4762500" cy="5048250"/>
            <wp:effectExtent b="0" l="0" r="0" t="0"/>
            <wp:docPr id="1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76250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40" w:before="240" w:lineRule="auto"/>
        <w:jc w:val="center"/>
        <w:rPr/>
      </w:pPr>
      <w:r w:rsidDel="00000000" w:rsidR="00000000" w:rsidRPr="00000000">
        <w:rPr>
          <w:rtl w:val="0"/>
        </w:rPr>
        <w:t xml:space="preserve">Fig.18 Expression log-fold change against p-value for DNA damage samples</w:t>
      </w:r>
    </w:p>
    <w:p w:rsidR="00000000" w:rsidDel="00000000" w:rsidP="00000000" w:rsidRDefault="00000000" w:rsidRPr="00000000" w14:paraId="000000A6">
      <w:pPr>
        <w:spacing w:after="240" w:before="240" w:lineRule="auto"/>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CAR/PXR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DNA DMG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Significant genes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NM_013096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NM_053288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NM_033234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NM_033234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NM_001108693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NM_001007722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NM_001007722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NM_001130558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NM_198776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NM_001257095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NM_001134844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NM_001111269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NM_001008880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NM_080581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NM_013096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NM_001130558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NM_013033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NM_012623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NM_012540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NM_053699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NM_199113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NM_198776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NM_024127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NM_001107084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NM_012541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NM_031048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NM_001113223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NM_130407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NM_013098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NM_001013057</w:t>
            </w:r>
          </w:p>
        </w:tc>
      </w:tr>
    </w:tbl>
    <w:p w:rsidR="00000000" w:rsidDel="00000000" w:rsidP="00000000" w:rsidRDefault="00000000" w:rsidRPr="00000000" w14:paraId="000000D7">
      <w:pPr>
        <w:spacing w:after="240" w:before="240" w:lineRule="auto"/>
        <w:jc w:val="center"/>
        <w:rPr/>
      </w:pPr>
      <w:r w:rsidDel="00000000" w:rsidR="00000000" w:rsidRPr="00000000">
        <w:rPr>
          <w:rtl w:val="0"/>
        </w:rPr>
      </w:r>
    </w:p>
    <w:p w:rsidR="00000000" w:rsidDel="00000000" w:rsidP="00000000" w:rsidRDefault="00000000" w:rsidRPr="00000000" w14:paraId="000000D8">
      <w:pPr>
        <w:spacing w:after="240" w:before="240" w:lineRule="auto"/>
        <w:jc w:val="center"/>
        <w:rPr/>
      </w:pPr>
      <w:r w:rsidDel="00000000" w:rsidR="00000000" w:rsidRPr="00000000">
        <w:rPr>
          <w:rtl w:val="0"/>
        </w:rPr>
        <w:t xml:space="preserve">Table.2 Significant genes and top hits report</w:t>
      </w:r>
    </w:p>
    <w:p w:rsidR="00000000" w:rsidDel="00000000" w:rsidP="00000000" w:rsidRDefault="00000000" w:rsidRPr="00000000" w14:paraId="000000D9">
      <w:pPr>
        <w:spacing w:after="240" w:before="240" w:lineRule="auto"/>
        <w:jc w:val="left"/>
        <w:rPr/>
      </w:pPr>
      <w:r w:rsidDel="00000000" w:rsidR="00000000" w:rsidRPr="00000000">
        <w:rPr>
          <w:rtl w:val="0"/>
        </w:rPr>
      </w:r>
    </w:p>
    <w:p w:rsidR="00000000" w:rsidDel="00000000" w:rsidP="00000000" w:rsidRDefault="00000000" w:rsidRPr="00000000" w14:paraId="000000DA">
      <w:pPr>
        <w:spacing w:after="240" w:before="240" w:lineRule="auto"/>
        <w:jc w:val="left"/>
        <w:rPr/>
      </w:pPr>
      <w:r w:rsidDel="00000000" w:rsidR="00000000" w:rsidRPr="00000000">
        <w:rPr>
          <w:rtl w:val="0"/>
        </w:rPr>
        <w:t xml:space="preserve">Analysis of the probeset showed that ECONAZOLE probes got the most significant results, with 29904 total passing with a p value lower than 0.05. Unlike in the paper, we did not have an absolute 1.5 Fold Count cutoff. We also made a histogram of Fold Counts, as indicated in the summary of steps, as opposed to log of fold count, though this might have been in error.</w:t>
      </w:r>
    </w:p>
    <w:p w:rsidR="00000000" w:rsidDel="00000000" w:rsidP="00000000" w:rsidRDefault="00000000" w:rsidRPr="00000000" w14:paraId="000000DB">
      <w:pPr>
        <w:spacing w:after="240" w:before="240" w:lineRule="auto"/>
        <w:jc w:val="left"/>
        <w:rPr/>
      </w:pPr>
      <w:r w:rsidDel="00000000" w:rsidR="00000000" w:rsidRPr="00000000">
        <w:rPr>
          <w:rtl w:val="0"/>
        </w:rPr>
        <w:t xml:space="preserve">Our most significant results for each probe follow:</w:t>
      </w:r>
    </w:p>
    <w:p w:rsidR="00000000" w:rsidDel="00000000" w:rsidP="00000000" w:rsidRDefault="00000000" w:rsidRPr="00000000" w14:paraId="000000DC">
      <w:pPr>
        <w:spacing w:after="240" w:before="240" w:lineRule="auto"/>
        <w:jc w:val="left"/>
        <w:rPr/>
      </w:pPr>
      <w:r w:rsidDel="00000000" w:rsidR="00000000" w:rsidRPr="00000000">
        <w:rPr>
          <w:rtl w:val="0"/>
        </w:rPr>
      </w:r>
    </w:p>
    <w:p w:rsidR="00000000" w:rsidDel="00000000" w:rsidP="00000000" w:rsidRDefault="00000000" w:rsidRPr="00000000" w14:paraId="000000DD">
      <w:pPr>
        <w:spacing w:after="240" w:lineRule="auto"/>
        <w:rPr/>
      </w:pPr>
      <w:r w:rsidDel="00000000" w:rsidR="00000000" w:rsidRPr="00000000">
        <w:rPr>
          <w:rtl w:val="0"/>
        </w:rPr>
        <w:t xml:space="preserve">BETA-NAPHTHOFLAVONE:</w:t>
      </w:r>
    </w:p>
    <w:p w:rsidR="00000000" w:rsidDel="00000000" w:rsidP="00000000" w:rsidRDefault="00000000" w:rsidRPr="00000000" w14:paraId="000000DE">
      <w:pPr>
        <w:spacing w:after="240" w:before="240" w:lineRule="auto"/>
        <w:rPr/>
      </w:pPr>
      <w:r w:rsidDel="00000000" w:rsidR="00000000" w:rsidRPr="00000000">
        <w:rPr/>
        <w:drawing>
          <wp:inline distB="114300" distT="114300" distL="114300" distR="114300">
            <wp:extent cx="5943600" cy="2159000"/>
            <wp:effectExtent b="0" l="0" r="0" t="0"/>
            <wp:docPr id="4"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t xml:space="preserve">ECONAZOLE:</w:t>
      </w:r>
    </w:p>
    <w:p w:rsidR="00000000" w:rsidDel="00000000" w:rsidP="00000000" w:rsidRDefault="00000000" w:rsidRPr="00000000" w14:paraId="000000E0">
      <w:pPr>
        <w:spacing w:after="240" w:before="240" w:lineRule="auto"/>
        <w:rPr/>
      </w:pPr>
      <w:r w:rsidDel="00000000" w:rsidR="00000000" w:rsidRPr="00000000">
        <w:rPr/>
        <w:drawing>
          <wp:inline distB="114300" distT="114300" distL="114300" distR="114300">
            <wp:extent cx="5943600" cy="2286000"/>
            <wp:effectExtent b="0" l="0" r="0" t="0"/>
            <wp:docPr id="5"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t xml:space="preserve">THIOACETAMIDE</w:t>
      </w:r>
    </w:p>
    <w:p w:rsidR="00000000" w:rsidDel="00000000" w:rsidP="00000000" w:rsidRDefault="00000000" w:rsidRPr="00000000" w14:paraId="000000E2">
      <w:pPr>
        <w:spacing w:after="240" w:before="240" w:lineRule="auto"/>
        <w:rPr/>
      </w:pPr>
      <w:r w:rsidDel="00000000" w:rsidR="00000000" w:rsidRPr="00000000">
        <w:rPr/>
        <w:drawing>
          <wp:inline distB="114300" distT="114300" distL="114300" distR="114300">
            <wp:extent cx="5943600" cy="2362200"/>
            <wp:effectExtent b="0" l="0" r="0" t="0"/>
            <wp:docPr id="20"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240" w:before="240" w:lineRule="auto"/>
        <w:rPr/>
      </w:pP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t xml:space="preserve">The histograms show that FoldChange is mostly a little under 1 for all 3 types of probes, though some are much larger. There is a “valley” in the center since though there are many genes in that area, they have very high p values, as we found out by accidetally making these with all the wrong genes first.</w:t>
      </w:r>
    </w:p>
    <w:p w:rsidR="00000000" w:rsidDel="00000000" w:rsidP="00000000" w:rsidRDefault="00000000" w:rsidRPr="00000000" w14:paraId="000000E5">
      <w:pPr>
        <w:spacing w:after="240" w:before="240" w:lineRule="auto"/>
        <w:rPr/>
      </w:pPr>
      <w:r w:rsidDel="00000000" w:rsidR="00000000" w:rsidRPr="00000000">
        <w:rPr/>
        <w:drawing>
          <wp:inline distB="114300" distT="114300" distL="114300" distR="114300">
            <wp:extent cx="5943600" cy="5918200"/>
            <wp:effectExtent b="0" l="0" r="0" t="0"/>
            <wp:docPr id="6"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240" w:before="240" w:lineRule="auto"/>
        <w:jc w:val="left"/>
        <w:rPr/>
      </w:pPr>
      <w:r w:rsidDel="00000000" w:rsidR="00000000" w:rsidRPr="00000000">
        <w:rPr>
          <w:rtl w:val="0"/>
        </w:rPr>
        <w:t xml:space="preserve"> Fig. 19: Histogram of fold change for BETA-NAPHTHOFLAVONE</w:t>
      </w:r>
    </w:p>
    <w:p w:rsidR="00000000" w:rsidDel="00000000" w:rsidP="00000000" w:rsidRDefault="00000000" w:rsidRPr="00000000" w14:paraId="000000E7">
      <w:pPr>
        <w:spacing w:after="240" w:before="240" w:lineRule="auto"/>
        <w:jc w:val="left"/>
        <w:rPr/>
      </w:pPr>
      <w:r w:rsidDel="00000000" w:rsidR="00000000" w:rsidRPr="00000000">
        <w:rPr>
          <w:rtl w:val="0"/>
        </w:rPr>
      </w:r>
    </w:p>
    <w:p w:rsidR="00000000" w:rsidDel="00000000" w:rsidP="00000000" w:rsidRDefault="00000000" w:rsidRPr="00000000" w14:paraId="000000E8">
      <w:pPr>
        <w:spacing w:after="240" w:before="240" w:lineRule="auto"/>
        <w:jc w:val="left"/>
        <w:rPr/>
      </w:pPr>
      <w:r w:rsidDel="00000000" w:rsidR="00000000" w:rsidRPr="00000000">
        <w:rPr/>
        <w:drawing>
          <wp:inline distB="114300" distT="114300" distL="114300" distR="114300">
            <wp:extent cx="5943600" cy="5918200"/>
            <wp:effectExtent b="0" l="0" r="0" t="0"/>
            <wp:docPr id="18"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240" w:before="240" w:lineRule="auto"/>
        <w:jc w:val="left"/>
        <w:rPr/>
      </w:pPr>
      <w:r w:rsidDel="00000000" w:rsidR="00000000" w:rsidRPr="00000000">
        <w:rPr>
          <w:rtl w:val="0"/>
        </w:rPr>
        <w:t xml:space="preserve">Figure 20:Histogram of fold change for ECONAZOLE:</w:t>
      </w:r>
    </w:p>
    <w:p w:rsidR="00000000" w:rsidDel="00000000" w:rsidP="00000000" w:rsidRDefault="00000000" w:rsidRPr="00000000" w14:paraId="000000EA">
      <w:pPr>
        <w:spacing w:after="240" w:before="240" w:lineRule="auto"/>
        <w:jc w:val="left"/>
        <w:rPr/>
      </w:pPr>
      <w:r w:rsidDel="00000000" w:rsidR="00000000" w:rsidRPr="00000000">
        <w:rPr>
          <w:rtl w:val="0"/>
        </w:rPr>
      </w:r>
    </w:p>
    <w:p w:rsidR="00000000" w:rsidDel="00000000" w:rsidP="00000000" w:rsidRDefault="00000000" w:rsidRPr="00000000" w14:paraId="000000EB">
      <w:pPr>
        <w:spacing w:after="240" w:before="240" w:lineRule="auto"/>
        <w:jc w:val="left"/>
        <w:rPr/>
      </w:pPr>
      <w:r w:rsidDel="00000000" w:rsidR="00000000" w:rsidRPr="00000000">
        <w:rPr/>
        <w:drawing>
          <wp:inline distB="114300" distT="114300" distL="114300" distR="114300">
            <wp:extent cx="5943600" cy="5892800"/>
            <wp:effectExtent b="0" l="0" r="0" t="0"/>
            <wp:docPr id="21"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tl w:val="0"/>
        </w:rPr>
        <w:t xml:space="preserve">Figure 21:Histogram of fold change for THIOACETAMIDE:</w:t>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spacing w:after="240" w:before="240" w:lineRule="auto"/>
        <w:rPr/>
      </w:pPr>
      <w:r w:rsidDel="00000000" w:rsidR="00000000" w:rsidRPr="00000000">
        <w:rPr>
          <w:rtl w:val="0"/>
        </w:rPr>
        <w:t xml:space="preserve">The scatterplots of fold c vs P-Value also all showed that as fold change got further from 1, p value tended to decrease, and that point with a high p-value tended to be scattered in a very narrow range between a 1 and 2 (or ½ and 1 on the lower end) fold change ratio.</w:t>
      </w:r>
    </w:p>
    <w:p w:rsidR="00000000" w:rsidDel="00000000" w:rsidP="00000000" w:rsidRDefault="00000000" w:rsidRPr="00000000" w14:paraId="000000EF">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5930900"/>
            <wp:effectExtent b="0" l="0" r="0" t="0"/>
            <wp:docPr id="16"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t xml:space="preserve">Figure 22:Scatterplot of fold change vs p-value for BETA-NAPHTHOFLAVONE</w:t>
      </w:r>
    </w:p>
    <w:p w:rsidR="00000000" w:rsidDel="00000000" w:rsidP="00000000" w:rsidRDefault="00000000" w:rsidRPr="00000000" w14:paraId="000000F1">
      <w:pPr>
        <w:spacing w:after="240" w:before="240" w:lineRule="auto"/>
        <w:rPr/>
      </w:pPr>
      <w:r w:rsidDel="00000000" w:rsidR="00000000" w:rsidRPr="00000000">
        <w:rPr/>
        <w:drawing>
          <wp:inline distB="114300" distT="114300" distL="114300" distR="114300">
            <wp:extent cx="5943600" cy="5918200"/>
            <wp:effectExtent b="0" l="0" r="0" t="0"/>
            <wp:docPr id="2"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t xml:space="preserve">Figure 23:Scatterplot of fold change vs p-value for ECONAZOLE</w:t>
      </w:r>
    </w:p>
    <w:p w:rsidR="00000000" w:rsidDel="00000000" w:rsidP="00000000" w:rsidRDefault="00000000" w:rsidRPr="00000000" w14:paraId="000000F3">
      <w:pPr>
        <w:spacing w:after="240" w:before="240" w:lineRule="auto"/>
        <w:rPr/>
      </w:pPr>
      <w:r w:rsidDel="00000000" w:rsidR="00000000" w:rsidRPr="00000000">
        <w:rPr/>
        <w:drawing>
          <wp:inline distB="114300" distT="114300" distL="114300" distR="114300">
            <wp:extent cx="5943600" cy="6007100"/>
            <wp:effectExtent b="0" l="0" r="0" t="0"/>
            <wp:docPr id="23"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59436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240" w:before="240" w:lineRule="auto"/>
        <w:rPr/>
      </w:pPr>
      <w:r w:rsidDel="00000000" w:rsidR="00000000" w:rsidRPr="00000000">
        <w:rPr>
          <w:rtl w:val="0"/>
        </w:rPr>
        <w:t xml:space="preserve">Figure 24:Scatterplot of fold change vs p-value for THIOACETAMIDE</w:t>
      </w:r>
    </w:p>
    <w:p w:rsidR="00000000" w:rsidDel="00000000" w:rsidP="00000000" w:rsidRDefault="00000000" w:rsidRPr="00000000" w14:paraId="000000F5">
      <w:pPr>
        <w:spacing w:after="240" w:before="240" w:lineRule="auto"/>
        <w:rPr/>
      </w:pPr>
      <w:r w:rsidDel="00000000" w:rsidR="00000000" w:rsidRPr="00000000">
        <w:rPr>
          <w:rtl w:val="0"/>
        </w:rPr>
        <w:t xml:space="preserve">We also attempted to calculate Concordance between Ref-Seq and microarray DE genes. Unfortunately, we realized too late that we had accidentally found all genes for microarray probesets where p was &gt; 0.5, leading to what was an interesting image, but also took far too much time to calculate. If we had a few extra hours, we could get much better results. This would require running a batch job either way, since it requires over a million comparisons between 3 different memory locations in order to find that the gene sets are concordant in their direction of fold change.</w:t>
      </w:r>
    </w:p>
    <w:p w:rsidR="00000000" w:rsidDel="00000000" w:rsidP="00000000" w:rsidRDefault="00000000" w:rsidRPr="00000000" w14:paraId="000000F6">
      <w:pPr>
        <w:spacing w:after="240" w:before="240" w:lineRule="auto"/>
        <w:jc w:val="both"/>
        <w:rPr/>
      </w:pPr>
      <w:r w:rsidDel="00000000" w:rsidR="00000000" w:rsidRPr="00000000">
        <w:rPr>
          <w:rtl w:val="0"/>
        </w:rPr>
        <w:t xml:space="preserve">The formula used to calculate concordance corrected for background, after finding which pairs of genes were concordant was: where n0 is the number of items observably concordant, n1 was the number of items in one gene set and n2 the number of items in the other. N is the total number of unique items.</w:t>
      </w:r>
    </w:p>
    <w:p w:rsidR="00000000" w:rsidDel="00000000" w:rsidP="00000000" w:rsidRDefault="00000000" w:rsidRPr="00000000" w14:paraId="000000F7">
      <w:pPr>
        <w:spacing w:after="240" w:before="240" w:lineRule="auto"/>
        <w:jc w:val="both"/>
        <w:rPr/>
      </w:pPr>
      <w:r w:rsidDel="00000000" w:rsidR="00000000" w:rsidRPr="00000000">
        <w:rPr>
          <w:rtl w:val="0"/>
        </w:rPr>
        <w:t xml:space="preserve">(</w:t>
      </w:r>
      <w:r w:rsidDel="00000000" w:rsidR="00000000" w:rsidRPr="00000000">
        <w:rPr>
          <w:i w:val="1"/>
          <w:rtl w:val="0"/>
        </w:rPr>
        <w:t xml:space="preserve">n</w:t>
      </w:r>
      <w:r w:rsidDel="00000000" w:rsidR="00000000" w:rsidRPr="00000000">
        <w:rPr>
          <w:vertAlign w:val="subscript"/>
          <w:rtl w:val="0"/>
        </w:rPr>
        <w:t xml:space="preserve">0</w:t>
      </w:r>
      <w:r w:rsidDel="00000000" w:rsidR="00000000" w:rsidRPr="00000000">
        <w:rPr>
          <w:rtl w:val="0"/>
        </w:rPr>
        <w:t xml:space="preserve"> × </w:t>
      </w:r>
      <w:r w:rsidDel="00000000" w:rsidR="00000000" w:rsidRPr="00000000">
        <w:rPr>
          <w:i w:val="1"/>
          <w:rtl w:val="0"/>
        </w:rPr>
        <w:t xml:space="preserve">N</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n</w:t>
      </w:r>
      <w:r w:rsidDel="00000000" w:rsidR="00000000" w:rsidRPr="00000000">
        <w:rPr>
          <w:vertAlign w:val="subscript"/>
          <w:rtl w:val="0"/>
        </w:rPr>
        <w:t xml:space="preserve">1</w:t>
      </w:r>
      <w:r w:rsidDel="00000000" w:rsidR="00000000" w:rsidRPr="00000000">
        <w:rPr>
          <w:rtl w:val="0"/>
        </w:rPr>
        <w:t xml:space="preserve"> × </w:t>
      </w:r>
      <w:r w:rsidDel="00000000" w:rsidR="00000000" w:rsidRPr="00000000">
        <w:rPr>
          <w:i w:val="1"/>
          <w:rtl w:val="0"/>
        </w:rPr>
        <w:t xml:space="preserve">n</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i w:val="1"/>
          <w:rtl w:val="0"/>
        </w:rPr>
        <w:t xml:space="preserve">n</w:t>
      </w:r>
      <w:r w:rsidDel="00000000" w:rsidR="00000000" w:rsidRPr="00000000">
        <w:rPr>
          <w:vertAlign w:val="subscript"/>
          <w:rtl w:val="0"/>
        </w:rPr>
        <w:t xml:space="preserve">0</w:t>
      </w:r>
      <w:r w:rsidDel="00000000" w:rsidR="00000000" w:rsidRPr="00000000">
        <w:rPr>
          <w:rtl w:val="0"/>
        </w:rPr>
        <w:t xml:space="preserve"> + </w:t>
      </w:r>
      <w:r w:rsidDel="00000000" w:rsidR="00000000" w:rsidRPr="00000000">
        <w:rPr>
          <w:i w:val="1"/>
          <w:rtl w:val="0"/>
        </w:rPr>
        <w:t xml:space="preserve">N</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n</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n</w:t>
      </w:r>
      <w:r w:rsidDel="00000000" w:rsidR="00000000" w:rsidRPr="00000000">
        <w:rPr>
          <w:vertAlign w:val="subscript"/>
          <w:rtl w:val="0"/>
        </w:rPr>
        <w:t xml:space="preserve">2</w:t>
      </w:r>
      <w:r w:rsidDel="00000000" w:rsidR="00000000" w:rsidRPr="00000000">
        <w:rPr>
          <w:rtl w:val="0"/>
        </w:rPr>
        <w:t xml:space="preserve">) = concordance</w:t>
      </w:r>
    </w:p>
    <w:p w:rsidR="00000000" w:rsidDel="00000000" w:rsidP="00000000" w:rsidRDefault="00000000" w:rsidRPr="00000000" w14:paraId="000000F8">
      <w:pPr>
        <w:spacing w:after="240" w:before="240" w:lineRule="auto"/>
        <w:jc w:val="both"/>
        <w:rPr/>
      </w:pPr>
      <w:r w:rsidDel="00000000" w:rsidR="00000000" w:rsidRPr="00000000">
        <w:rPr>
          <w:rtl w:val="0"/>
        </w:rPr>
        <w:t xml:space="preserve">As for accounting for multiple probe sets per reference sequence, this would have been handled by counting both probe sets as different samples for the purpose of finding their concordance and variance. They could have been taken under different conditions and resulted in different results. This would have separated them when finding the result by splitting into 3 groups based on the median.</w:t>
      </w:r>
    </w:p>
    <w:p w:rsidR="00000000" w:rsidDel="00000000" w:rsidP="00000000" w:rsidRDefault="00000000" w:rsidRPr="00000000" w14:paraId="000000F9">
      <w:pPr>
        <w:spacing w:after="240" w:before="240" w:lineRule="auto"/>
        <w:rPr/>
      </w:pPr>
      <w:r w:rsidDel="00000000" w:rsidR="00000000" w:rsidRPr="00000000">
        <w:rPr>
          <w:rtl w:val="0"/>
        </w:rPr>
      </w:r>
    </w:p>
    <w:p w:rsidR="00000000" w:rsidDel="00000000" w:rsidP="00000000" w:rsidRDefault="00000000" w:rsidRPr="00000000" w14:paraId="000000FA">
      <w:pPr>
        <w:spacing w:after="240" w:before="240" w:lineRule="auto"/>
        <w:jc w:val="both"/>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FB">
      <w:pPr>
        <w:spacing w:after="240" w:before="240" w:lineRule="auto"/>
        <w:jc w:val="both"/>
        <w:rPr/>
      </w:pPr>
      <w:r w:rsidDel="00000000" w:rsidR="00000000" w:rsidRPr="00000000">
        <w:rPr>
          <w:rtl w:val="0"/>
        </w:rPr>
        <w:t xml:space="preserve">The quality of the raw sequencing data was evaluated based on the quality control metrics from fastqc and had shown acceptable results. Some of the failed tests were due to the nature of RNA-seq data and it was not necessary to take any further steps to improve it. Overall, the sequencing data was suitable for the following analysis. These sequencing data was then successfully aligned against the rat genome. </w:t>
      </w:r>
    </w:p>
    <w:p w:rsidR="00000000" w:rsidDel="00000000" w:rsidP="00000000" w:rsidRDefault="00000000" w:rsidRPr="00000000" w14:paraId="000000FC">
      <w:pPr>
        <w:spacing w:after="240" w:before="240" w:lineRule="auto"/>
        <w:jc w:val="both"/>
        <w:rPr/>
      </w:pPr>
      <w:r w:rsidDel="00000000" w:rsidR="00000000" w:rsidRPr="00000000">
        <w:rPr>
          <w:rtl w:val="0"/>
        </w:rPr>
        <w:t xml:space="preserve">The variation of gene expression changes after the three different chemical treatments vary significantly. This can be observed from both the histograms and the volcano plots. Most significant genes with gene expression level change after treatment have a log2 fold change around 1 for both AhR group and CAR/PXR group. The difference being CAR/PXR has 3503 genes with a significant p value for gene expression change compared to the AhR samples’ 1392 significant genes. DNA damage group has only 114 significant genes and for those genes, the fold change are not as high compared with the other two samples. </w:t>
      </w:r>
    </w:p>
    <w:p w:rsidR="00000000" w:rsidDel="00000000" w:rsidP="00000000" w:rsidRDefault="00000000" w:rsidRPr="00000000" w14:paraId="000000FD">
      <w:pPr>
        <w:spacing w:after="240" w:before="240" w:lineRule="auto"/>
        <w:jc w:val="both"/>
        <w:rPr/>
      </w:pPr>
      <w:r w:rsidDel="00000000" w:rsidR="00000000" w:rsidRPr="00000000">
        <w:rPr>
          <w:rtl w:val="0"/>
        </w:rPr>
        <w:t xml:space="preserve">We attempted to replicate their analysis, but due to making a mistake early on in the process ended up choosing all the wrong genes during the cutoff, which made it impossible to calculate Concordance due to having too much data.</w:t>
      </w:r>
    </w:p>
    <w:p w:rsidR="00000000" w:rsidDel="00000000" w:rsidP="00000000" w:rsidRDefault="00000000" w:rsidRPr="00000000" w14:paraId="000000FE">
      <w:pPr>
        <w:spacing w:after="240" w:before="240" w:lineRule="auto"/>
        <w:jc w:val="both"/>
        <w:rPr/>
      </w:pPr>
      <w:r w:rsidDel="00000000" w:rsidR="00000000" w:rsidRPr="00000000">
        <w:rPr>
          <w:rtl w:val="0"/>
        </w:rPr>
        <w:t xml:space="preserve">Even with the proper data, too many points pass the threshold and make it take far too long to calculate concordance for the system to work without a batch job. (Having over a million combinations of gene pairs to look up concordance in 3 different memory locations for ).</w:t>
      </w:r>
    </w:p>
    <w:p w:rsidR="00000000" w:rsidDel="00000000" w:rsidP="00000000" w:rsidRDefault="00000000" w:rsidRPr="00000000" w14:paraId="000000FF">
      <w:pPr>
        <w:spacing w:after="240" w:before="240" w:lineRule="auto"/>
        <w:jc w:val="both"/>
        <w:rPr/>
      </w:pPr>
      <w:r w:rsidDel="00000000" w:rsidR="00000000" w:rsidRPr="00000000">
        <w:rPr>
          <w:rtl w:val="0"/>
        </w:rPr>
      </w:r>
    </w:p>
    <w:p w:rsidR="00000000" w:rsidDel="00000000" w:rsidP="00000000" w:rsidRDefault="00000000" w:rsidRPr="00000000" w14:paraId="00000100">
      <w:pPr>
        <w:spacing w:after="240" w:before="240" w:lineRule="auto"/>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01">
      <w:pPr>
        <w:spacing w:after="240" w:before="240" w:lineRule="auto"/>
        <w:jc w:val="both"/>
        <w:rPr/>
      </w:pPr>
      <w:r w:rsidDel="00000000" w:rsidR="00000000" w:rsidRPr="00000000">
        <w:rPr>
          <w:rtl w:val="0"/>
        </w:rPr>
        <w:t xml:space="preserve">For the data</w:t>
      </w:r>
      <w:r w:rsidDel="00000000" w:rsidR="00000000" w:rsidRPr="00000000">
        <w:rPr>
          <w:rtl w:val="0"/>
        </w:rPr>
        <w:t xml:space="preserve"> curator part, the quality control step for raw sequencing data and the sequence alignment step were successfully performed and showed acceptable results. One challenge for this part was to figure out the rationale behind each quality control metrics and explore the reason for the failed tests for RNA-seq samples. The note [5] explained them well.</w:t>
      </w:r>
    </w:p>
    <w:p w:rsidR="00000000" w:rsidDel="00000000" w:rsidP="00000000" w:rsidRDefault="00000000" w:rsidRPr="00000000" w14:paraId="00000102">
      <w:pPr>
        <w:spacing w:after="240" w:before="240" w:lineRule="auto"/>
        <w:jc w:val="both"/>
        <w:rPr/>
      </w:pPr>
      <w:r w:rsidDel="00000000" w:rsidR="00000000" w:rsidRPr="00000000">
        <w:rPr>
          <w:rtl w:val="0"/>
        </w:rPr>
        <w:t xml:space="preserve">The MultiQC showed good alignment results for gene annotation. The range of gene counts is high across all samples which is to be expected in an RNA seq experiment. Good number of genes has shown significant change in expression level across all three treatment groups. </w:t>
      </w:r>
    </w:p>
    <w:p w:rsidR="00000000" w:rsidDel="00000000" w:rsidP="00000000" w:rsidRDefault="00000000" w:rsidRPr="00000000" w14:paraId="00000103">
      <w:pPr>
        <w:spacing w:after="240" w:before="240" w:lineRule="auto"/>
        <w:jc w:val="both"/>
        <w:rPr/>
      </w:pPr>
      <w:r w:rsidDel="00000000" w:rsidR="00000000" w:rsidRPr="00000000">
        <w:rPr>
          <w:rtl w:val="0"/>
        </w:rPr>
        <w:t xml:space="preserve">The analyst section was also difficult, and not made easier by having to recalculate everything less than an hour before submitting.</w:t>
      </w:r>
    </w:p>
    <w:p w:rsidR="00000000" w:rsidDel="00000000" w:rsidP="00000000" w:rsidRDefault="00000000" w:rsidRPr="00000000" w14:paraId="00000104">
      <w:pPr>
        <w:spacing w:after="240" w:before="240" w:lineRule="auto"/>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05">
      <w:pPr>
        <w:spacing w:after="240" w:before="240" w:lineRule="auto"/>
        <w:jc w:val="both"/>
        <w:rPr/>
      </w:pPr>
      <w:r w:rsidDel="00000000" w:rsidR="00000000" w:rsidRPr="00000000">
        <w:rPr>
          <w:rtl w:val="0"/>
        </w:rPr>
        <w:t xml:space="preserve">[1] Wang C, Gong B, Bushel PR, et al. The concordance between RNA-seq and microarray data depends on chemical treatment and transcript abundance. Nat Biotechnol. 2014;32(9):926–932. doi:10.1038/nbt.3001</w:t>
      </w:r>
    </w:p>
    <w:p w:rsidR="00000000" w:rsidDel="00000000" w:rsidP="00000000" w:rsidRDefault="00000000" w:rsidRPr="00000000" w14:paraId="00000106">
      <w:pPr>
        <w:spacing w:after="240" w:before="240" w:lineRule="auto"/>
        <w:jc w:val="both"/>
        <w:rPr/>
      </w:pPr>
      <w:r w:rsidDel="00000000" w:rsidR="00000000" w:rsidRPr="00000000">
        <w:rPr>
          <w:rtl w:val="0"/>
        </w:rPr>
        <w:t xml:space="preserve">[2] https://www.ncbi.nlm.nih.gov/sra/?term=SRP039021</w:t>
      </w:r>
    </w:p>
    <w:p w:rsidR="00000000" w:rsidDel="00000000" w:rsidP="00000000" w:rsidRDefault="00000000" w:rsidRPr="00000000" w14:paraId="00000107">
      <w:pPr>
        <w:spacing w:after="240" w:before="240" w:lineRule="auto"/>
        <w:jc w:val="both"/>
        <w:rPr/>
      </w:pPr>
      <w:r w:rsidDel="00000000" w:rsidR="00000000" w:rsidRPr="00000000">
        <w:rPr>
          <w:rtl w:val="0"/>
        </w:rPr>
        <w:t xml:space="preserve">[3] https://www.ncbi.nlm.nih.gov/geo/query/acc.cgi?acc=GSE55347</w:t>
      </w:r>
    </w:p>
    <w:p w:rsidR="00000000" w:rsidDel="00000000" w:rsidP="00000000" w:rsidRDefault="00000000" w:rsidRPr="00000000" w14:paraId="00000108">
      <w:pPr>
        <w:spacing w:after="240" w:before="240" w:lineRule="auto"/>
        <w:jc w:val="both"/>
        <w:rPr/>
      </w:pPr>
      <w:r w:rsidDel="00000000" w:rsidR="00000000" w:rsidRPr="00000000">
        <w:rPr>
          <w:rtl w:val="0"/>
        </w:rPr>
        <w:t xml:space="preserve">[4] https://www.ncbi.nlm.nih.gov/geo/query/acc.cgi?acc=GSE47875</w:t>
      </w:r>
    </w:p>
    <w:p w:rsidR="00000000" w:rsidDel="00000000" w:rsidP="00000000" w:rsidRDefault="00000000" w:rsidRPr="00000000" w14:paraId="00000109">
      <w:pPr>
        <w:spacing w:after="240" w:before="240" w:lineRule="auto"/>
        <w:jc w:val="both"/>
        <w:rPr/>
      </w:pPr>
      <w:r w:rsidDel="00000000" w:rsidR="00000000" w:rsidRPr="00000000">
        <w:rPr>
          <w:rtl w:val="0"/>
        </w:rPr>
        <w:t xml:space="preserve">[5] https://www.bioinformatics.babraham.ac.uk/projects/fastqc/</w:t>
      </w:r>
    </w:p>
    <w:p w:rsidR="00000000" w:rsidDel="00000000" w:rsidP="00000000" w:rsidRDefault="00000000" w:rsidRPr="00000000" w14:paraId="0000010A">
      <w:pPr>
        <w:spacing w:after="240" w:before="240" w:lineRule="auto"/>
        <w:jc w:val="both"/>
        <w:rPr/>
      </w:pPr>
      <w:r w:rsidDel="00000000" w:rsidR="00000000" w:rsidRPr="00000000">
        <w:rPr>
          <w:rtl w:val="0"/>
        </w:rPr>
        <w:t xml:space="preserve">[6] Ewels P, Magnusson M, Lundin S, Käller M. MultiQC: summarize analysis results for multiple tools and samples in a single report. Bioinformatics. 2016;32(19):3047–3048. doi:10.1093/bioinformatics/btw354</w:t>
      </w:r>
    </w:p>
    <w:p w:rsidR="00000000" w:rsidDel="00000000" w:rsidP="00000000" w:rsidRDefault="00000000" w:rsidRPr="00000000" w14:paraId="0000010B">
      <w:pPr>
        <w:spacing w:after="240" w:before="240" w:lineRule="auto"/>
        <w:jc w:val="both"/>
        <w:rPr/>
      </w:pPr>
      <w:r w:rsidDel="00000000" w:rsidR="00000000" w:rsidRPr="00000000">
        <w:rPr>
          <w:rtl w:val="0"/>
        </w:rPr>
        <w:t xml:space="preserve">[7] https://github.com/alexdobin/STAR/blob/2.5.3a/doc/STARmanual.pdf</w:t>
      </w:r>
    </w:p>
    <w:p w:rsidR="00000000" w:rsidDel="00000000" w:rsidP="00000000" w:rsidRDefault="00000000" w:rsidRPr="00000000" w14:paraId="0000010C">
      <w:pPr>
        <w:spacing w:after="240" w:before="240" w:lineRule="auto"/>
        <w:jc w:val="both"/>
        <w:rPr/>
      </w:pPr>
      <w:r w:rsidDel="00000000" w:rsidR="00000000" w:rsidRPr="00000000">
        <w:rPr>
          <w:rtl w:val="0"/>
        </w:rPr>
        <w:t xml:space="preserve">[8] Dobin A, Davis CA, Schlesinger F, et al. STAR: ultrafast universal RNA-seq aligner. Bioinformatics. 2013;29(1):15–21. doi:10.1093/bioinformatics/bts635</w:t>
      </w:r>
    </w:p>
    <w:p w:rsidR="00000000" w:rsidDel="00000000" w:rsidP="00000000" w:rsidRDefault="00000000" w:rsidRPr="00000000" w14:paraId="0000010D">
      <w:pPr>
        <w:spacing w:after="240" w:before="240" w:lineRule="auto"/>
        <w:jc w:val="both"/>
        <w:rPr/>
      </w:pP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tl w:val="0"/>
        </w:rPr>
      </w:r>
    </w:p>
    <w:p w:rsidR="00000000" w:rsidDel="00000000" w:rsidP="00000000" w:rsidRDefault="00000000" w:rsidRPr="00000000" w14:paraId="0000010F">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10">
      <w:pPr>
        <w:spacing w:after="240" w:before="240" w:lineRule="auto"/>
        <w:jc w:val="center"/>
        <w:rPr/>
      </w:pP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rtl w:val="0"/>
        </w:rPr>
      </w:r>
    </w:p>
    <w:p w:rsidR="00000000" w:rsidDel="00000000" w:rsidP="00000000" w:rsidRDefault="00000000" w:rsidRPr="00000000" w14:paraId="00000112">
      <w:pPr>
        <w:rPr>
          <w:b w:val="1"/>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22.png"/><Relationship Id="rId21" Type="http://schemas.openxmlformats.org/officeDocument/2006/relationships/image" Target="media/image11.png"/><Relationship Id="rId24" Type="http://schemas.openxmlformats.org/officeDocument/2006/relationships/image" Target="media/image7.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1.png"/><Relationship Id="rId25" Type="http://schemas.openxmlformats.org/officeDocument/2006/relationships/image" Target="media/image10.png"/><Relationship Id="rId28" Type="http://schemas.openxmlformats.org/officeDocument/2006/relationships/image" Target="media/image12.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17.png"/><Relationship Id="rId7" Type="http://schemas.openxmlformats.org/officeDocument/2006/relationships/image" Target="media/image16.png"/><Relationship Id="rId8" Type="http://schemas.openxmlformats.org/officeDocument/2006/relationships/image" Target="media/image5.png"/><Relationship Id="rId31" Type="http://schemas.openxmlformats.org/officeDocument/2006/relationships/image" Target="media/image8.png"/><Relationship Id="rId30" Type="http://schemas.openxmlformats.org/officeDocument/2006/relationships/image" Target="media/image2.png"/><Relationship Id="rId11" Type="http://schemas.openxmlformats.org/officeDocument/2006/relationships/image" Target="media/image19.png"/><Relationship Id="rId10" Type="http://schemas.openxmlformats.org/officeDocument/2006/relationships/image" Target="media/image4.png"/><Relationship Id="rId32" Type="http://schemas.openxmlformats.org/officeDocument/2006/relationships/image" Target="media/image18.png"/><Relationship Id="rId13" Type="http://schemas.openxmlformats.org/officeDocument/2006/relationships/image" Target="media/image3.png"/><Relationship Id="rId12" Type="http://schemas.openxmlformats.org/officeDocument/2006/relationships/image" Target="media/image26.png"/><Relationship Id="rId15" Type="http://schemas.openxmlformats.org/officeDocument/2006/relationships/image" Target="media/image20.png"/><Relationship Id="rId14" Type="http://schemas.openxmlformats.org/officeDocument/2006/relationships/image" Target="media/image23.png"/><Relationship Id="rId17" Type="http://schemas.openxmlformats.org/officeDocument/2006/relationships/image" Target="media/image15.png"/><Relationship Id="rId16" Type="http://schemas.openxmlformats.org/officeDocument/2006/relationships/image" Target="media/image6.png"/><Relationship Id="rId19" Type="http://schemas.openxmlformats.org/officeDocument/2006/relationships/image" Target="media/image21.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