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"/>
        <w:jc w:val="center"/>
        <w:rPr>
          <w:rFonts w:ascii="Carlito" w:hAnsi="Carlito" w:cs="Carlito"/>
          <w:b/>
          <w:i w:val="false"/>
          <w:i w:val="false"/>
          <w:color w:val="0D0D0D"/>
          <w:spacing w:val="80"/>
          <w:sz w:val="48"/>
        </w:rPr>
      </w:pPr>
      <w:r>
        <w:rPr>
          <w:rFonts w:cs="Carlito"/>
          <w:b/>
          <w:i w:val="false"/>
          <w:color w:val="0D0D0D"/>
          <w:spacing w:val="80"/>
          <w:sz w:val="48"/>
        </w:rPr>
        <w:t>BILLEL ZIGHAB</w:t>
      </w:r>
    </w:p>
    <w:p>
      <w:pPr>
        <w:pStyle w:val="Normal"/>
        <w:spacing w:lineRule="auto" w:line="240" w:before="0" w:after="20"/>
        <w:jc w:val="center"/>
        <w:rPr>
          <w:rFonts w:ascii="Carlito" w:hAnsi="Carlito" w:cs="Carlito"/>
          <w:b/>
          <w:i w:val="false"/>
          <w:i w:val="false"/>
          <w:color w:val="012169"/>
          <w:spacing w:val="50"/>
          <w:sz w:val="26"/>
        </w:rPr>
      </w:pPr>
      <w:r>
        <w:rPr>
          <w:rFonts w:cs="Carlito"/>
          <w:b/>
          <w:i w:val="false"/>
          <w:color w:val="012169"/>
          <w:spacing w:val="50"/>
          <w:sz w:val="26"/>
        </w:rPr>
        <w:t>Senior Solution Architect</w:t>
      </w:r>
    </w:p>
    <w:p>
      <w:pPr>
        <w:pStyle w:val="Normal"/>
        <w:spacing w:lineRule="auto" w:line="240" w:before="0" w:after="60"/>
        <w:jc w:val="center"/>
        <w:rPr>
          <w:rFonts w:ascii="Carlito" w:hAnsi="Carlito" w:cs="Carlito"/>
          <w:b w:val="false"/>
          <w:i w:val="false"/>
          <w:i w:val="false"/>
          <w:color w:val="6B6B6B"/>
          <w:sz w:val="18"/>
        </w:rPr>
      </w:pPr>
      <w:r>
        <w:rPr>
          <w:rFonts w:cs="Carlito"/>
          <w:b w:val="false"/>
          <w:i w:val="false"/>
          <w:color w:val="6B6B6B"/>
          <w:sz w:val="18"/>
        </w:rPr>
        <w:t>Enterprise &amp; Solution Architecture · Cloud / On-Premise / Hybrid · Standards, Governance &amp; Assurance</w:t>
      </w:r>
    </w:p>
    <w:p>
      <w:pPr>
        <w:pStyle w:val="Normal"/>
        <w:spacing w:lineRule="auto" w:line="240" w:before="0" w:after="40"/>
        <w:jc w:val="center"/>
        <w:rPr/>
      </w:pPr>
      <w:r>
        <w:rPr>
          <w:rFonts w:cs="Carlito"/>
          <w:b w:val="false"/>
          <w:i w:val="false"/>
          <w:color w:val="6B6B6B"/>
          <w:sz w:val="18"/>
        </w:rPr>
        <w:t>0652593388</w:t>
      </w:r>
      <w:r>
        <w:rPr/>
        <w:t xml:space="preserve"> </w:t>
      </w:r>
      <w:r>
        <w:rPr>
          <w:rFonts w:cs="Carlito"/>
          <w:b w:val="false"/>
          <w:i w:val="false"/>
          <w:color w:val="6B6B6B"/>
          <w:sz w:val="18"/>
        </w:rPr>
        <w:t xml:space="preserve">  ·  </w:t>
      </w:r>
      <w:r>
        <w:rPr>
          <w:rFonts w:cs="Carlito"/>
          <w:b w:val="false"/>
          <w:i w:val="false"/>
          <w:color w:val="6B6B6B"/>
          <w:sz w:val="18"/>
        </w:rPr>
        <w:t>billel.zighab</w:t>
      </w:r>
      <w:r>
        <w:rPr>
          <w:rFonts w:cs="Carlito"/>
          <w:b w:val="false"/>
          <w:i w:val="false"/>
          <w:color w:val="6B6B6B"/>
          <w:sz w:val="18"/>
        </w:rPr>
        <w:t xml:space="preserve">@gmail.com  ·  </w:t>
      </w:r>
      <w:r>
        <w:rPr>
          <w:rFonts w:cs="Carlito"/>
          <w:b w:val="false"/>
          <w:i w:val="false"/>
          <w:color w:val="6B6B6B"/>
          <w:sz w:val="18"/>
        </w:rPr>
        <w:t>Île-de-France</w:t>
      </w:r>
      <w:r>
        <w:rPr>
          <w:rFonts w:cs="Carlito"/>
          <w:b w:val="false"/>
          <w:i w:val="false"/>
          <w:color w:val="6B6B6B"/>
          <w:sz w:val="18"/>
        </w:rPr>
        <w:t xml:space="preserve">  · </w:t>
      </w:r>
      <w:hyperlink r:id="rId2">
        <w:r>
          <w:rPr>
            <w:rStyle w:val="Hyperlink"/>
            <w:rFonts w:cs="Carlito"/>
            <w:b w:val="false"/>
            <w:i w:val="false"/>
            <w:color w:val="012169"/>
            <w:sz w:val="18"/>
          </w:rPr>
          <w:t xml:space="preserve"> linkedin.com/in/billel-zighab</w:t>
        </w:r>
      </w:hyperlink>
    </w:p>
    <w:p>
      <w:pPr>
        <w:pStyle w:val="Default"/>
        <w:bidi w:val="0"/>
        <w:spacing w:lineRule="auto" w:line="240" w:before="0" w:after="40"/>
        <w:jc w:val="center"/>
        <w:rPr>
          <w:color w:val="666666"/>
        </w:rPr>
      </w:pPr>
      <w:r>
        <w:rPr>
          <w:rFonts w:cs="Carlito"/>
          <w:b w:val="false"/>
          <w:i w:val="false"/>
          <w:color w:val="666666"/>
          <w:spacing w:val="80"/>
          <w:sz w:val="18"/>
        </w:rPr>
        <w:t xml:space="preserve"> </w:t>
      </w:r>
      <w:r>
        <w:rPr>
          <w:rFonts w:cs="Carlito"/>
          <w:b w:val="false"/>
          <w:i w:val="false"/>
          <w:color w:val="666666"/>
          <w:spacing w:val="80"/>
          <w:sz w:val="18"/>
        </w:rPr>
        <w:t>English · French · Arabic — Fluent</w:t>
      </w:r>
    </w:p>
    <w:p>
      <w:pPr>
        <w:pStyle w:val="Normal"/>
        <w:pBdr>
          <w:bottom w:val="single" w:sz="6" w:space="2" w:color="C0C0C0"/>
        </w:pBdr>
        <w:spacing w:lineRule="auto" w:line="240" w:before="140" w:after="6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PROFESSIONAL SUMMARY</w:t>
      </w:r>
    </w:p>
    <w:p>
      <w:pPr>
        <w:pStyle w:val="Normal"/>
        <w:spacing w:lineRule="auto" w:line="240" w:before="0" w:after="40"/>
        <w:jc w:val="both"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Senior Solution Architect, 17+ years of IT experience including 10+ years of end-to-end architecture on critical, high-volume digital platforms. Designs large-scale distributed and transactional architectures and defines applicative and cloud evolution trajectories (target + transition) in international contexts. Specialist in microservices architectures, event-driven decoupling (EDA, CQRS) and API Design / API Management strategies (gateway, contracts, versioning). Drives the urbanization of complex systems and supports teams on cross-system integration choices, challenging technical decisions and making the right performance / cost / time trade-offs. Owns application security by design: authentication, authorization and token management (OAuth2/OIDC, JWT, mTLS), IAM / CIAM, Zero Trust. Strong command of AWS and working knowledge of GCP, hybrid / multi-cloud architectures, high availability, resilience and data integrity. Also designs the integration architecture for AI/ML capabilities developed by data science teams. Recognized for explaining complex topics to business and technical stakeholders and uniting teams in Agile / multicultural settings.</w:t>
      </w:r>
    </w:p>
    <w:p>
      <w:pPr>
        <w:pStyle w:val="Normal"/>
        <w:spacing w:lineRule="auto" w:line="240" w:before="0" w:after="40"/>
        <w:jc w:val="both"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</w:r>
    </w:p>
    <w:p>
      <w:pPr>
        <w:pStyle w:val="Normal"/>
        <w:pBdr>
          <w:bottom w:val="single" w:sz="6" w:space="2" w:color="C0C0C0"/>
        </w:pBdr>
        <w:spacing w:lineRule="auto" w:line="240" w:before="140" w:after="6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TECHNICAL SKILLS</w:t>
      </w:r>
    </w:p>
    <w:tbl>
      <w:tblPr>
        <w:tblW w:w="990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0"/>
        <w:gridCol w:w="5567"/>
      </w:tblGrid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Frameworks, Governance &amp; Architecture Deliverables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TOGAF, ArchiMate, TAD (Technical Architecture Document), HLD, LLD, ADR, C4 models, flow &amp; impact matrices, DR/BCP plan, architecture diagrams, data model, reference patterns, API contracts (OpenAPI)…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AI/ML — Architecture &amp; Integration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Integration architecture for AI/ML capabilities within the enterprise IS. GenAI on Azure AI Foundry: Azure OpenAI (GPT-4o), RAG / Azure AI Search, embeddings (text-embedding-3-large), AI Gateway (APIM GenAI mode), Content Safety. Computer Vision (CNN, EfficientNet), TensorFlow/Keras. Interface contracts, data &amp; security governance, feasibility ADRs.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Application &amp; Data Architecture Patterns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Microservices, EDA, CQRS/Event Sourcing, Saga, API Gateway &amp; BFF, Strangler Fig, Data Mesh, Lakehouse, Lambda/Kappa Architecture, DDD, Polyglot Persistence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Cloud (Azure / AWS)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AKS, APIM, Databricks, Synapse, Event Hubs, Functions, Key Vault, Front Door, WAF, ADLS Gen2, Cosmos DB · EKS, Lambda, MSK, SageMaker, API GW, S3, Redshift · Terraform, Bicep, Helm, Kubernetes, Docker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Security &amp; Compliance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Zero Trust, Defense in Depth, IAM/Federation, mTLS, PKI, Key Management, OWASP, GDPR, IRM, SAML, JWT, PKCE, OAuth2/OIDC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Modeling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BiZZdesign Enterprise Studio, SAP PowerDesigner, ArchiMate, C4/Structurizr, Visio, Lucidchart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Dev &amp; DevSecOps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Java/Spring Boot, Python, Scala, REST/OpenAPI, Angular, React · GitLab CI, Jenkins, SonarQube, Checkmarx, Artifactory</w:t>
            </w:r>
          </w:p>
        </w:tc>
      </w:tr>
      <w:tr>
        <w:trPr/>
        <w:tc>
          <w:tcPr>
            <w:tcW w:w="4340" w:type="dxa"/>
            <w:tcBorders/>
          </w:tcPr>
          <w:p>
            <w:pPr>
              <w:pStyle w:val="Normal"/>
              <w:spacing w:before="30" w:after="30"/>
              <w:rPr>
                <w:rFonts w:ascii="Carlito" w:hAnsi="Carlito" w:cs="Carlito"/>
                <w:b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/>
                <w:i w:val="false"/>
                <w:color w:val="0D0D0D"/>
                <w:sz w:val="19"/>
              </w:rPr>
              <w:t>Data</w:t>
            </w:r>
          </w:p>
        </w:tc>
        <w:tc>
          <w:tcPr>
            <w:tcW w:w="5567" w:type="dxa"/>
            <w:tcBorders/>
          </w:tcPr>
          <w:p>
            <w:pPr>
              <w:pStyle w:val="Normal"/>
              <w:spacing w:lineRule="auto" w:line="240" w:before="30" w:after="30"/>
              <w:rPr>
                <w:rFonts w:ascii="Carlito" w:hAnsi="Carlito" w:cs="Carlito"/>
                <w:b w:val="false"/>
                <w:i w:val="false"/>
                <w:i w:val="false"/>
                <w:color w:val="0D0D0D"/>
                <w:sz w:val="19"/>
              </w:rPr>
            </w:pPr>
            <w:r>
              <w:rPr>
                <w:rFonts w:cs="Carlito"/>
                <w:b w:val="false"/>
                <w:i w:val="false"/>
                <w:color w:val="0D0D0D"/>
                <w:sz w:val="19"/>
              </w:rPr>
              <w:t>Oracle, PostgreSQL, SQL Server, MongoDB, Cassandra, Elasticsearch, Cloudera/HDP (Spark, HDFS, Hive)</w:t>
            </w:r>
          </w:p>
        </w:tc>
      </w:tr>
    </w:tbl>
    <w:p>
      <w:pPr>
        <w:pStyle w:val="Normal"/>
        <w:pBdr>
          <w:bottom w:val="single" w:sz="6" w:space="2" w:color="C0C0C0"/>
        </w:pBdr>
        <w:spacing w:lineRule="auto" w:line="240" w:before="140" w:after="6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</w:r>
    </w:p>
    <w:p>
      <w:pPr>
        <w:pStyle w:val="Normal"/>
        <w:pBdr>
          <w:bottom w:val="single" w:sz="6" w:space="2" w:color="C0C0C0"/>
        </w:pBdr>
        <w:spacing w:lineRule="auto" w:line="240" w:before="140" w:after="6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PROFESSIONAL EXPERIENCE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Shell — Trading &amp; Supply NBS · Carbon Management · Power Portfolio</w:t>
      </w:r>
      <w:r>
        <w:rPr>
          <w:rFonts w:cs="Carlito"/>
          <w:b w:val="false"/>
          <w:i w:val="false"/>
          <w:color w:val="6B6B6B"/>
          <w:sz w:val="18"/>
        </w:rPr>
        <w:tab/>
        <w:t>Feb 2022 – Present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Senior Solution Architect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Greater London, UK · Hybrid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Framed, designed and governed the end-to-end architecture of 3 mission-critical portfolios across 30 multi-region Azure applications, from business-requirements capture to production, with a 99.9%+ SLA and a DR plan (RTO &lt; 1h / RPO &lt; 15 min).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Designed a real-time event-driven architecture (Spark Structured Streaming, CQRS, Saga) for Flex GB battery trading, reducing Day-Ahead decision latency by 40%.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Designed and governed an enterprise GenAI platform on Azure AI Foundry: a knowledge assistant (RAG) for trading and operations teams, grounded on internal references (procedures, contracts, market notes), served by GPT-4o with vector search (text-embedding-3-large embeddings).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Set the production foundations: AI Gateway (APIM GenAI mode) — per-application token quotas, PTU routing with PAYG overflow, content-safety policies — with keyless access (Entra ID, managed identities, private endpoints, managed VNet) and cost control (PTU/PAYG trade-offs).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/>
      </w:pPr>
      <w:r>
        <w:rPr>
          <w:rFonts w:cs="Carlito"/>
          <w:b w:val="false"/>
          <w:i w:val="false"/>
          <w:color w:val="0D0D0D"/>
          <w:sz w:val="19"/>
        </w:rPr>
        <w:t>Formalized the architecture documentation chain (conceptual/logical/technical views, HLD, LLD, ADR) defended in ARB and Design Authority, cutting approval time by 35% for 8 teams.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Reduced cloud costs by 25% (shared landing zones, AKS/Databricks scaling) while enforcing at-rest/in-transit encryption (TLS/mTLS, Key Vault).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Led cost-optimization initiatives with the SOM and Enterprise Architecture teams.</w:t>
      </w:r>
    </w:p>
    <w:p>
      <w:pPr>
        <w:pStyle w:val="Normal"/>
        <w:spacing w:lineRule="auto" w:line="240" w:before="20" w:after="20"/>
        <w:rPr/>
      </w:pPr>
      <w:r>
        <w:rPr>
          <w:rFonts w:cs="Carlito"/>
          <w:b/>
          <w:i/>
          <w:color w:val="6B6B6B"/>
          <w:sz w:val="17"/>
        </w:rPr>
        <w:t xml:space="preserve">Deliverables : </w:t>
      </w:r>
      <w:r>
        <w:rPr>
          <w:rFonts w:cs="Carlito"/>
          <w:b w:val="false"/>
          <w:i/>
          <w:color w:val="6B6B6B"/>
          <w:sz w:val="17"/>
        </w:rPr>
        <w:t>TAD, HLD, LLD, ADR, flow &amp; impact matrices, DR/BCP plan.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Azure AI Foundry, Azure OpenAI (GPT-4o, text-embedding-3-large), RAG / Azure AI Search, AI Gateway (APIM GenAI mode), Content Safety, Entra ID &amp; managed identities, Private Endpoints, AKS, Databricks, Spark Structured Streaming, Event Hubs, Cosmos DB, Key Vault, Terraform, Bicep.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ENEDIS — Département Data (Chaîne de valeur Données / B4ALL)</w:t>
      </w:r>
      <w:r>
        <w:rPr>
          <w:rFonts w:cs="Carlito"/>
          <w:b w:val="false"/>
          <w:i w:val="false"/>
          <w:color w:val="6B6B6B"/>
          <w:sz w:val="18"/>
        </w:rPr>
        <w:tab/>
        <w:t>Jul 2020 – Feb 2022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Senior Solution Architect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Agile / SAFe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Designed the cloud-native architecture of the Linky meter quality-control platform (28M) integrating a Computer Vision model (EfficientNet-B4) built by the data science team: AWS exposure/integration, interface contracts, security — feasibility and integrity guaranteed (94% F1-score).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Led end-to-end architectural design, governance and modernization of the Data Department, aligned with group standards (Open-Source First, Cloud First).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Defined the inter-application interface architecture (API contracts, protocols) and conceptual/technical views, qualifying data sensitivity with business &amp; security.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Modernized 7 legacy IS components (technical debt −30%); created 12 reusable patterns adopted by 5 teams (time-to-design −30%).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Ran open-source benchmarks in the architecture committee (licensing costs −40%).</w:t>
      </w:r>
    </w:p>
    <w:p>
      <w:pPr>
        <w:pStyle w:val="Normal"/>
        <w:spacing w:lineRule="auto" w:line="240" w:before="20" w:after="20"/>
        <w:rPr/>
      </w:pPr>
      <w:r>
        <w:rPr>
          <w:rFonts w:cs="Carlito"/>
          <w:b/>
          <w:i/>
          <w:color w:val="6B6B6B"/>
          <w:sz w:val="17"/>
        </w:rPr>
        <w:t xml:space="preserve">Deliverables : </w:t>
      </w:r>
      <w:r>
        <w:rPr>
          <w:rFonts w:cs="Carlito"/>
          <w:b w:val="false"/>
          <w:i/>
          <w:color w:val="6B6B6B"/>
          <w:sz w:val="17"/>
        </w:rPr>
        <w:t>TAD, flow matrices, data model, reference patterns, ADR.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Cloudera/HDP, Kafka, AWS (SageMaker, Lambda, API GW, S3), TensorFlow/Keras, Python, Spring Boot, Kubernetes, Docker.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Europcar Mobility Group — Click &amp; Go</w:t>
      </w:r>
      <w:r>
        <w:rPr>
          <w:rFonts w:cs="Carlito"/>
          <w:b w:val="false"/>
          <w:i w:val="false"/>
          <w:color w:val="6B6B6B"/>
          <w:sz w:val="18"/>
        </w:rPr>
        <w:tab/>
        <w:t>Jan 2019 – Jun 2020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Solution Architect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Agile /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Full architectural audit of the platform (B2B &amp; B2C portal + mobile app): 15 technical-debt points identified and a 4-quarter refactoring roadmap validated by technical management.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Architecture built around a centralized API Gateway (Kong) and microservices decomposition, with explicit interface contracts and TLS encryption — cutting inter-service coupling by about 60% and time-to-release by about 45%.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Cross-cutting security architecture (Spring Security, LDAP, OAuth2) for partner and public authentication, GDPR-compliant.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Designed solution components and architecture models for the Spring Batch (bulk reservation processing) and Spring Data JPA (Oracle/PostgreSQL access) layers, producing HLD/LLD deliverables, technical analyses and ADRs for governance reviews.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CI/CD pipeline (Jenkins, SonarQube, Artifactory, GitLab, Newman) reducing regressions by about 45% through test automation.</w:t>
      </w:r>
    </w:p>
    <w:p>
      <w:pPr>
        <w:pStyle w:val="Normal"/>
        <w:spacing w:lineRule="auto" w:line="240" w:before="20" w:after="20"/>
        <w:rPr/>
      </w:pPr>
      <w:r>
        <w:rPr>
          <w:rFonts w:cs="Carlito"/>
          <w:b/>
          <w:i/>
          <w:color w:val="6B6B6B"/>
          <w:sz w:val="17"/>
        </w:rPr>
        <w:t xml:space="preserve">Deliverables : </w:t>
      </w:r>
      <w:r>
        <w:rPr>
          <w:rFonts w:cs="Carlito"/>
          <w:b w:val="false"/>
          <w:i/>
          <w:color w:val="6B6B6B"/>
          <w:sz w:val="17"/>
        </w:rPr>
        <w:t>TAD, HLD, LLD, ADR, API contracts (OpenAPI), security document, technical analyses.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Java 11, Spring Boot 2.x, Spring Security, Spring Batch, Spring MVC REST, Spring LDAP, Spring Data JPA, Microservices, Kong API Gateway, Oracle, PostgreSQL, Business Objects, Android &amp; iOS, Docker, OpenShift, Angular 7, Bootstrap, Jenkins, SonarQube, Artifactory, GitLab, Newman, IntelliJ.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RTE — Réseau de Transport d'Électricité</w:t>
      </w:r>
      <w:r>
        <w:rPr>
          <w:rFonts w:cs="Carlito"/>
          <w:b w:val="false"/>
          <w:i w:val="false"/>
          <w:color w:val="6B6B6B"/>
          <w:sz w:val="18"/>
        </w:rPr>
        <w:tab/>
        <w:t>May 2018 – Jan 2019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Technical Solution Architect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Agile /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Established the reference technical architecture of the GUIDE platform (50,000+ external identities) — Spring Boot + OpenLDAP + Angular — and authored the architecture vision documents (application, global, functional), delivered on time with 0 critical defects in production.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Trained and coached 12 developers in DDD, TDD, CI and design-pattern practices, reducing the defect rate by 40% within the first 3 sprints post-coaching.</w:t>
      </w:r>
    </w:p>
    <w:p>
      <w:pPr>
        <w:pStyle w:val="Normal"/>
        <w:spacing w:lineRule="auto" w:line="240" w:before="20" w:after="20"/>
        <w:rPr/>
      </w:pPr>
      <w:r>
        <w:rPr>
          <w:rFonts w:cs="Carlito"/>
          <w:b/>
          <w:i/>
          <w:color w:val="6B6B6B"/>
          <w:sz w:val="17"/>
        </w:rPr>
        <w:t xml:space="preserve">Deliverables : </w:t>
      </w:r>
      <w:r>
        <w:rPr>
          <w:rFonts w:cs="Carlito"/>
          <w:b w:val="false"/>
          <w:i/>
          <w:color w:val="6B6B6B"/>
          <w:sz w:val="17"/>
        </w:rPr>
        <w:t>Architecture vision documents (application, global, functional), TAD, HLD/LLD.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Java 8, Spring Boot 2.x, Spring Security, Spring LDAP, REST APIs, Angular 6, Docker, Jenkins, SonarQube, OpenLDAP, Maven 3.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AFPA</w:t>
      </w:r>
      <w:r>
        <w:rPr>
          <w:rFonts w:cs="Carlito"/>
          <w:b w:val="false"/>
          <w:i w:val="false"/>
          <w:color w:val="6B6B6B"/>
          <w:sz w:val="18"/>
        </w:rPr>
        <w:tab/>
        <w:t>Jan 2017 – Apr 2018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Application &amp; Technical Architect / Technical Lead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Maintenance and evolution of the existing modules within the CIRUS scope, ensuring service continuity and consistency with the existing architecture.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/>
      </w:pPr>
      <w:r>
        <w:rPr>
          <w:rFonts w:cs="Carlito"/>
          <w:b w:val="false"/>
          <w:i w:val="false"/>
          <w:color w:val="0D0D0D"/>
          <w:sz w:val="19"/>
        </w:rPr>
        <w:t>Full rebuild of selected modules — including GESPERS — redesigned from scratch on recent technologies (microservices/API, Angular, security, observability).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/>
      </w:pPr>
      <w:r>
        <w:rPr>
          <w:rFonts w:cs="Carlito"/>
          <w:b w:val="false"/>
          <w:i w:val="false"/>
          <w:color w:val="0D0D0D"/>
          <w:sz w:val="19"/>
        </w:rPr>
        <w:t>Definition of the conceptual and technical architecture of the modules involved and production of the deliverables (HLD/LLD, ADR), presented to and validated by the enterprise architecture committee.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/>
      </w:pPr>
      <w:r>
        <w:rPr>
          <w:rFonts w:cs="Carlito"/>
          <w:b w:val="false"/>
          <w:i w:val="false"/>
          <w:color w:val="0D0D0D"/>
          <w:sz w:val="19"/>
        </w:rPr>
        <w:t>Support to the development team as technical lead, from design through to production, over a 16-month engagement.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Java 8, Spring Boot, Spring Security, Hibernate, Docker, Angular 4, SQL Server 2012, MySQL, Jenkins, SonarQube, GitLab.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ENEDIS — OpenData</w:t>
      </w:r>
      <w:r>
        <w:rPr>
          <w:rFonts w:cs="Carlito"/>
          <w:b w:val="false"/>
          <w:i w:val="false"/>
          <w:color w:val="6B6B6B"/>
          <w:sz w:val="18"/>
        </w:rPr>
        <w:tab/>
        <w:t>Apr 2016 – Dec 2016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Big Data Technical Lead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Designed and delivered the OpenData large-scale data publication and processing pipeline (Spark, Hadoop), processing 30 public datasets with 99% availability.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Coached 6 junior developers in Big Data practices and Git branching, reducing the integration error rate by 60% over the last 2 sprints.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Java 8, Spark, Hadoop, Hive, HDFS, Docker, Teradata, Jenkins, SonarQube.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Airbus Helicopters — ORION</w:t>
      </w:r>
      <w:r>
        <w:rPr>
          <w:rFonts w:cs="Carlito"/>
          <w:b w:val="false"/>
          <w:i w:val="false"/>
          <w:color w:val="6B6B6B"/>
          <w:sz w:val="18"/>
        </w:rPr>
        <w:tab/>
        <w:t>Jul 2013 – Mar 2016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Technical Lead &amp; Junior Technical Architect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Marseille, France · Agile / Scrum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Harmonized and industrialized 18 application components on the ORION platform, reducing code-duplication debt by 35% and improving the maintainability of documentation and maintenance manuals.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Developed an API health-check system reducing MTTR (Mean Time To Recovery) by 60% by detecting service failures before user impact. Deployed full DevOps automation (Jenkins, Nexus, Sonar, Git).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Java/JEE, REST, AngularJS, Angular 2, XML/XSLT/XPath, Spring Boot, Docker, Jenkins, Nexus, SonarQube, SQL Server, MySQL, Active Directory LDAP, IntelliJ, Maven 3.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SNCF — Portail Affilié CPRP</w:t>
      </w:r>
      <w:r>
        <w:rPr>
          <w:rFonts w:cs="Carlito"/>
          <w:b w:val="false"/>
          <w:i w:val="false"/>
          <w:color w:val="6B6B6B"/>
          <w:sz w:val="18"/>
        </w:rPr>
        <w:tab/>
        <w:t>Oct 2011 – Jun 2013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Senior Java/JEE Developer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Marseille, 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Designed and developed the complete architecture of the CPRP affiliate portal (Java/JEE, WebLogic, Oracle 11g, REST, Liferay 6.2) in 8 months, delivered on time with 7,000 affiliated users migrated without service interruption.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Java/JEE, EJB 3, Liferay 6.2, Hibernate, JSF, REST (RESTEasy), Oracle 11g, Maven, Tomcat 7, Git.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Direction Générale des Finances Publiques</w:t>
      </w:r>
      <w:r>
        <w:rPr>
          <w:rFonts w:cs="Carlito"/>
          <w:b w:val="false"/>
          <w:i w:val="false"/>
          <w:color w:val="6B6B6B"/>
          <w:sz w:val="18"/>
        </w:rPr>
        <w:tab/>
        <w:t>Feb 2011 – Sep 2011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Talend &amp; Senior Java Developer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Paris, 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Developed and delivered the note-sharing and financial-control system in 7 months. Successfully executed the MySQL → PostgreSQL and Drupal Commons 6 → 7 data migration with 0 data loss across 600,000 records.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Java 6, Talend Studio, Hibernate, Spring, Maven 2, PrimeFaces, MySQL, PostgreSQL.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Arts et Métiers ParisTech</w:t>
      </w:r>
      <w:r>
        <w:rPr>
          <w:rFonts w:cs="Carlito"/>
          <w:b w:val="false"/>
          <w:i w:val="false"/>
          <w:color w:val="6B6B6B"/>
          <w:sz w:val="18"/>
        </w:rPr>
        <w:tab/>
        <w:t>Jul 2009 – Jan 2011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Java/JEE Developer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Delivered the critical business interfaces between the KAKI payroll module and the Concerto Adix accounting system, ensuring zero-defect integration of payroll for 1,200 employees into the ENSAM financial system.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Java/JEE, Spring MVC, Spring Security, Oracle 10g, JasperSoft, Apache POI, PL/SQL, JBoss, Maven, Ant, Selenium.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Ville de Toulon &amp; Métropole TPM</w:t>
      </w:r>
      <w:r>
        <w:rPr>
          <w:rFonts w:cs="Carlito"/>
          <w:b w:val="false"/>
          <w:i w:val="false"/>
          <w:color w:val="6B6B6B"/>
          <w:sz w:val="18"/>
        </w:rPr>
        <w:tab/>
        <w:t>Jul 2008 – Jun 2009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PHP Developer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Toulon, 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Rebuilt and delivered the toulon.fr &amp; tpm-agglo.fr websites on Drupal 7 — 8 custom modules developed, 120K visitors/month supported after go-live.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Drupal 7, PHP, HTML5, CSS, jQuery, Apache 2, MySQL, Solr, Git.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40" w:after="0"/>
        <w:rPr/>
      </w:pPr>
      <w:r>
        <w:rPr>
          <w:rFonts w:cs="Carlito"/>
          <w:b/>
          <w:i w:val="false"/>
          <w:color w:val="012169"/>
          <w:sz w:val="21"/>
        </w:rPr>
        <w:t>Université Aix-Marseille — Saint-Jérôme Faculty Library</w:t>
      </w:r>
      <w:r>
        <w:rPr>
          <w:rFonts w:cs="Carlito"/>
          <w:b w:val="false"/>
          <w:i w:val="false"/>
          <w:color w:val="6B6B6B"/>
          <w:sz w:val="18"/>
        </w:rPr>
        <w:tab/>
        <w:t>Jan 2008 – Jun 2008</w:t>
      </w:r>
    </w:p>
    <w:p>
      <w:pPr>
        <w:pStyle w:val="Normal"/>
        <w:spacing w:lineRule="auto" w:line="240" w:before="20" w:after="40"/>
        <w:rPr/>
      </w:pPr>
      <w:r>
        <w:rPr>
          <w:rFonts w:cs="Carlito"/>
          <w:b/>
          <w:i w:val="false"/>
          <w:color w:val="0D0D0D"/>
          <w:sz w:val="20"/>
        </w:rPr>
        <w:t>Java/JEE Developer</w:t>
      </w:r>
      <w:r>
        <w:rPr>
          <w:rFonts w:cs="Carlito"/>
          <w:b w:val="false"/>
          <w:i w:val="false"/>
          <w:color w:val="6B6B6B"/>
          <w:sz w:val="20"/>
        </w:rPr>
        <w:t xml:space="preserve">  ·  </w:t>
      </w:r>
      <w:r>
        <w:rPr>
          <w:rFonts w:cs="Carlito"/>
          <w:b w:val="false"/>
          <w:i/>
          <w:color w:val="6B6B6B"/>
          <w:sz w:val="20"/>
        </w:rPr>
        <w:t>Aix-Marseille, France · Agile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Rebuilt the library's document management system (Java/JEE, Spring, Hibernate, SOAP), delivered and deployed across 3 environments (test, training, production) within 6 months.</w:t>
      </w:r>
    </w:p>
    <w:p>
      <w:pPr>
        <w:pStyle w:val="Normal"/>
        <w:spacing w:lineRule="auto" w:line="240" w:before="40" w:after="40"/>
        <w:rPr/>
      </w:pPr>
      <w:r>
        <w:rPr>
          <w:rFonts w:cs="Carlito"/>
          <w:b/>
          <w:i/>
          <w:color w:val="6B6B6B"/>
          <w:sz w:val="17"/>
        </w:rPr>
        <w:t xml:space="preserve">Tech stack : </w:t>
      </w:r>
      <w:r>
        <w:rPr>
          <w:rFonts w:cs="Carlito"/>
          <w:b w:val="false"/>
          <w:i/>
          <w:color w:val="6B6B6B"/>
          <w:sz w:val="17"/>
        </w:rPr>
        <w:t>Java/JEE, Spring, Hibernate, JSF, PrimeFaces, Tomcat 6, SOAP/WSDL, MySQL, JasperReports, SVN.</w:t>
      </w:r>
    </w:p>
    <w:p>
      <w:pPr>
        <w:pStyle w:val="Normal"/>
        <w:pBdr>
          <w:bottom w:val="single" w:sz="6" w:space="2" w:color="C0C0C0"/>
        </w:pBdr>
        <w:spacing w:lineRule="auto" w:line="240" w:before="140" w:after="6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EDUCATION</w:t>
      </w:r>
    </w:p>
    <w:p>
      <w:pPr>
        <w:pStyle w:val="Normal"/>
        <w:tabs>
          <w:tab w:val="clear" w:pos="720"/>
          <w:tab w:val="right" w:pos="9906" w:leader="none"/>
        </w:tabs>
        <w:spacing w:lineRule="auto" w:line="240" w:before="80" w:after="0"/>
        <w:rPr/>
      </w:pPr>
      <w:r>
        <w:rPr>
          <w:rFonts w:cs="Carlito"/>
          <w:b/>
          <w:i w:val="false"/>
          <w:color w:val="012169"/>
          <w:sz w:val="21"/>
        </w:rPr>
        <w:t>Master's in Distributed Systems</w:t>
      </w:r>
      <w:r>
        <w:rPr>
          <w:rFonts w:cs="Carlito"/>
          <w:b w:val="false"/>
          <w:i w:val="false"/>
          <w:color w:val="6B6B6B"/>
          <w:sz w:val="18"/>
        </w:rPr>
        <w:tab/>
        <w:t>2008</w:t>
      </w:r>
    </w:p>
    <w:p>
      <w:pPr>
        <w:pStyle w:val="Normal"/>
        <w:spacing w:lineRule="auto" w:line="240" w:before="20" w:after="40"/>
        <w:rPr>
          <w:rFonts w:ascii="Carlito" w:hAnsi="Carlito" w:cs="Carlito"/>
          <w:b w:val="false"/>
          <w:i/>
          <w:i/>
          <w:color w:val="6B6B6B"/>
          <w:sz w:val="20"/>
        </w:rPr>
      </w:pPr>
      <w:r>
        <w:rPr>
          <w:rFonts w:cs="Carlito"/>
          <w:b w:val="false"/>
          <w:i/>
          <w:color w:val="6B6B6B"/>
          <w:sz w:val="20"/>
        </w:rPr>
        <w:t>Université Aix-Marseille, Aix-Marseille, France</w:t>
      </w:r>
    </w:p>
    <w:p>
      <w:pPr>
        <w:pStyle w:val="Normal"/>
        <w:pBdr>
          <w:bottom w:val="single" w:sz="6" w:space="2" w:color="C0C0C0"/>
        </w:pBdr>
        <w:spacing w:lineRule="auto" w:line="240" w:before="140" w:after="60"/>
        <w:rPr>
          <w:rFonts w:ascii="Carlito" w:hAnsi="Carlito" w:cs="Carlito"/>
          <w:b/>
          <w:i w:val="false"/>
          <w:i w:val="false"/>
          <w:color w:val="252525"/>
          <w:spacing w:val="40"/>
          <w:sz w:val="19"/>
        </w:rPr>
      </w:pPr>
      <w:r>
        <w:rPr>
          <w:rFonts w:cs="Carlito"/>
          <w:b/>
          <w:i w:val="false"/>
          <w:color w:val="252525"/>
          <w:spacing w:val="40"/>
          <w:sz w:val="19"/>
        </w:rPr>
        <w:t>LEADERSHIP &amp; DISTINCTIONS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Mentored 8+ senior architects and engineers at Shell, contributed to the group Technology Radar and led cloud cost-optimization initiatives — a cross-cutting role recognized beyond the direct project scope.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Evangelized modern engineering practices (DDD, TDD, CI, Zero Trust, Security by Design) across 12+ development teams at RTE, AFPA and Airbus Helicopters over 3 consecutive assignments.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Trilingual English / French / Arabic (fluent) — facilitator of collaboration in international and cross-cultural multi-team contexts (Shell UK, EDF, Europcar, DGFIP).</w:t>
      </w:r>
    </w:p>
    <w:p>
      <w:pPr>
        <w:pStyle w:val="ListBullet"/>
        <w:numPr>
          <w:ilvl w:val="0"/>
          <w:numId w:val="2"/>
        </w:numPr>
        <w:spacing w:lineRule="auto" w:line="240" w:before="10" w:after="10"/>
        <w:ind w:hanging="200" w:left="280"/>
        <w:contextualSpacing/>
        <w:rPr>
          <w:rFonts w:ascii="Carlito" w:hAnsi="Carlito" w:cs="Carlito"/>
          <w:b w:val="false"/>
          <w:i w:val="false"/>
          <w:i w:val="false"/>
          <w:color w:val="0D0D0D"/>
          <w:sz w:val="19"/>
        </w:rPr>
      </w:pPr>
      <w:r>
        <w:rPr>
          <w:rFonts w:cs="Carlito"/>
          <w:b w:val="false"/>
          <w:i w:val="false"/>
          <w:color w:val="0D0D0D"/>
          <w:sz w:val="19"/>
        </w:rPr>
        <w:t>Presented and defended 50+ architecture proposals in governance bodies (Design Authority, architecture committees), notably Shell EA Board, ENEDIS CONSUEL, RTE Architecture Board.</w:t>
      </w:r>
    </w:p>
    <w:sectPr>
      <w:type w:val="nextPage"/>
      <w:pgSz w:w="11906" w:h="16838"/>
      <w:pgMar w:left="1000" w:right="1000" w:gutter="0" w:header="0" w:top="760" w:footer="0" w:bottom="7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rlito">
    <w:altName w:val="Calibri"/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rlito" w:hAnsi="Carlito" w:cs="Carlito" w:eastAsia="ＭＳ 明朝"/>
      <w:color w:val="0D0D0D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text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text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text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text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  <w:jc w:val="left"/>
    </w:pPr>
    <w:rPr>
      <w:rFonts w:ascii="Carlito" w:hAnsi="Carlito" w:eastAsia="ＭＳ 明朝"/>
      <w:color w:val="000000"/>
      <w:kern w:val="0"/>
      <w:sz w:val="24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billel-zighab-510b3952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LibreOffice/25.2.7.2$Windows_X86_64 LibreOffice_project/5cbfd1ab6520636bb5f7b99185aa69bd7456825d</Application>
  <AppVersion>15.0000</AppVersion>
  <Pages>2</Pages>
  <Words>1995</Words>
  <Characters>12558</Characters>
  <CharactersWithSpaces>14484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cp:lastPrinted>2026-06-15T14:34:40Z</cp:lastPrinted>
  <dcterms:modified xsi:type="dcterms:W3CDTF">2026-06-19T12:58:05Z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