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"/>
        <w:jc w:val="center"/>
        <w:rPr>
          <w:rFonts w:ascii="Carlito" w:hAnsi="Carlito" w:cs="Carlito"/>
          <w:b/>
          <w:i w:val="false"/>
          <w:i w:val="false"/>
          <w:color w:val="0D0D0D"/>
          <w:spacing w:val="80"/>
          <w:sz w:val="48"/>
        </w:rPr>
      </w:pPr>
      <w:r>
        <w:rPr>
          <w:rFonts w:cs="Carlito"/>
          <w:b/>
          <w:i w:val="false"/>
          <w:color w:val="0D0D0D"/>
          <w:spacing w:val="80"/>
          <w:sz w:val="48"/>
        </w:rPr>
        <w:t>BILLEL ZIGHAB</w:t>
      </w:r>
    </w:p>
    <w:p>
      <w:pPr>
        <w:pStyle w:val="Normal"/>
        <w:spacing w:lineRule="auto" w:line="240" w:before="0" w:after="20"/>
        <w:jc w:val="center"/>
        <w:rPr>
          <w:rFonts w:ascii="Carlito" w:hAnsi="Carlito" w:cs="Carlito"/>
          <w:b/>
          <w:i w:val="false"/>
          <w:i w:val="false"/>
          <w:color w:val="012169"/>
          <w:spacing w:val="50"/>
          <w:sz w:val="26"/>
        </w:rPr>
      </w:pPr>
      <w:r>
        <w:rPr>
          <w:rFonts w:cs="Carlito"/>
          <w:b/>
          <w:i w:val="false"/>
          <w:color w:val="012169"/>
          <w:spacing w:val="50"/>
          <w:sz w:val="26"/>
        </w:rPr>
        <w:t>Senior Solution Architect</w:t>
      </w:r>
    </w:p>
    <w:p>
      <w:pPr>
        <w:pStyle w:val="Normal"/>
        <w:spacing w:lineRule="auto" w:line="240" w:before="0" w:after="60"/>
        <w:jc w:val="center"/>
        <w:rPr>
          <w:rFonts w:ascii="Carlito" w:hAnsi="Carlito" w:cs="Carlito"/>
          <w:b w:val="false"/>
          <w:i w:val="false"/>
          <w:i w:val="false"/>
          <w:color w:val="6B6B6B"/>
          <w:sz w:val="18"/>
        </w:rPr>
      </w:pPr>
      <w:r>
        <w:rPr>
          <w:rFonts w:cs="Carlito"/>
          <w:b w:val="false"/>
          <w:i w:val="false"/>
          <w:color w:val="6B6B6B"/>
          <w:sz w:val="18"/>
        </w:rPr>
        <w:t>Enterprise &amp; Solution Architecture · Cloud / On-Premise / Hybride · Standards, Gouvernance &amp; Assurance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cs="Carlito"/>
          <w:b w:val="false"/>
          <w:i w:val="false"/>
          <w:color w:val="6B6B6B"/>
          <w:sz w:val="18"/>
        </w:rPr>
        <w:t>0652593388</w:t>
      </w:r>
      <w:r>
        <w:rPr/>
        <w:t xml:space="preserve"> </w:t>
      </w:r>
      <w:r>
        <w:rPr>
          <w:rFonts w:cs="Carlito"/>
          <w:b w:val="false"/>
          <w:i w:val="false"/>
          <w:color w:val="6B6B6B"/>
          <w:sz w:val="18"/>
        </w:rPr>
        <w:t xml:space="preserve">  ·  </w:t>
      </w:r>
      <w:r>
        <w:rPr>
          <w:rFonts w:cs="Carlito"/>
          <w:b w:val="false"/>
          <w:i w:val="false"/>
          <w:color w:val="6B6B6B"/>
          <w:sz w:val="18"/>
        </w:rPr>
        <w:t>billel.zighab</w:t>
      </w:r>
      <w:r>
        <w:rPr>
          <w:rFonts w:cs="Carlito"/>
          <w:b w:val="false"/>
          <w:i w:val="false"/>
          <w:color w:val="6B6B6B"/>
          <w:sz w:val="18"/>
        </w:rPr>
        <w:t xml:space="preserve">@gmail.com  ·  </w:t>
      </w:r>
      <w:r>
        <w:rPr>
          <w:rFonts w:cs="Carlito"/>
          <w:b w:val="false"/>
          <w:i w:val="false"/>
          <w:color w:val="6B6B6B"/>
          <w:sz w:val="18"/>
        </w:rPr>
        <w:t>Île-de-France</w:t>
      </w:r>
      <w:r>
        <w:rPr>
          <w:rFonts w:cs="Carlito"/>
          <w:b w:val="false"/>
          <w:i w:val="false"/>
          <w:color w:val="6B6B6B"/>
          <w:sz w:val="18"/>
        </w:rPr>
        <w:t xml:space="preserve">  · </w:t>
      </w:r>
      <w:hyperlink r:id="rId2">
        <w:r>
          <w:rPr>
            <w:rStyle w:val="Hyperlink"/>
            <w:rFonts w:cs="Carlito"/>
            <w:b w:val="false"/>
            <w:i w:val="false"/>
            <w:color w:val="012169"/>
            <w:sz w:val="18"/>
          </w:rPr>
          <w:t xml:space="preserve"> linkedin.com/in/billel-zighab</w:t>
        </w:r>
      </w:hyperlink>
    </w:p>
    <w:p>
      <w:pPr>
        <w:pStyle w:val="Default"/>
        <w:widowControl/>
        <w:bidi w:val="0"/>
        <w:spacing w:lineRule="auto" w:line="240" w:before="0" w:after="40"/>
        <w:jc w:val="center"/>
        <w:rPr>
          <w:rFonts w:cs="Carlito"/>
          <w:b w:val="false"/>
          <w:i w:val="false"/>
          <w:i w:val="false"/>
          <w:color w:val="666666"/>
          <w:spacing w:val="80"/>
          <w:sz w:val="18"/>
        </w:rPr>
      </w:pPr>
      <w:r>
        <w:rPr>
          <w:rFonts w:cs="Carlito"/>
          <w:b w:val="false"/>
          <w:i w:val="false"/>
          <w:color w:val="666666"/>
          <w:spacing w:val="80"/>
          <w:sz w:val="18"/>
        </w:rPr>
        <w:t xml:space="preserve"> </w:t>
      </w:r>
      <w:r>
        <w:rPr>
          <w:rFonts w:cs="Carlito"/>
          <w:b w:val="false"/>
          <w:i w:val="false"/>
          <w:color w:val="666666"/>
          <w:spacing w:val="80"/>
          <w:sz w:val="18"/>
        </w:rPr>
        <w:t>Anglais · Français · Arabe — Courant</w:t>
      </w:r>
    </w:p>
    <w:p>
      <w:pPr>
        <w:pStyle w:val="Default"/>
        <w:widowControl/>
        <w:bidi w:val="0"/>
        <w:spacing w:lineRule="auto" w:line="240" w:before="0" w:after="40"/>
        <w:jc w:val="center"/>
        <w:rPr>
          <w:rFonts w:cs="Carlito"/>
          <w:b w:val="false"/>
          <w:i w:val="false"/>
          <w:i w:val="false"/>
          <w:color w:val="012169"/>
          <w:spacing w:val="80"/>
          <w:sz w:val="18"/>
        </w:rPr>
      </w:pPr>
      <w:r>
        <w:rPr>
          <w:rFonts w:cs="Carlito"/>
          <w:b w:val="false"/>
          <w:i w:val="false"/>
          <w:color w:val="012169"/>
          <w:spacing w:val="80"/>
          <w:sz w:val="18"/>
        </w:rPr>
      </w:r>
    </w:p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RÉSUMÉ PROFESSIONNEL</w:t>
      </w:r>
    </w:p>
    <w:p>
      <w:pPr>
        <w:pStyle w:val="Normal"/>
        <w:spacing w:lineRule="auto" w:line="240" w:before="0" w:after="40"/>
        <w:jc w:val="both"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Architecte Solution Senior, 17+ ans d'expérience IT dont 10+ ans en architecture de bout en bout sur des plateformes digitales critiques à forte volumétrie. Conçoit des architectures distribuées et transactionnelles à grande échelle et définit les trajectoires d'évolution applicative et cloud (target + transition) dans des contextes internationaux. Spécialiste des architectures microservices, du découplage événementiel (EDA, CQRS) et des stratégies d'API Design / API Management (gateway, contrats, versioning). Pilote l'urbanisation de systèmes complexes et accompagne les équipes dans les choix d'intégration inter-systèmes, en challengeant les choix techniques et en arbitrant les bons compromis performance / coût / délai. Porte la sécurité applicative by design : authentification, autorisation et gestion des tokens (OAuth2/OIDC, JWT, mTLS), IAM / CIAM, Zero Trust. Maîtrise AWS (fort) et GCP, les architectures hybrides / multi-cloud, la haute disponibilité, la résilience et l'intégrité des données. Conçoit aussi l'architecture d'intégration de capacités IA/ML développées par les équipes data science. Reconnu pour vulgariser des sujets complexes auprès d'interlocuteurs métiers et techniques et fédérer les équipes en contexte Agile / multiculturel.</w:t>
      </w:r>
    </w:p>
    <w:p>
      <w:pPr>
        <w:pStyle w:val="Normal"/>
        <w:spacing w:lineRule="auto" w:line="240" w:before="0" w:after="40"/>
        <w:jc w:val="both"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</w:r>
    </w:p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COMPÉTENCES TECHNIQUES</w:t>
      </w:r>
    </w:p>
    <w:tbl>
      <w:tblPr>
        <w:tblW w:w="990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5567"/>
      </w:tblGrid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Frameworks, Gouvernance &amp; Livrables d'architecture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TOGAF, ArchiMate, DAT, HLD, LLD, ADR, modèles C4, matrices de flux et d'impacts, dossier PRA/PCA, DAG, diagrammes d'architecture, modèle de données, patterns de référence, contrats d'API (OpenAPI)…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IA/ML — Architecture &amp; Intégration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Architecture d'intégration de capacités IA/ML dans le SI d'entreprise. GenAI sur Azure AI Foundry : Azure OpenAI (GPT-4o), RAG / Azure AI Search, embeddings (text-embedding-3-large), AI Gateway (APIM mode GenAI), Content Safety. Computer Vision (CNN, EfficientNet), TensorFlow/Keras. Contrats d'interface, gouvernance données &amp; sécurité, ADR de faisabilité.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Patterns d'architecture applicative et data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Microservices, EDA, CQRS/Event Sourcing, Saga, API Gateway &amp; BFF, Strangler Fig, Data Mesh, Lakehouse, Lambda/Kappa Architecture, DDD, Polyglot Persistence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Cloud (Azure / AWS)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AKS, APIM, Databricks, Synapse, Event Hubs, Functions, Key Vault, Front Door, WAF, ADLS Gen2, Cosmos DB · EKS, Lambda, MSK, SageMaker, API GW, S3, Redshift · Terraform, Bicep, Helm, Kubernetes, Docker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Sécurité &amp; Conformité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Zero Trust, Defense in Depth, IAM/Federation, mTLS, PKI, Key Management, OWASP, RGPD, IRM, SAML, JWT, PKCE, OAuth2/OIDC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Modélisation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BiZZdesign Enterprise Studio, SAP PowerDesigner, ArchiMate, C4/Structurizr, Visio, Lucidchart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Dev &amp; DevSecOps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Java/Spring Boot, Python, Scala, REST/OpenAPI, Angular, React · GitLab CI, Jenkins, SonarQube, Checkmarx, Artifactory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Données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Oracle, PostgreSQL, SQL Server, MongoDB, Cassandra, Elasticsearch, Cloudera/HDP (Spark, HDFS, Hive)</w:t>
            </w:r>
          </w:p>
        </w:tc>
      </w:tr>
    </w:tbl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</w:r>
    </w:p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EXPÉRIENCE PROFESSIONNELLE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Shell — Trading &amp; Supply NBS · Carbon Management · Power Portfolio</w:t>
      </w:r>
      <w:r>
        <w:rPr>
          <w:rFonts w:cs="Carlito"/>
          <w:b w:val="false"/>
          <w:i w:val="false"/>
          <w:color w:val="6B6B6B"/>
          <w:sz w:val="18"/>
        </w:rPr>
        <w:tab/>
        <w:t>Fév 2022 – Présent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Architecte Solution Senior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Greater London, UK · Hybride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Cadrage, conception et gouvernance de l'architecture de bout en bout de 3 portefeuilles mission-critiques couvrant 30 applications Azure multi-région, du recueil du besoin métier à la mise en production, avec un SLA de 99,9%+ et un PRA dimensionné (RTO &lt; 1h / RPO &lt; 15 min).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d'une architecture event-driven temps-réel (Spark Structured Streaming, CQRS, Saga) pour le trading batteries Flex GB, réduisant la latence de décision Day-Ahead de 40%.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et gouvernance d'une plateforme GenAI d'entreprise sur Azure AI Foundry : un assistant de connaissance (RAG) pour les équipes trading et opérations, grounded sur les référentiels internes (procédures, contrats, notes de marché), servi par GPT-4o avec recherche vectorielle (embeddings text-embedding-3-large).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Mise en place des fondations de production : AI Gateway (APIM mode GenAI) — quotas de tokens par application, routage PTU avec débordement PAYG, content safety en policy — en accès keyless (Entra ID, identités managées, private endpoints, VNet managé), avec maîtrise des coûts (arbitrage PTU/PAYG).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Formalisation de la chaîne documentaire d'architecture (vues conceptuelle/logique/technique, HLD, LLD, ADR) défendue en ARB et Design Authority, réduisant le délai de validation de 35% pour 8 équipes.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Réduction des coûts cloud de 25% (landing zones partagées, scaling AKS/Databricks) en imposant le chiffrement at-rest/in-transit (TLS/mTLS, Key Vault).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Pilotage des initiatives d'optimisation des coûts avec les équipes SOM et Enterprise Architecture.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Livrables : </w:t>
      </w:r>
      <w:r>
        <w:rPr>
          <w:rFonts w:cs="Carlito"/>
          <w:b w:val="false"/>
          <w:i/>
          <w:color w:val="6B6B6B"/>
          <w:sz w:val="17"/>
        </w:rPr>
        <w:t>DAT, HLD, LLD, ADR, matrices de flux &amp; d'impacts, dossier PRA/PCA.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Azure AI Foundry, Azure OpenAI (GPT-4o, text-embedding-3-large), RAG / Azure AI Search, AI Gateway (APIM mode GenAI), Content Safety, Entra ID &amp; identités managées, Private Endpoints, AKS, Databricks, Spark Structured Streaming, Event Hubs, Cosmos DB, Key Vault, Terraform, Bicep.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ENEDIS — Département Data (Chaîne de valeur Données / B4ALL)</w:t>
      </w:r>
      <w:r>
        <w:rPr>
          <w:rFonts w:cs="Carlito"/>
          <w:b w:val="false"/>
          <w:i w:val="false"/>
          <w:color w:val="6B6B6B"/>
          <w:sz w:val="18"/>
        </w:rPr>
        <w:tab/>
        <w:t>Juil 2020 – Fév 2022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Architecte Solution Senior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SAFe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de l'architecture cloud-native de la plateforme de contrôle qualité des compteurs Linky (28M) intégrant un modèle Computer Vision (EfficientNet-B4) développé par l'équipe data science : exposition/intégration sur AWS, contrats d'interface, sécurité — faisabilité et intégrité garanties (94% F1-score).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Pilotage de la conception architecturale de bout en bout, la gouvernance et la modernisation du Département Data, alignées sur les standards groupe (Open-Source First, Cloud First).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Définition de l'architecture d'interfaces inter-applicatives (contrats d'API, protocoles) et les vues conceptuelle/technique, en qualifiant la sensibilité des données avec métier &amp; sécurité.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Modernisation de 7 composants SI legacy (dette technique −30%) ; création de 12 patterns réutilisables adoptés par 5 équipes (time-to-design −30%).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Conduite des benchmarks open-source en comité d'architecture (coûts de licences −40%).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Livrables : </w:t>
      </w:r>
      <w:r>
        <w:rPr>
          <w:rFonts w:cs="Carlito"/>
          <w:b w:val="false"/>
          <w:i/>
          <w:color w:val="6B6B6B"/>
          <w:sz w:val="17"/>
        </w:rPr>
        <w:t>DAG, DAT, matrices de flux, modèle de données, patterns de référence, ADR.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Cloudera/HDP, Kafka, AWS (SageMaker, Lambda, API GW, S3), TensorFlow/Keras, Python, Spring Boot, Kubernetes, Docker.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Europcar Mobility Group — Click &amp; Go</w:t>
      </w:r>
      <w:r>
        <w:rPr>
          <w:rFonts w:cs="Carlito"/>
          <w:b w:val="false"/>
          <w:i w:val="false"/>
          <w:color w:val="6B6B6B"/>
          <w:sz w:val="18"/>
        </w:rPr>
        <w:tab/>
        <w:t>Jan 2019 – Juin 2020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Architecte Solution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Réalisation de l'audit architectural complet de la plateforme (portail B2B &amp; B2C + application mobile) : identification de 15 points de dette technique et définition d'une roadmap de refactoring sur 4 trimestres, validée par la direction technique.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de l'architecture autour d'une API Gateway centralisée (Kong) et décomposition en microservices, avec contrats d'interface explicites et chiffrement TLS des échanges — réduisant le couplage inter-services d'environ 60 % et le délai de mise en production d'environ 45 %.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Définition de l'architecture de sécurité transverse (Spring Security, LDAP, OAuth2) pour l'authentification des partenaires et du grand public, en conformité RGPD.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des composants solution et des modèles d'architecture pour les couches Spring Batch (traitement des réservations en masse) et Spring Data JPA (accès Oracle/PostgreSQL), avec production des livrables HLD/LLD, analyses techniques et ADR pour les revues de gouvernance.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Mise en place du pipeline CI/CD (Jenkins, SonarQube, Artifactory, GitLab, Newman), réduisant les régressions d'environ 45 % grâce à l'automatisation des tests.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Livrables : </w:t>
      </w:r>
      <w:r>
        <w:rPr>
          <w:rFonts w:cs="Carlito"/>
          <w:b w:val="false"/>
          <w:i/>
          <w:color w:val="6B6B6B"/>
          <w:sz w:val="17"/>
        </w:rPr>
        <w:t>DAT, HLD, LLD, ADR, contrats d'API (OpenAPI), dossier de sécurité, analyses techniques.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 11, Spring Boot 2.x, Spring Security, Spring Batch, Spring MVC REST, Spring LDAP, Spring Data JPA, Microservices, Kong API Gateway, Oracle, PostgreSQL, Business Objects, Android &amp; iOS, Docker, OpenShift, Angular 7, Bootstrap, Jenkins, SonarQube, Artifactory, GitLab, Newman, IntelliJ.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RTE — Réseau de Transport d'Électricité</w:t>
      </w:r>
      <w:r>
        <w:rPr>
          <w:rFonts w:cs="Carlito"/>
          <w:b w:val="false"/>
          <w:i w:val="false"/>
          <w:color w:val="6B6B6B"/>
          <w:sz w:val="18"/>
        </w:rPr>
        <w:tab/>
        <w:t>Mai 2018 – Jan 2019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Architecte Solution Technique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Mise en place de l'architecture technique de référence de la plateforme GUIDE (50 000+ identités externes) — Spring Boot + OpenLDAP + Angular — et rédaction des documents de vision architecturale (applicative, globale, fonctionnelle), livrée dans les délais avec 0 défaut critique en production.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Formation et coaching de 12 développeurs aux pratiques DDD, TDD, CI et design patterns, réduisant le taux de défauts de 40% dès les 3 premiers sprints post-coaching.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Livrables : </w:t>
      </w:r>
      <w:r>
        <w:rPr>
          <w:rFonts w:cs="Carlito"/>
          <w:b w:val="false"/>
          <w:i/>
          <w:color w:val="6B6B6B"/>
          <w:sz w:val="17"/>
        </w:rPr>
        <w:t>Documents de vision architecturale (applicative, globale, fonctionnelle), DAT, HLD/LLD.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 8, Spring Boot 2.x, Spring Security, Spring LDAP, REST APIs, Angular 6, Docker, Jenkins, SonarQube, OpenLDAP, Maven 3.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AFPA</w:t>
      </w:r>
      <w:r>
        <w:rPr>
          <w:rFonts w:cs="Carlito"/>
          <w:b w:val="false"/>
          <w:i w:val="false"/>
          <w:color w:val="6B6B6B"/>
          <w:sz w:val="18"/>
        </w:rPr>
        <w:tab/>
        <w:t>Jan 2017 – Avr 2018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Architecte Applicatif &amp; Technique / Référent Technique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Maintien et évolution des modules existants du périmètre CIRUS, en garantissant la continuité de service et la cohérence avec l'architecture en place.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Refonte complète de certains modules — dont GESPERS — reconçus from scratch sur des technologies récentes (microservices/API, Angular, sécurité, observabilité).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Définition des architectures conceptuelle et technique des modules concernés et production des livrables (HLD/LLD, ADR), présentés et validés en comité d'architecture entreprise.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Accompagnement de l'équipe de développement en tant que référent technique, de la conception jusqu'à la mise en production, sur une mission de 16 mois.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 8, Spring Boot, Spring Security, Hibernate, Docker, Angular 4, SQL Server 2012, MySQL, Jenkins, SonarQube, GitLab.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ENEDIS — OpenData</w:t>
      </w:r>
      <w:r>
        <w:rPr>
          <w:rFonts w:cs="Carlito"/>
          <w:b w:val="false"/>
          <w:i w:val="false"/>
          <w:color w:val="6B6B6B"/>
          <w:sz w:val="18"/>
        </w:rPr>
        <w:tab/>
        <w:t>Avr 2016 – Déc 2016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Lead Technique Big Data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et livraison du pipeline OpenData de publication et de traitement des données à grande échelle (Spark, Hadoop), traitant 30 jeux de données publics avec un taux de disponibilité de 99%.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Coaching de 6 développeurs juniors sur les pratiques Big Data et le branching Git, réduisant le taux d'erreurs d'intégration de 60% sur les 2 derniers sprints.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 8, Spark, Hadoop, Hive, HDFS, Docker, Teradata, Jenkins, SonarQube.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Airbus Helicopters — ORION</w:t>
      </w:r>
      <w:r>
        <w:rPr>
          <w:rFonts w:cs="Carlito"/>
          <w:b w:val="false"/>
          <w:i w:val="false"/>
          <w:color w:val="6B6B6B"/>
          <w:sz w:val="18"/>
        </w:rPr>
        <w:tab/>
        <w:t>Juil 2013 – Mars 2016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Référent Technique &amp; Architecte Technique Junior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Marseille,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Harmonisation et industrialisation de 18 composants applicatifs sur la plateforme ORION, réduisant la dette de duplication de code de 35% et améliorant la maintenabilité des manuels de documentation et de maintenance.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Développement d'un système de health-check API réduisant le MTTR (Mean Time To Recovery) de 60% en détectant les défaillances de services avant impact utilisateur ; déploiement de l'automatisation DevOps complète (Jenkins, Nexus, Sonar, Git).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Java/JEE, REST, AngularJS, Angular 2, XML/XSLT/XPath, Spring Boot, Docker, Jenkins, Nexus, SonarQube, SQL Server, MySQL, Active Directory LDAP, IntelliJ, Maven 3.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SNCF — Portail Affilié CPRP</w:t>
      </w:r>
      <w:r>
        <w:rPr>
          <w:rFonts w:cs="Carlito"/>
          <w:b w:val="false"/>
          <w:i w:val="false"/>
          <w:color w:val="6B6B6B"/>
          <w:sz w:val="18"/>
        </w:rPr>
        <w:tab/>
        <w:t>Oct 2011 – Juin 2013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Développeur Senior Java/JEE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Marseille,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Conception et développement de l'architecture complète du portail affilié CPRP (Java/JEE, WebLogic, Oracle 11g, REST, Liferay 6.2) en 8 mois, livré dans les délais avec 7 000 utilisateurs affiliés migrés sans interruption de service.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Java/JEE, EJB 3, Liferay 6.2, Hibernate, JSF, REST (RESTEasy), Oracle 11g, Maven, Tomcat 7, Git.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Direction Générale des Finances Publiques</w:t>
      </w:r>
      <w:r>
        <w:rPr>
          <w:rFonts w:cs="Carlito"/>
          <w:b w:val="false"/>
          <w:i w:val="false"/>
          <w:color w:val="6B6B6B"/>
          <w:sz w:val="18"/>
        </w:rPr>
        <w:tab/>
        <w:t>Fév 2011 – Sept 2011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Développeur Talend &amp; Senior Java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Développement et livraison du système de partage de notes et de contrôle financier en 7 mois ; migration réussie des données MySQL → PostgreSQL et Drupal Commons 6 → 7 avec 0 perte de données sur 600 000 enregistrements.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 6, Talend Studio, Hibernate, Spring, Maven 2, PrimeFaces, MySQL, PostgreSQL.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Arts et Métiers ParisTech</w:t>
      </w:r>
      <w:r>
        <w:rPr>
          <w:rFonts w:cs="Carlito"/>
          <w:b w:val="false"/>
          <w:i w:val="false"/>
          <w:color w:val="6B6B6B"/>
          <w:sz w:val="18"/>
        </w:rPr>
        <w:tab/>
        <w:t>Juil 2009 – Jan 2011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Développeur Java/JEE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Livraison des interfaces métier critiques entre le module de paie KAKI et le système comptable Concerto Adix, assurant une intégration zéro-défaut de la paie de 1 200 employés dans le système financier ENSAM.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Java/JEE, Spring MVC, Spring Security, Oracle 10g, JasperSoft, Apache POI, PL/SQL, JBoss, Maven, Ant, Selenium.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Ville de Toulon &amp; Métropole TPM</w:t>
      </w:r>
      <w:r>
        <w:rPr>
          <w:rFonts w:cs="Carlito"/>
          <w:b w:val="false"/>
          <w:i w:val="false"/>
          <w:color w:val="6B6B6B"/>
          <w:sz w:val="18"/>
        </w:rPr>
        <w:tab/>
        <w:t>Juil 2008 – Juin 2009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Développeur PHP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Toulon,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Refonte et livraison des sites toulon.fr &amp; tpm-agglo.fr sous Drupal 7 — 8 modules personnalisés développés, 120K visiteurs/mois supportés après mise en production.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Drupal 7, PHP, HTML5, CSS, jQuery, Apache 2, MySQL, Solr, Git.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20" w:after="0"/>
        <w:rPr/>
      </w:pPr>
      <w:r>
        <w:rPr>
          <w:rFonts w:cs="Carlito"/>
          <w:b/>
          <w:i w:val="false"/>
          <w:color w:val="012169"/>
          <w:sz w:val="21"/>
        </w:rPr>
        <w:t>Université Aix-Marseille — Bibliothèque Faculté Saint-Jérôme</w:t>
      </w:r>
      <w:r>
        <w:rPr>
          <w:rFonts w:cs="Carlito"/>
          <w:b w:val="false"/>
          <w:i w:val="false"/>
          <w:color w:val="6B6B6B"/>
          <w:sz w:val="18"/>
        </w:rPr>
        <w:tab/>
        <w:t>Jan 2008 – Juin 2008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Développeur Java/JEE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Aix-Marseille,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Refonte du système documentaire de la bibliothèque (Java/JEE, Spring, Hibernate, SOAP), livré et déployé sur 3 environnements (test, formation, production) dans un délai de 6 mois.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Env. tech. : </w:t>
      </w:r>
      <w:r>
        <w:rPr>
          <w:rFonts w:cs="Carlito"/>
          <w:b w:val="false"/>
          <w:i/>
          <w:color w:val="6B6B6B"/>
          <w:sz w:val="17"/>
        </w:rPr>
        <w:t>Java/JEE, Spring, Hibernate, JSF, PrimeFaces, Tomcat 6, SOAP/WSDL, MySQL, JasperReports, SVN.</w:t>
      </w:r>
    </w:p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FORMATION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80" w:after="0"/>
        <w:rPr/>
      </w:pPr>
      <w:r>
        <w:rPr>
          <w:rFonts w:cs="Carlito"/>
          <w:b/>
          <w:i w:val="false"/>
          <w:color w:val="012169"/>
          <w:sz w:val="21"/>
        </w:rPr>
        <w:t>Master en Systèmes Distribués</w:t>
      </w:r>
      <w:r>
        <w:rPr>
          <w:rFonts w:cs="Carlito"/>
          <w:b w:val="false"/>
          <w:i w:val="false"/>
          <w:color w:val="6B6B6B"/>
          <w:sz w:val="18"/>
        </w:rPr>
        <w:tab/>
        <w:t>2008</w:t>
      </w:r>
    </w:p>
    <w:p>
      <w:pPr>
        <w:pStyle w:val="Normal"/>
        <w:spacing w:lineRule="auto" w:line="240" w:before="20" w:after="40"/>
        <w:rPr>
          <w:rFonts w:ascii="Carlito" w:hAnsi="Carlito" w:cs="Carlito"/>
          <w:b w:val="false"/>
          <w:i/>
          <w:i/>
          <w:color w:val="6B6B6B"/>
          <w:sz w:val="20"/>
        </w:rPr>
      </w:pPr>
      <w:r>
        <w:rPr>
          <w:rFonts w:cs="Carlito"/>
          <w:b w:val="false"/>
          <w:i/>
          <w:color w:val="6B6B6B"/>
          <w:sz w:val="20"/>
        </w:rPr>
        <w:t>Université Aix-Marseille, Aix-Marseille, France</w:t>
      </w:r>
    </w:p>
    <w:p>
      <w:pPr>
        <w:pStyle w:val="Normal"/>
        <w:pBdr>
          <w:bottom w:val="single" w:sz="6" w:space="2" w:color="C0C0C0"/>
        </w:pBdr>
        <w:spacing w:lineRule="auto" w:line="240" w:before="120" w:after="4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LEADERSHIP &amp; DISTINCTIONS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Mentoré 8+ architectes et ingénieurs seniors chez Shell, contribué au Technology Radar groupe et conduit les initiatives d'optimisation des coûts cloud — rôle transverse reconnu au-delà du périmètre projet direct.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Évangélisé les pratiques d'ingénierie modernes (DDD, TDD, CI, Zero Trust, Security by Design) auprès de 12+ équipes de développement chez RTE, AFPA et Airbus Helicopters sur 3 missions consécutives.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Trilingue Anglais / Français / Arabe (courant) — facilitateur de la collaboration dans des contextes multi-équipes internationaux et interculturels (Shell UK, EDF, Europcar, DGFIP).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Présenté et défendu 50+ propositions architecturales en instances de gouvernance (Design Authority, comités d'architecture), notamment Shell EA Board, ENEDIS CONSUEL, RTE Architecture Board.</w:t>
      </w:r>
    </w:p>
    <w:sectPr>
      <w:type w:val="nextPage"/>
      <w:pgSz w:w="11906" w:h="16838"/>
      <w:pgMar w:left="1000" w:right="1000" w:gutter="0" w:header="0" w:top="760" w:footer="0" w:bottom="7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rlito">
    <w:altName w:val="Calibri"/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rlito" w:hAnsi="Carlito" w:cs="Carlito" w:eastAsia="ＭＳ 明朝"/>
      <w:color w:val="0D0D0D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text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text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text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text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jc w:val="left"/>
    </w:pPr>
    <w:rPr>
      <w:rFonts w:ascii="Carlito" w:hAnsi="Carlito" w:eastAsia="ＭＳ 明朝"/>
      <w:color w:val="000000"/>
      <w:kern w:val="0"/>
      <w:sz w:val="24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billel-zighab-510b3952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LibreOffice/25.2.7.2$Windows_X86_64 LibreOffice_project/5cbfd1ab6520636bb5f7b99185aa69bd7456825d</Application>
  <AppVersion>15.0000</AppVersion>
  <Pages>3</Pages>
  <Words>2160</Words>
  <Characters>13149</Characters>
  <CharactersWithSpaces>15240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2026-06-15T14:33:33Z</cp:lastPrinted>
  <dcterms:modified xsi:type="dcterms:W3CDTF">2026-06-19T13:59:41Z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