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Revenue grew across all regions this quarter.</w:t>
      </w:r>
    </w:p>
    <w:p>
      <w:pPr>
        <w:pStyle w:val="Heading2"/>
      </w:pPr>
      <w:r>
        <w:t>Regional Breakdown</w:t>
      </w:r>
    </w:p>
    <w:p>
      <w:r>
        <w:t>The strongest growth came from the following areas.</w:t>
      </w:r>
    </w:p>
    <w:p>
      <w:pPr>
        <w:pStyle w:val="ListBullet"/>
      </w:pPr>
      <w:r>
        <w:t>North America led with double-digit gains.</w:t>
      </w:r>
    </w:p>
    <w:p>
      <w:pPr>
        <w:pStyle w:val="ListBullet"/>
      </w:pPr>
      <w:r>
        <w:t>Europe followed close behind.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