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141EE">
      <w:pPr>
        <w:pStyle w:val="2"/>
        <w:widowControl w:val="0"/>
        <w:spacing w:line="440" w:lineRule="exact"/>
        <w:ind w:firstLine="883"/>
        <w:jc w:val="center"/>
        <w:rPr>
          <w:rFonts w:ascii="仿宋_GB2312" w:eastAsia="仿宋_GB2312"/>
          <w:b/>
          <w:spacing w:val="40"/>
          <w:kern w:val="2"/>
          <w:sz w:val="36"/>
        </w:rPr>
      </w:pPr>
      <w:r>
        <w:rPr>
          <w:rFonts w:ascii="仿宋_GB2312" w:eastAsia="仿宋_GB2312"/>
          <w:b/>
          <w:spacing w:val="40"/>
          <w:kern w:val="2"/>
          <w:sz w:val="36"/>
        </w:rPr>
        <w:t>河北农业大学</w:t>
      </w:r>
    </w:p>
    <w:p w14:paraId="7CB34BD5">
      <w:pPr>
        <w:pStyle w:val="2"/>
        <w:widowControl w:val="0"/>
        <w:tabs>
          <w:tab w:val="center" w:pos="4393"/>
        </w:tabs>
        <w:spacing w:line="440" w:lineRule="exact"/>
        <w:jc w:val="center"/>
        <w:rPr>
          <w:rFonts w:ascii="仿宋_GB2312" w:eastAsia="仿宋_GB2312"/>
          <w:b/>
          <w:sz w:val="36"/>
        </w:rPr>
      </w:pPr>
      <w:r>
        <w:rPr>
          <w:rFonts w:ascii="仿宋_GB2312" w:eastAsia="仿宋_GB2312"/>
          <w:b/>
          <w:kern w:val="2"/>
          <w:sz w:val="36"/>
          <w:u w:val="thick"/>
        </w:rPr>
        <w:t xml:space="preserve">  </w:t>
      </w:r>
      <w:r>
        <w:rPr>
          <w:rFonts w:hint="eastAsia" w:ascii="仿宋_GB2312" w:eastAsia="仿宋_GB2312"/>
          <w:b/>
          <w:kern w:val="2"/>
          <w:sz w:val="36"/>
          <w:u w:val="thick"/>
          <w:lang w:val="en-US" w:eastAsia="zh-CN"/>
        </w:rPr>
        <w:t>2025</w:t>
      </w:r>
      <w:r>
        <w:rPr>
          <w:rFonts w:ascii="仿宋_GB2312" w:eastAsia="仿宋_GB2312"/>
          <w:b/>
          <w:kern w:val="2"/>
          <w:sz w:val="36"/>
          <w:u w:val="thick"/>
        </w:rPr>
        <w:t xml:space="preserve"> </w:t>
      </w:r>
      <w:r>
        <w:rPr>
          <w:rFonts w:ascii="仿宋_GB2312" w:eastAsia="仿宋_GB2312"/>
          <w:b/>
          <w:kern w:val="2"/>
          <w:sz w:val="36"/>
        </w:rPr>
        <w:t>届本科毕业论文（设计）答辩记录表</w:t>
      </w:r>
    </w:p>
    <w:p w14:paraId="1428E1E3">
      <w:pPr>
        <w:pStyle w:val="2"/>
        <w:spacing w:line="240" w:lineRule="atLeast"/>
        <w:rPr>
          <w:rFonts w:ascii="仿宋_GB2312" w:hAnsi="Times New Roman" w:eastAsia="仿宋_GB2312"/>
        </w:rPr>
      </w:pPr>
      <w:r>
        <w:rPr>
          <w:rFonts w:ascii="仿宋_GB2312" w:hAnsi="Times New Roman" w:eastAsia="仿宋_GB2312"/>
        </w:rPr>
        <w:t xml:space="preserve">所在学院： </w:t>
      </w:r>
      <w:r>
        <w:rPr>
          <w:rFonts w:hint="eastAsia" w:ascii="仿宋_GB2312" w:hAnsi="Times New Roman" w:eastAsia="仿宋_GB2312"/>
          <w:lang w:val="en-US" w:eastAsia="zh-CN"/>
        </w:rPr>
        <w:t>理工系</w:t>
      </w:r>
      <w:r>
        <w:rPr>
          <w:rFonts w:ascii="仿宋_GB2312" w:hAnsi="Times New Roman" w:eastAsia="仿宋_GB2312"/>
        </w:rPr>
        <w:t xml:space="preserve">   专业班级：                     时间： </w:t>
      </w:r>
      <w:r>
        <w:rPr>
          <w:rFonts w:hint="eastAsia" w:ascii="仿宋_GB2312" w:hAnsi="Times New Roman" w:eastAsia="仿宋_GB2312"/>
          <w:lang w:val="en-US" w:eastAsia="zh-CN"/>
        </w:rPr>
        <w:t>2025</w:t>
      </w:r>
      <w:r>
        <w:rPr>
          <w:rFonts w:ascii="仿宋_GB2312" w:hAnsi="Times New Roman" w:eastAsia="仿宋_GB2312"/>
        </w:rPr>
        <w:t xml:space="preserve">年 </w:t>
      </w:r>
      <w:r>
        <w:rPr>
          <w:rFonts w:hint="eastAsia" w:ascii="仿宋_GB2312" w:hAnsi="Times New Roman" w:eastAsia="仿宋_GB2312"/>
          <w:lang w:val="en-US" w:eastAsia="zh-CN"/>
        </w:rPr>
        <w:t>5</w:t>
      </w:r>
      <w:r>
        <w:rPr>
          <w:rFonts w:ascii="仿宋_GB2312" w:hAnsi="Times New Roman" w:eastAsia="仿宋_GB2312"/>
        </w:rPr>
        <w:t xml:space="preserve"> 月 </w:t>
      </w:r>
      <w:r>
        <w:rPr>
          <w:rFonts w:hint="eastAsia" w:ascii="仿宋_GB2312" w:hAnsi="Times New Roman" w:eastAsia="仿宋_GB2312"/>
          <w:lang w:val="en-US" w:eastAsia="zh-CN"/>
        </w:rPr>
        <w:t>22</w:t>
      </w:r>
      <w:r>
        <w:rPr>
          <w:rFonts w:ascii="仿宋_GB2312" w:hAnsi="Times New Roman" w:eastAsia="仿宋_GB2312"/>
        </w:rPr>
        <w:t xml:space="preserve"> 日</w:t>
      </w:r>
    </w:p>
    <w:tbl>
      <w:tblPr>
        <w:tblStyle w:val="3"/>
        <w:tblW w:w="8998" w:type="dxa"/>
        <w:tblInd w:w="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399"/>
        <w:gridCol w:w="1055"/>
        <w:gridCol w:w="1453"/>
        <w:gridCol w:w="246"/>
        <w:gridCol w:w="969"/>
        <w:gridCol w:w="239"/>
        <w:gridCol w:w="1453"/>
        <w:gridCol w:w="1731"/>
      </w:tblGrid>
      <w:tr w14:paraId="7D2BAF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852" w:type="dxa"/>
            <w:gridSpan w:val="2"/>
            <w:noWrap w:val="0"/>
            <w:vAlign w:val="center"/>
          </w:tcPr>
          <w:p w14:paraId="4E766242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学 生 姓 名</w:t>
            </w:r>
          </w:p>
        </w:tc>
        <w:tc>
          <w:tcPr>
            <w:tcW w:w="2754" w:type="dxa"/>
            <w:gridSpan w:val="3"/>
            <w:noWrap w:val="0"/>
            <w:vAlign w:val="center"/>
          </w:tcPr>
          <w:p w14:paraId="7A37AD08">
            <w:pPr>
              <w:pStyle w:val="2"/>
              <w:spacing w:line="240" w:lineRule="atLeast"/>
              <w:ind w:left="306"/>
              <w:jc w:val="center"/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孔维浩</w:t>
            </w:r>
          </w:p>
        </w:tc>
        <w:tc>
          <w:tcPr>
            <w:tcW w:w="969" w:type="dxa"/>
            <w:noWrap w:val="0"/>
            <w:vAlign w:val="center"/>
          </w:tcPr>
          <w:p w14:paraId="67DEE1B9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学 号</w:t>
            </w:r>
          </w:p>
        </w:tc>
        <w:tc>
          <w:tcPr>
            <w:tcW w:w="3423" w:type="dxa"/>
            <w:gridSpan w:val="3"/>
            <w:noWrap w:val="0"/>
            <w:vAlign w:val="center"/>
          </w:tcPr>
          <w:p w14:paraId="404385CF">
            <w:pPr>
              <w:pStyle w:val="2"/>
              <w:spacing w:line="240" w:lineRule="atLeast"/>
              <w:ind w:left="306"/>
              <w:jc w:val="center"/>
              <w:rPr>
                <w:rFonts w:hint="default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2021984150305</w:t>
            </w:r>
          </w:p>
        </w:tc>
      </w:tr>
      <w:tr w14:paraId="326466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" w:hRule="atLeast"/>
        </w:trPr>
        <w:tc>
          <w:tcPr>
            <w:tcW w:w="1852" w:type="dxa"/>
            <w:gridSpan w:val="2"/>
            <w:noWrap w:val="0"/>
            <w:vAlign w:val="center"/>
          </w:tcPr>
          <w:p w14:paraId="30766A03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指导教师姓名</w:t>
            </w:r>
          </w:p>
        </w:tc>
        <w:tc>
          <w:tcPr>
            <w:tcW w:w="2754" w:type="dxa"/>
            <w:gridSpan w:val="3"/>
            <w:noWrap w:val="0"/>
            <w:vAlign w:val="center"/>
          </w:tcPr>
          <w:p w14:paraId="1E232018">
            <w:pPr>
              <w:pStyle w:val="2"/>
              <w:spacing w:line="240" w:lineRule="atLeast"/>
              <w:ind w:left="306"/>
              <w:jc w:val="center"/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郭利静</w:t>
            </w:r>
          </w:p>
        </w:tc>
        <w:tc>
          <w:tcPr>
            <w:tcW w:w="969" w:type="dxa"/>
            <w:noWrap w:val="0"/>
            <w:vAlign w:val="center"/>
          </w:tcPr>
          <w:p w14:paraId="39538CE9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职 称</w:t>
            </w:r>
          </w:p>
        </w:tc>
        <w:tc>
          <w:tcPr>
            <w:tcW w:w="3423" w:type="dxa"/>
            <w:gridSpan w:val="3"/>
            <w:noWrap w:val="0"/>
            <w:vAlign w:val="center"/>
          </w:tcPr>
          <w:p w14:paraId="02506B00">
            <w:pPr>
              <w:pStyle w:val="2"/>
              <w:spacing w:line="240" w:lineRule="atLeast"/>
              <w:ind w:left="306"/>
              <w:jc w:val="center"/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讲师</w:t>
            </w:r>
          </w:p>
        </w:tc>
      </w:tr>
      <w:tr w14:paraId="441440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1" w:hRule="atLeast"/>
        </w:trPr>
        <w:tc>
          <w:tcPr>
            <w:tcW w:w="8998" w:type="dxa"/>
            <w:gridSpan w:val="9"/>
            <w:noWrap w:val="0"/>
            <w:vAlign w:val="center"/>
          </w:tcPr>
          <w:p w14:paraId="23293622">
            <w:pPr>
              <w:pStyle w:val="2"/>
              <w:spacing w:line="240" w:lineRule="atLeast"/>
              <w:jc w:val="both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毕业论文（设计）题目：</w:t>
            </w:r>
            <w:r>
              <w:rPr>
                <w:rFonts w:hint="eastAsia" w:ascii="仿宋_GB2312" w:hAnsi="Times New Roman" w:eastAsia="仿宋_GB2312"/>
                <w:b/>
                <w:bCs/>
              </w:rPr>
              <w:t>年产38万吨对二甲苯反应工段流程设计</w:t>
            </w:r>
          </w:p>
        </w:tc>
      </w:tr>
      <w:tr w14:paraId="245B95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8998" w:type="dxa"/>
            <w:gridSpan w:val="9"/>
            <w:noWrap w:val="0"/>
            <w:vAlign w:val="center"/>
          </w:tcPr>
          <w:p w14:paraId="4CA4C3D4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  <w:sz w:val="30"/>
              </w:rPr>
            </w:pPr>
            <w:r>
              <w:rPr>
                <w:rFonts w:ascii="仿宋_GB2312" w:hAnsi="Times New Roman" w:eastAsia="仿宋_GB2312"/>
                <w:b/>
                <w:bCs/>
                <w:sz w:val="30"/>
              </w:rPr>
              <w:t>答 辩 小 组 成 员</w:t>
            </w:r>
          </w:p>
        </w:tc>
      </w:tr>
      <w:tr w14:paraId="05876E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exact"/>
        </w:trPr>
        <w:tc>
          <w:tcPr>
            <w:tcW w:w="1453" w:type="dxa"/>
            <w:noWrap w:val="0"/>
            <w:vAlign w:val="center"/>
          </w:tcPr>
          <w:p w14:paraId="6A476253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姓 名</w:t>
            </w:r>
          </w:p>
        </w:tc>
        <w:tc>
          <w:tcPr>
            <w:tcW w:w="1454" w:type="dxa"/>
            <w:gridSpan w:val="2"/>
            <w:noWrap w:val="0"/>
            <w:vAlign w:val="center"/>
          </w:tcPr>
          <w:p w14:paraId="210985DC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职 称</w:t>
            </w:r>
          </w:p>
        </w:tc>
        <w:tc>
          <w:tcPr>
            <w:tcW w:w="1453" w:type="dxa"/>
            <w:noWrap w:val="0"/>
            <w:vAlign w:val="center"/>
          </w:tcPr>
          <w:p w14:paraId="0BEDD345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成 绩</w:t>
            </w:r>
          </w:p>
        </w:tc>
        <w:tc>
          <w:tcPr>
            <w:tcW w:w="1454" w:type="dxa"/>
            <w:gridSpan w:val="3"/>
            <w:noWrap w:val="0"/>
            <w:vAlign w:val="center"/>
          </w:tcPr>
          <w:p w14:paraId="39F6A042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姓 名</w:t>
            </w:r>
          </w:p>
        </w:tc>
        <w:tc>
          <w:tcPr>
            <w:tcW w:w="1453" w:type="dxa"/>
            <w:noWrap w:val="0"/>
            <w:vAlign w:val="center"/>
          </w:tcPr>
          <w:p w14:paraId="61BB772E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职 称</w:t>
            </w:r>
          </w:p>
        </w:tc>
        <w:tc>
          <w:tcPr>
            <w:tcW w:w="1731" w:type="dxa"/>
            <w:noWrap w:val="0"/>
            <w:vAlign w:val="center"/>
          </w:tcPr>
          <w:p w14:paraId="33BC81D3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成 绩</w:t>
            </w:r>
          </w:p>
        </w:tc>
      </w:tr>
      <w:tr w14:paraId="32CF5E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453" w:type="dxa"/>
            <w:noWrap w:val="0"/>
            <w:vAlign w:val="center"/>
          </w:tcPr>
          <w:p w14:paraId="15DF0FAE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马晶军</w:t>
            </w:r>
          </w:p>
        </w:tc>
        <w:tc>
          <w:tcPr>
            <w:tcW w:w="1454" w:type="dxa"/>
            <w:gridSpan w:val="2"/>
            <w:noWrap w:val="0"/>
            <w:vAlign w:val="center"/>
          </w:tcPr>
          <w:p w14:paraId="3D71A752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教授</w:t>
            </w:r>
          </w:p>
        </w:tc>
        <w:tc>
          <w:tcPr>
            <w:tcW w:w="1453" w:type="dxa"/>
            <w:noWrap w:val="0"/>
            <w:vAlign w:val="center"/>
          </w:tcPr>
          <w:p w14:paraId="4A06943B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75</w:t>
            </w:r>
          </w:p>
        </w:tc>
        <w:tc>
          <w:tcPr>
            <w:tcW w:w="1454" w:type="dxa"/>
            <w:gridSpan w:val="3"/>
            <w:noWrap w:val="0"/>
            <w:vAlign w:val="center"/>
          </w:tcPr>
          <w:p w14:paraId="0F25078D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张斌</w:t>
            </w:r>
          </w:p>
        </w:tc>
        <w:tc>
          <w:tcPr>
            <w:tcW w:w="1453" w:type="dxa"/>
            <w:noWrap w:val="0"/>
            <w:vAlign w:val="center"/>
          </w:tcPr>
          <w:p w14:paraId="66B7E720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讲师</w:t>
            </w:r>
          </w:p>
        </w:tc>
        <w:tc>
          <w:tcPr>
            <w:tcW w:w="1731" w:type="dxa"/>
            <w:noWrap w:val="0"/>
            <w:vAlign w:val="center"/>
          </w:tcPr>
          <w:p w14:paraId="6A188868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75</w:t>
            </w:r>
          </w:p>
        </w:tc>
      </w:tr>
      <w:tr w14:paraId="6551FE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453" w:type="dxa"/>
            <w:noWrap w:val="0"/>
            <w:vAlign w:val="center"/>
          </w:tcPr>
          <w:p w14:paraId="61F18840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纪晓婧</w:t>
            </w:r>
          </w:p>
        </w:tc>
        <w:tc>
          <w:tcPr>
            <w:tcW w:w="1454" w:type="dxa"/>
            <w:gridSpan w:val="2"/>
            <w:noWrap w:val="0"/>
            <w:vAlign w:val="center"/>
          </w:tcPr>
          <w:p w14:paraId="360E73C2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讲师</w:t>
            </w:r>
          </w:p>
        </w:tc>
        <w:tc>
          <w:tcPr>
            <w:tcW w:w="1453" w:type="dxa"/>
            <w:noWrap w:val="0"/>
            <w:vAlign w:val="center"/>
          </w:tcPr>
          <w:p w14:paraId="45ED51F5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lang w:val="en-US" w:eastAsia="zh-CN"/>
              </w:rPr>
              <w:t>75</w:t>
            </w:r>
          </w:p>
        </w:tc>
        <w:tc>
          <w:tcPr>
            <w:tcW w:w="1454" w:type="dxa"/>
            <w:gridSpan w:val="3"/>
            <w:noWrap w:val="0"/>
            <w:vAlign w:val="center"/>
          </w:tcPr>
          <w:p w14:paraId="6DB7984D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</w:rPr>
            </w:pPr>
          </w:p>
        </w:tc>
        <w:tc>
          <w:tcPr>
            <w:tcW w:w="1453" w:type="dxa"/>
            <w:noWrap w:val="0"/>
            <w:vAlign w:val="center"/>
          </w:tcPr>
          <w:p w14:paraId="5DE5CA74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</w:rPr>
            </w:pPr>
          </w:p>
        </w:tc>
        <w:tc>
          <w:tcPr>
            <w:tcW w:w="1731" w:type="dxa"/>
            <w:noWrap w:val="0"/>
            <w:vAlign w:val="center"/>
          </w:tcPr>
          <w:p w14:paraId="3A5020CD">
            <w:pPr>
              <w:pStyle w:val="2"/>
              <w:spacing w:line="240" w:lineRule="atLeast"/>
              <w:rPr>
                <w:rFonts w:ascii="仿宋_GB2312" w:hAnsi="Times New Roman" w:eastAsia="仿宋_GB2312"/>
              </w:rPr>
            </w:pPr>
          </w:p>
        </w:tc>
      </w:tr>
      <w:tr w14:paraId="655F7D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1453" w:type="dxa"/>
            <w:noWrap w:val="0"/>
            <w:vAlign w:val="center"/>
          </w:tcPr>
          <w:p w14:paraId="18D679ED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李现</w:t>
            </w:r>
          </w:p>
        </w:tc>
        <w:tc>
          <w:tcPr>
            <w:tcW w:w="1454" w:type="dxa"/>
            <w:gridSpan w:val="2"/>
            <w:noWrap w:val="0"/>
            <w:vAlign w:val="center"/>
          </w:tcPr>
          <w:p w14:paraId="212939C8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讲师</w:t>
            </w:r>
          </w:p>
        </w:tc>
        <w:tc>
          <w:tcPr>
            <w:tcW w:w="1453" w:type="dxa"/>
            <w:noWrap w:val="0"/>
            <w:vAlign w:val="center"/>
          </w:tcPr>
          <w:p w14:paraId="0FCA570E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86</w:t>
            </w:r>
          </w:p>
        </w:tc>
        <w:tc>
          <w:tcPr>
            <w:tcW w:w="1454" w:type="dxa"/>
            <w:gridSpan w:val="3"/>
            <w:noWrap w:val="0"/>
            <w:vAlign w:val="center"/>
          </w:tcPr>
          <w:p w14:paraId="2C2C3F4D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453" w:type="dxa"/>
            <w:noWrap w:val="0"/>
            <w:vAlign w:val="center"/>
          </w:tcPr>
          <w:p w14:paraId="61F618EC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731" w:type="dxa"/>
            <w:noWrap w:val="0"/>
            <w:vAlign w:val="center"/>
          </w:tcPr>
          <w:p w14:paraId="650CC18D">
            <w:pPr>
              <w:pStyle w:val="2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</w:tr>
      <w:tr w14:paraId="619061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1453" w:type="dxa"/>
            <w:noWrap w:val="0"/>
            <w:vAlign w:val="center"/>
          </w:tcPr>
          <w:p w14:paraId="320CAA37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芦爽</w:t>
            </w:r>
          </w:p>
        </w:tc>
        <w:tc>
          <w:tcPr>
            <w:tcW w:w="1454" w:type="dxa"/>
            <w:gridSpan w:val="2"/>
            <w:noWrap w:val="0"/>
            <w:vAlign w:val="center"/>
          </w:tcPr>
          <w:p w14:paraId="32000041">
            <w:pPr>
              <w:pStyle w:val="2"/>
              <w:spacing w:line="240" w:lineRule="atLeast"/>
              <w:jc w:val="center"/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讲师</w:t>
            </w:r>
          </w:p>
        </w:tc>
        <w:tc>
          <w:tcPr>
            <w:tcW w:w="1453" w:type="dxa"/>
            <w:noWrap w:val="0"/>
            <w:vAlign w:val="center"/>
          </w:tcPr>
          <w:p w14:paraId="7262983D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/>
                <w:b w:val="0"/>
                <w:bCs w:val="0"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 w:val="0"/>
                <w:bCs w:val="0"/>
                <w:lang w:val="en-US" w:eastAsia="zh-CN"/>
              </w:rPr>
              <w:t>80</w:t>
            </w:r>
          </w:p>
        </w:tc>
        <w:tc>
          <w:tcPr>
            <w:tcW w:w="1454" w:type="dxa"/>
            <w:gridSpan w:val="3"/>
            <w:noWrap w:val="0"/>
            <w:vAlign w:val="center"/>
          </w:tcPr>
          <w:p w14:paraId="38BBD99C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453" w:type="dxa"/>
            <w:noWrap w:val="0"/>
            <w:vAlign w:val="center"/>
          </w:tcPr>
          <w:p w14:paraId="4F88EC93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</w:p>
        </w:tc>
        <w:tc>
          <w:tcPr>
            <w:tcW w:w="1731" w:type="dxa"/>
            <w:noWrap w:val="0"/>
            <w:vAlign w:val="center"/>
          </w:tcPr>
          <w:p w14:paraId="6982CBB6">
            <w:pPr>
              <w:pStyle w:val="2"/>
              <w:spacing w:line="240" w:lineRule="atLeast"/>
              <w:rPr>
                <w:rFonts w:ascii="仿宋_GB2312" w:hAnsi="Times New Roman" w:eastAsia="仿宋_GB2312"/>
                <w:b/>
                <w:bCs/>
              </w:rPr>
            </w:pPr>
          </w:p>
        </w:tc>
      </w:tr>
      <w:tr w14:paraId="189781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9" w:hRule="atLeast"/>
        </w:trPr>
        <w:tc>
          <w:tcPr>
            <w:tcW w:w="8998" w:type="dxa"/>
            <w:gridSpan w:val="9"/>
            <w:noWrap w:val="0"/>
            <w:vAlign w:val="top"/>
          </w:tcPr>
          <w:p w14:paraId="6FBF50B4">
            <w:pPr>
              <w:spacing w:after="156" w:afterLines="50" w:line="320" w:lineRule="exact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答辩小组评语：</w:t>
            </w:r>
          </w:p>
          <w:p w14:paraId="05E456B2">
            <w:pPr>
              <w:spacing w:line="360" w:lineRule="auto"/>
              <w:ind w:firstLine="420" w:firstLineChars="200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hint="eastAsia" w:ascii="Times New Roman" w:hAnsi="Times New Roman" w:eastAsia="仿宋_GB2312" w:cs="Times New Roman"/>
                <w:bCs/>
                <w:color w:val="000000"/>
              </w:rPr>
              <w:t>该论文围绕甲醇芳构化法制备对二甲苯的工艺流程设计展开，选题紧密结合我国化工行业需求，具有明确的工程应用价值。论文结构完整，逻辑清晰，从研究背景、工艺选择、物料与热量衡算到设备选型和三废处理，内容全面且层次分明。通过系统的理论分析和计算，完成了年产38万吨对二甲苯反应工段的流程设计，体现了较强的工程实践能力和专业知识综合运用能力。</w:t>
            </w:r>
            <w:r>
              <w:rPr>
                <w:rFonts w:hint="eastAsia" w:ascii="Times New Roman" w:hAnsi="Times New Roman" w:eastAsia="仿宋_GB2312" w:cs="Times New Roman"/>
                <w:bCs/>
                <w:color w:val="000000"/>
                <w:lang w:val="en-US" w:eastAsia="zh-CN"/>
              </w:rPr>
              <w:t>符合学士学位毕业标准。</w:t>
            </w:r>
          </w:p>
          <w:p w14:paraId="7B48C3C3">
            <w:pPr>
              <w:pStyle w:val="2"/>
              <w:spacing w:line="240" w:lineRule="exact"/>
              <w:ind w:firstLine="4874" w:firstLineChars="2023"/>
              <w:jc w:val="both"/>
              <w:rPr>
                <w:rFonts w:hint="eastAsia" w:ascii="仿宋_GB2312" w:hAnsi="Times New Roman" w:eastAsia="仿宋_GB2312"/>
                <w:b/>
                <w:bCs/>
                <w:lang w:eastAsia="zh-CN"/>
              </w:rPr>
            </w:pPr>
          </w:p>
          <w:p w14:paraId="590C693C">
            <w:pPr>
              <w:pStyle w:val="2"/>
              <w:spacing w:line="240" w:lineRule="exact"/>
              <w:ind w:firstLine="4874" w:firstLineChars="2023"/>
              <w:jc w:val="both"/>
              <w:rPr>
                <w:rFonts w:hint="eastAsia" w:ascii="仿宋_GB2312" w:hAnsi="Times New Roman" w:eastAsia="仿宋_GB2312"/>
                <w:b/>
                <w:bCs/>
                <w:lang w:eastAsia="zh-CN"/>
              </w:rPr>
            </w:pPr>
          </w:p>
          <w:p w14:paraId="1E30BF13">
            <w:pPr>
              <w:pStyle w:val="2"/>
              <w:spacing w:line="240" w:lineRule="exact"/>
              <w:ind w:firstLine="4874" w:firstLineChars="2023"/>
              <w:jc w:val="both"/>
              <w:rPr>
                <w:rFonts w:hint="eastAsia" w:ascii="仿宋_GB2312" w:hAnsi="Times New Roman" w:eastAsia="仿宋_GB2312"/>
                <w:b/>
                <w:bCs/>
                <w:lang w:eastAsia="zh-CN"/>
              </w:rPr>
            </w:pPr>
            <w:bookmarkStart w:id="0" w:name="_GoBack"/>
            <w:r>
              <w:rPr>
                <w:rFonts w:hint="eastAsia" w:ascii="仿宋_GB2312" w:hAnsi="Times New Roman" w:eastAsia="仿宋_GB2312"/>
                <w:b/>
                <w:bCs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4803140</wp:posOffset>
                  </wp:positionH>
                  <wp:positionV relativeFrom="paragraph">
                    <wp:posOffset>191770</wp:posOffset>
                  </wp:positionV>
                  <wp:extent cx="589280" cy="334010"/>
                  <wp:effectExtent l="0" t="0" r="5080" b="1270"/>
                  <wp:wrapNone/>
                  <wp:docPr id="1" name="图片 2" descr="马晶军 电子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 descr="马晶军 电子签名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280" cy="334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  <w:p w14:paraId="546EC1E1">
            <w:pPr>
              <w:pStyle w:val="2"/>
              <w:spacing w:line="240" w:lineRule="exact"/>
              <w:ind w:firstLine="4874" w:firstLineChars="2023"/>
              <w:jc w:val="both"/>
              <w:rPr>
                <w:rFonts w:hint="eastAsia" w:ascii="仿宋_GB2312" w:hAnsi="Times New Roman" w:eastAsia="仿宋_GB2312"/>
                <w:b/>
                <w:bCs/>
                <w:lang w:eastAsia="zh-CN"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答辩小组组长：（签字）</w:t>
            </w:r>
          </w:p>
          <w:p w14:paraId="2C965B62">
            <w:pPr>
              <w:pStyle w:val="2"/>
              <w:spacing w:line="240" w:lineRule="exact"/>
              <w:ind w:firstLine="6558" w:firstLineChars="2722"/>
              <w:jc w:val="both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2025</w:t>
            </w:r>
            <w:r>
              <w:rPr>
                <w:rFonts w:ascii="仿宋_GB2312" w:hAnsi="Times New Roman" w:eastAsia="仿宋_GB2312"/>
                <w:b/>
                <w:bCs/>
              </w:rPr>
              <w:t xml:space="preserve">年 </w:t>
            </w: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5</w:t>
            </w:r>
            <w:r>
              <w:rPr>
                <w:rFonts w:ascii="仿宋_GB2312" w:hAnsi="Times New Roman" w:eastAsia="仿宋_GB2312"/>
                <w:b/>
                <w:bCs/>
              </w:rPr>
              <w:t xml:space="preserve"> 月 </w:t>
            </w: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22</w:t>
            </w:r>
            <w:r>
              <w:rPr>
                <w:rFonts w:ascii="仿宋_GB2312" w:hAnsi="Times New Roman" w:eastAsia="仿宋_GB2312"/>
                <w:b/>
                <w:bCs/>
              </w:rPr>
              <w:t xml:space="preserve"> 日</w:t>
            </w:r>
          </w:p>
        </w:tc>
      </w:tr>
      <w:tr w14:paraId="3CE01F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2907" w:type="dxa"/>
            <w:gridSpan w:val="3"/>
            <w:noWrap w:val="0"/>
            <w:vAlign w:val="center"/>
          </w:tcPr>
          <w:p w14:paraId="7E33F059">
            <w:pPr>
              <w:pStyle w:val="2"/>
              <w:spacing w:line="240" w:lineRule="atLeast"/>
              <w:jc w:val="center"/>
              <w:rPr>
                <w:rFonts w:ascii="仿宋_GB2312" w:hAnsi="Times New Roman" w:eastAsia="仿宋_GB2312"/>
                <w:b/>
                <w:bCs/>
              </w:rPr>
            </w:pPr>
            <w:r>
              <w:rPr>
                <w:rFonts w:ascii="仿宋_GB2312" w:hAnsi="Times New Roman" w:eastAsia="仿宋_GB2312"/>
                <w:b/>
                <w:bCs/>
              </w:rPr>
              <w:t>答 辩 成 绩：</w:t>
            </w:r>
          </w:p>
        </w:tc>
        <w:tc>
          <w:tcPr>
            <w:tcW w:w="6091" w:type="dxa"/>
            <w:gridSpan w:val="6"/>
            <w:noWrap w:val="0"/>
            <w:vAlign w:val="center"/>
          </w:tcPr>
          <w:p w14:paraId="34CA5378">
            <w:pPr>
              <w:pStyle w:val="2"/>
              <w:spacing w:line="240" w:lineRule="atLeast"/>
              <w:jc w:val="center"/>
              <w:rPr>
                <w:rFonts w:hint="default" w:ascii="仿宋_GB2312" w:hAnsi="Times New Roman" w:eastAsia="仿宋_GB2312"/>
                <w:b/>
                <w:bCs/>
                <w:lang w:val="en-US" w:eastAsia="zh-CN"/>
              </w:rPr>
            </w:pPr>
            <w:r>
              <w:rPr>
                <w:rFonts w:hint="eastAsia" w:ascii="仿宋_GB2312" w:hAnsi="Times New Roman" w:eastAsia="仿宋_GB2312"/>
                <w:b/>
                <w:bCs/>
                <w:lang w:val="en-US" w:eastAsia="zh-CN"/>
              </w:rPr>
              <w:t>78.2</w:t>
            </w:r>
          </w:p>
        </w:tc>
      </w:tr>
    </w:tbl>
    <w:p w14:paraId="7C2C4866">
      <w:pPr>
        <w:tabs>
          <w:tab w:val="left" w:pos="2073"/>
        </w:tabs>
        <w:bidi w:val="0"/>
        <w:jc w:val="left"/>
        <w:rPr>
          <w:rFonts w:hint="eastAsia"/>
          <w:lang w:val="en-US" w:eastAsia="zh-CN"/>
        </w:rPr>
        <w:sectPr>
          <w:pgSz w:w="11906" w:h="16838"/>
          <w:pgMar w:top="1361" w:right="1588" w:bottom="1361" w:left="1588" w:header="851" w:footer="992" w:gutter="0"/>
          <w:cols w:space="720" w:num="1"/>
          <w:docGrid w:type="lines" w:linePitch="312" w:charSpace="0"/>
        </w:sectPr>
      </w:pPr>
    </w:p>
    <w:p w14:paraId="12EE41AA">
      <w:pPr>
        <w:tabs>
          <w:tab w:val="left" w:pos="2073"/>
        </w:tabs>
        <w:bidi w:val="0"/>
        <w:jc w:val="left"/>
        <w:rPr>
          <w:rFonts w:hint="eastAsia" w:ascii="仿宋_GB2312" w:hAnsi="Times New Roman" w:eastAsia="仿宋_GB2312" w:cs="Times New Roman"/>
          <w:b/>
          <w:bCs/>
          <w:kern w:val="0"/>
          <w:sz w:val="24"/>
          <w:szCs w:val="24"/>
          <w:lang w:val="en-US" w:eastAsia="zh-CN" w:bidi="ar-SA"/>
        </w:rPr>
      </w:pPr>
      <w:r>
        <w:rPr>
          <w:rFonts w:hint="eastAsia" w:ascii="仿宋_GB2312" w:hAnsi="Times New Roman" w:eastAsia="仿宋_GB2312" w:cs="Times New Roman"/>
          <w:b/>
          <w:bCs/>
          <w:kern w:val="0"/>
          <w:sz w:val="24"/>
          <w:szCs w:val="24"/>
          <w:lang w:val="en-US" w:eastAsia="zh-CN" w:bidi="ar-SA"/>
        </w:rPr>
        <w:t>答辩记录：</w:t>
      </w:r>
    </w:p>
    <w:p w14:paraId="770437DC">
      <w:pPr>
        <w:spacing w:line="360" w:lineRule="auto"/>
        <w:ind w:firstLine="480" w:firstLineChars="200"/>
        <w:rPr>
          <w:rFonts w:hint="eastAsia" w:ascii="Times New Roman" w:hAnsi="Times New Roman" w:eastAsia="仿宋_GB2312" w:cs="Times New Roman"/>
          <w:bCs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color w:val="000000"/>
          <w:sz w:val="24"/>
          <w:szCs w:val="24"/>
          <w:lang w:val="en-US" w:eastAsia="zh-CN"/>
        </w:rPr>
        <w:t>答辩中答辩学生首先自述了产品介绍和选题意义，接着介名了工艺方法对比和工艺流程，给出物料衡算和热量衡算结果,最后给出反应器的设计参数。在答辩过程中，评委提出的主要问题及回答的简要情况如下。</w:t>
      </w:r>
    </w:p>
    <w:p w14:paraId="42B604EC">
      <w:pPr>
        <w:numPr>
          <w:ilvl w:val="0"/>
          <w:numId w:val="0"/>
        </w:numPr>
        <w:spacing w:after="156" w:afterLines="50" w:line="320" w:lineRule="exact"/>
        <w:rPr>
          <w:rFonts w:hint="eastAsia" w:ascii="仿宋_GB2312" w:eastAsia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eastAsia="仿宋_GB2312"/>
          <w:color w:val="auto"/>
          <w:sz w:val="24"/>
          <w:szCs w:val="24"/>
          <w:lang w:val="en-US" w:eastAsia="zh-CN"/>
        </w:rPr>
        <w:t>问1：你为什么选择这个题目？</w:t>
      </w:r>
    </w:p>
    <w:p w14:paraId="2FDB09D1">
      <w:pPr>
        <w:spacing w:line="360" w:lineRule="auto"/>
        <w:ind w:firstLine="480" w:firstLineChars="200"/>
        <w:rPr>
          <w:rFonts w:hint="default" w:ascii="Times New Roman" w:hAnsi="Times New Roman" w:eastAsia="仿宋_GB2312" w:cs="Times New Roman"/>
          <w:bCs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color w:val="000000"/>
          <w:sz w:val="24"/>
          <w:szCs w:val="24"/>
          <w:lang w:val="en-US" w:eastAsia="zh-CN"/>
        </w:rPr>
        <w:t>答：随着经济持续发展，我国对对二甲苯的需求将不断增加，我国对二甲苯的产量不断上升，但是仍然无法满足国内市场需求，有较大的缺口。对二甲苯是重要的化工原料，也是国际贸易中重要的化工原料。</w:t>
      </w:r>
    </w:p>
    <w:p w14:paraId="1FFE2C22">
      <w:pPr>
        <w:spacing w:line="360" w:lineRule="auto"/>
        <w:rPr>
          <w:rFonts w:hint="eastAsia" w:ascii="Times New Roman" w:hAnsi="Times New Roman" w:eastAsia="仿宋_GB2312" w:cs="Times New Roman"/>
          <w:bCs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color w:val="000000"/>
          <w:sz w:val="24"/>
          <w:szCs w:val="24"/>
          <w:lang w:val="en-US" w:eastAsia="zh-CN"/>
        </w:rPr>
        <w:t>问2：工艺选择时，你都考虑了哪些因素，最后怎么选出来的？</w:t>
      </w:r>
    </w:p>
    <w:p w14:paraId="3F0FAD15">
      <w:pPr>
        <w:spacing w:line="360" w:lineRule="auto"/>
        <w:ind w:firstLine="480" w:firstLineChars="200"/>
        <w:rPr>
          <w:rFonts w:hint="default" w:ascii="Times New Roman" w:hAnsi="Times New Roman" w:eastAsia="仿宋_GB2312" w:cs="Times New Roman"/>
          <w:bCs/>
          <w:color w:val="00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仿宋_GB2312" w:cs="Times New Roman"/>
          <w:bCs/>
          <w:color w:val="000000"/>
          <w:sz w:val="24"/>
          <w:szCs w:val="24"/>
          <w:lang w:val="en-US" w:eastAsia="zh-CN"/>
        </w:rPr>
        <w:t>答：工艺选择时，主要考虑到了经济因素和环境因素。一方面，由于我国石油资源紧缺，导致苯的价格高于甲醇，所以排除甲苯甲醇烷基化法和重整和裂解汽油法；另一方面要尽可能减少污染物的排放，保护环境，所以排除甲苯歧化法。最后在综合考虑成本和环境因素后选择了甲醇芳构化法，这种方法原料便宜污染少还能减少对石油的依赖。</w:t>
      </w:r>
    </w:p>
    <w:p w14:paraId="42629FFE">
      <w:pPr>
        <w:spacing w:line="360" w:lineRule="auto"/>
        <w:ind w:firstLine="480" w:firstLineChars="200"/>
        <w:rPr>
          <w:rFonts w:hint="default" w:ascii="Times New Roman" w:hAnsi="Times New Roman" w:eastAsia="仿宋_GB2312" w:cs="Times New Roman"/>
          <w:bCs/>
          <w:color w:val="000000"/>
          <w:sz w:val="24"/>
          <w:szCs w:val="24"/>
          <w:lang w:val="en-US" w:eastAsia="zh-CN"/>
        </w:rPr>
      </w:pPr>
    </w:p>
    <w:p w14:paraId="3A29820E"/>
    <w:sectPr>
      <w:pgSz w:w="11906" w:h="16838"/>
      <w:pgMar w:top="1361" w:right="1588" w:bottom="1361" w:left="158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B67A08"/>
    <w:rsid w:val="3EB67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2025-05-27T02:29:00Z</dcterms:created>
  <dc:creator>Sakura</dc:creator>
  <cp:lastModifiedBy>Sakura</cp:lastModifiedBy>
  <dcterms:modified xsi:type="dcterms:W3CDTF">2025-05-27T02:29:39Z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C5B9EBD87B4740AB9051CFA2C45A7B1A_11</vt:lpwstr>
  </property>
  <property fmtid="{D5CDD505-2E9C-101B-9397-08002B2CF9AE}" pid="4" name="KSOTemplateDocerSaveRecord">
    <vt:lpwstr>eyJoZGlkIjoiYWEyY2RkM2JiMzNhNzgzYjE3Mjg0OGFkMjZjMjY0MTAiLCJ1c2VySWQiOiIxMjc3MDA3NjA1In0=</vt:lpwstr>
  </property>
</Properties>
</file>