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Cinq pages pour un essai</w:t>
      </w:r>
    </w:p>
    <w:p>
      <w:pPr>
        <w:pStyle w:val="Heading1"/>
      </w:pPr>
      <w:r>
        <w:t xml:space="preserve">Diapositive 1 — La parole autour de l'argent</w:t>
      </w:r>
    </w:p>
    <w:p>
      <w:pPr>
        <w:pStyle w:val="Heading2"/>
      </w:pPr>
      <w:r>
        <w:t xml:space="preserve">Étape 1-1</w:t>
      </w:r>
    </w:p>
    <w:p>
      <w:r>
        <w:t xml:space="preserve">Dans un couple, on parle de tout, mais rarement de ce que l'on dépense, gagne ou épargne.</w:t>
      </w:r>
    </w:p>
    <w:p>
      <w:pPr>
        <w:pStyle w:val="Heading2"/>
      </w:pPr>
      <w:r>
        <w:t xml:space="preserve">Étape 1-2</w:t>
      </w:r>
    </w:p>
    <w:p>
      <w:pPr>
        <w:pStyle w:val="ListParagraph"/>
        <w:numPr>
          <w:ilvl w:val="0"/>
          <w:numId w:val="2"/>
        </w:numPr>
      </w:pPr>
      <w:r>
        <w:t xml:space="preserve">Les souvenirs d'enfance liés à l'argent</w:t>
      </w:r>
    </w:p>
    <w:p>
      <w:pPr>
        <w:pStyle w:val="ListParagraph"/>
        <w:numPr>
          <w:ilvl w:val="0"/>
          <w:numId w:val="2"/>
        </w:numPr>
      </w:pPr>
      <w:r>
        <w:t xml:space="preserve">Les peurs : manquer, dépendre, perdre le contrôle</w:t>
      </w:r>
    </w:p>
    <w:p>
      <w:pPr>
        <w:pStyle w:val="ListParagraph"/>
        <w:numPr>
          <w:ilvl w:val="0"/>
          <w:numId w:val="2"/>
        </w:numPr>
      </w:pPr>
      <w:r>
        <w:t xml:space="preserve">Les attentes jamais dites à voix haute</w:t>
      </w:r>
    </w:p>
    <w:p>
      <w:pPr>
        <w:pStyle w:val="Heading2"/>
      </w:pPr>
      <w:r>
        <w:t xml:space="preserve">Étape 1-3</w:t>
      </w:r>
    </w:p>
    <w:p>
      <w:pPr>
        <w:pStyle w:val="Encadre"/>
      </w:pPr>
      <w:r>
        <w:rPr>
          <w:b/>
          <w:bCs/>
        </w:rPr>
        <w:t xml:space="preserve">Encadré : </w:t>
      </w:r>
      <w:r>
        <w:t xml:space="preserve">Un sujet intime, pas seulement un sujet de chiffres.</w:t>
      </w:r>
    </w:p>
    <w:p>
      <w:pPr>
        <w:pStyle w:val="Heading1"/>
      </w:pPr>
      <w:r>
        <w:t xml:space="preserve">Diapositive 2 — Trois temps pour en parler</w:t>
      </w:r>
    </w:p>
    <w:p>
      <w:pPr>
        <w:pStyle w:val="Heading2"/>
      </w:pPr>
      <w:r>
        <w:t xml:space="preserve">Étape 2-1</w:t>
      </w:r>
    </w:p>
    <w:p>
      <w:pPr>
        <w:pStyle w:val="ListParagraph"/>
        <w:numPr>
          <w:ilvl w:val="0"/>
          <w:numId w:val="3"/>
        </w:numPr>
      </w:pPr>
      <w:r>
        <w:t xml:space="preserve">Choisir un moment calme</w:t>
      </w:r>
    </w:p>
    <w:p>
      <w:pPr>
        <w:pStyle w:val="ListParagraph"/>
        <w:numPr>
          <w:ilvl w:val="0"/>
          <w:numId w:val="3"/>
        </w:numPr>
      </w:pPr>
      <w:r>
        <w:t xml:space="preserve">Dire ce que l'on ressent, sans accuser</w:t>
      </w:r>
    </w:p>
    <w:p>
      <w:pPr>
        <w:pStyle w:val="ListParagraph"/>
        <w:numPr>
          <w:ilvl w:val="0"/>
          <w:numId w:val="3"/>
        </w:numPr>
      </w:pPr>
      <w:r>
        <w:t xml:space="preserve">Décider d'une petite action commune</w:t>
      </w:r>
    </w:p>
    <w:p>
      <w:pPr>
        <w:pStyle w:val="Heading2"/>
      </w:pPr>
      <w:r>
        <w:t xml:space="preserve">Étape 2-2</w:t>
      </w:r>
    </w:p>
    <w:p>
      <w:pPr>
        <w:pStyle w:val="Citation"/>
      </w:pPr>
      <w:r>
        <w:rPr>
          <w:b/>
          <w:bCs/>
        </w:rPr>
        <w:t xml:space="preserve">Citation : </w:t>
      </w:r>
      <w:r>
        <w:t xml:space="preserve">« Ce n'est pas le montant qui blesse, c'est le silence autour. »</w:t>
      </w:r>
    </w:p>
    <w:p>
      <w:pPr>
        <w:pStyle w:val="Heading1"/>
      </w:pPr>
      <w:r>
        <w:t xml:space="preserve">Diapositive 3 — Caractères spéciaux &amp; mise en garde &lt;test&gt;</w:t>
      </w:r>
    </w:p>
    <w:p>
      <w:pPr>
        <w:pStyle w:val="Heading2"/>
      </w:pPr>
      <w:r>
        <w:t xml:space="preserve">Étape 3-1</w:t>
      </w:r>
    </w:p>
    <w:p>
      <w:r>
        <w:t xml:space="preserve">Accents : é è ê à ù ç œ ; guillemets « français » ; apostrophe d'usage ; esperluette &amp; ; chevrons &lt; &gt; ; tiret — long.</w:t>
      </w:r>
    </w:p>
    <w:p>
      <w:pPr>
        <w:pStyle w:val="Heading1"/>
      </w:pPr>
      <w:r>
        <w:t xml:space="preserve">Diapositive 4 — Une diapositive sans étape détaillée</w:t>
      </w:r>
    </w:p>
    <w:p>
      <w:pPr>
        <w:pStyle w:val="Heading2"/>
      </w:pPr>
      <w:r>
        <w:t xml:space="preserve">Étape 4-1</w:t>
      </w:r>
    </w:p>
    <w:p>
      <w:r>
        <w:t xml:space="preserve">Un seul paragraphe, donc une seule étape.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sz w:val="26"/>
      <w:szCs w:val="26"/>
    </w:rPr>
  </w:style>
  <w:style w:type="paragraph" w:styleId="Citation">
    <w:name w:val="Citation"/>
    <w:basedOn w:val="Normal"/>
    <w:next w:val="Normal"/>
    <w:pPr>
      <w:spacing w:after="80" w:before="80"/>
      <w:ind w:left="720"/>
    </w:pPr>
    <w:rPr>
      <w:i/>
      <w:iCs/>
    </w:rPr>
  </w:style>
  <w:style w:type="paragraph" w:styleId="Encadre">
    <w:name w:val="Encadré"/>
    <w:basedOn w:val="Normal"/>
    <w:next w:val="Normal"/>
    <w:pPr>
      <w:pBdr>
        <w:left w:val="single" w:color="999999" w:sz="12" w:space="8"/>
      </w:pBdr>
      <w:spacing w:after="80" w:before="80"/>
      <w:ind w:left="36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Texte des diapositives — fichier de référence</dc:title>
  <dc:creator>Studio Clinique</dc:creator>
  <cp:lastModifiedBy>Un-named</cp:lastModifiedBy>
  <cp:revision>1</cp:revision>
  <dcterms:created xsi:type="dcterms:W3CDTF">2026-10-20T07:27:57.196Z</dcterms:created>
  <dcterms:modified xsi:type="dcterms:W3CDTF">2026-10-20T07:27:57.202Z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