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rFonts w:ascii="Montserrat" w:cs="Montserrat" w:eastAsia="Montserrat" w:hAnsi="Montserrat"/>
          <w:color w:val="555555"/>
          <w:spacing w:val="200"/>
          <w:sz w:val="16"/>
          <w:szCs w:val="16"/>
        </w:rPr>
        <w:t xml:space="preserve">C CONCEPT&amp;DEV</w:t>
      </w:r>
    </w:p>
    <w:p>
      <w:pPr>
        <w:pBdr>
          <w:bottom w:val="single" w:color="8FAFB1" w:sz="6" w:space="1"/>
        </w:pBdr>
        <w:spacing w:after="200"/>
      </w:pPr>
    </w:p>
    <w:p>
      <w:pPr>
        <w:spacing w:after="200"/>
      </w:pPr>
    </w:p>
    <w:p>
      <w:pPr>
        <w:spacing w:after="60"/>
        <w:jc w:val="center"/>
      </w:pPr>
      <w:r>
        <w:rPr>
          <w:rFonts w:ascii="Montserrat" w:cs="Montserrat" w:eastAsia="Montserrat" w:hAnsi="Montserrat"/>
          <w:b/>
          <w:bCs/>
          <w:color w:val="1A1A1A"/>
          <w:sz w:val="44"/>
          <w:szCs w:val="44"/>
        </w:rPr>
        <w:t xml:space="preserve">STRATÉGIE COMMERCIALE</w:t>
      </w:r>
    </w:p>
    <w:p>
      <w:pPr>
        <w:spacing w:after="60"/>
        <w:jc w:val="center"/>
      </w:pPr>
      <w:r>
        <w:rPr>
          <w:rFonts w:ascii="Montserrat" w:cs="Montserrat" w:eastAsia="Montserrat" w:hAnsi="Montserrat"/>
          <w:i/>
          <w:iCs/>
          <w:color w:val="6B8E8F"/>
          <w:sz w:val="36"/>
          <w:szCs w:val="36"/>
        </w:rPr>
        <w:t xml:space="preserve">Clone Interview Pro</w:t>
      </w:r>
    </w:p>
    <w:p>
      <w:pPr>
        <w:spacing w:after="300"/>
        <w:jc w:val="center"/>
      </w:pPr>
      <w:r>
        <w:rPr>
          <w:rFonts w:ascii="Montserrat" w:cs="Montserrat" w:eastAsia="Montserrat" w:hAnsi="Montserrat"/>
          <w:color w:val="6B8E8F"/>
          <w:sz w:val="28"/>
          <w:szCs w:val="28"/>
        </w:rPr>
        <w:t xml:space="preserve">&amp; Brain Personality Report</w:t>
      </w:r>
    </w:p>
    <w:p>
      <w:pPr>
        <w:pBdr>
          <w:bottom w:val="single" w:color="8FAFB1" w:sz="6" w:space="1"/>
        </w:pBdr>
        <w:spacing w:after="200"/>
      </w:pPr>
    </w:p>
    <w:p>
      <w:pPr>
        <w:spacing w:after="200"/>
      </w:pPr>
    </w:p>
    <w:p>
      <w:pPr>
        <w:spacing w:after="80"/>
        <w:jc w:val="center"/>
      </w:pPr>
      <w:r>
        <w:rPr>
          <w:rFonts w:ascii="DM Sans" w:cs="DM Sans" w:eastAsia="DM Sans" w:hAnsi="DM Sans"/>
          <w:color w:val="555555"/>
          <w:sz w:val="22"/>
          <w:szCs w:val="22"/>
        </w:rPr>
        <w:t xml:space="preserve">Note de cadrage stratégique — Mars 2026</w:t>
      </w:r>
    </w:p>
    <w:p>
      <w:pPr>
        <w:spacing w:after="400"/>
        <w:jc w:val="center"/>
      </w:pPr>
      <w:r>
        <w:rPr>
          <w:rFonts w:ascii="DM Sans" w:cs="DM Sans" w:eastAsia="DM Sans" w:hAnsi="DM Sans"/>
          <w:i/>
          <w:iCs/>
          <w:color w:val="555555"/>
          <w:sz w:val="20"/>
          <w:szCs w:val="20"/>
        </w:rPr>
        <w:t xml:space="preserve">Document confidentiel — Usage interne</w:t>
      </w:r>
    </w:p>
    <w:p>
      <w:pPr>
        <w:jc w:val="center"/>
      </w:pPr>
      <w:r>
        <w:rPr>
          <w:rFonts w:ascii="DM Sans" w:cs="DM Sans" w:eastAsia="DM Sans" w:hAnsi="DM Sans"/>
          <w:color w:val="555555"/>
          <w:sz w:val="20"/>
          <w:szCs w:val="20"/>
        </w:rPr>
        <w:t xml:space="preserve">Version 1.0 — Christophe BONNET</w:t>
      </w:r>
    </w:p>
    <w:p>
      <w:pPr>
        <w:sectPr>
          <w:pgSz w:w="11906" w:h="16838" w:orient="portrait"/>
          <w:pgMar w:top="1800" w:right="1440" w:bottom="1440" w:left="1440" w:header="708" w:footer="708" w:gutter="0"/>
          <w:pgNumType/>
          <w:docGrid w:linePitch="360"/>
        </w:sectPr>
      </w:pPr>
    </w:p>
    <w:p>
      <w:pPr>
        <w:pStyle w:val="Heading1"/>
        <w:spacing w:after="120" w:before="360"/>
      </w:pPr>
      <w:r>
        <w:rPr>
          <w:rFonts w:ascii="Montserrat" w:cs="Montserrat" w:eastAsia="Montserrat" w:hAnsi="Montserrat"/>
          <w:b/>
          <w:bCs/>
          <w:color w:val="6B8E8F"/>
          <w:sz w:val="32"/>
          <w:szCs w:val="32"/>
        </w:rPr>
        <w:t xml:space="preserve">1. Executive Summary</w:t>
      </w:r>
    </w:p>
    <w:p>
      <w:pPr>
        <w:pBdr>
          <w:bottom w:val="single" w:color="C8D0C3" w:sz="6" w:space="1"/>
        </w:pBdr>
        <w:spacing w:after="200"/>
      </w:pPr>
    </w:p>
    <w:p>
      <w:pPr>
        <w:spacing w:after="120" w:line="276"/>
        <w:jc w:val="both"/>
      </w:pPr>
      <w:r>
        <w:rPr>
          <w:rFonts w:ascii="DM Sans" w:cs="DM Sans" w:eastAsia="DM Sans" w:hAnsi="DM Sans"/>
          <w:b w:val="false"/>
          <w:bCs w:val="false"/>
          <w:i w:val="false"/>
          <w:iCs w:val="false"/>
          <w:color w:val="1A1A1A"/>
          <w:sz w:val="21"/>
          <w:szCs w:val="21"/>
        </w:rPr>
        <w:t xml:space="preserve">Clone Interview Pro est un système d'interview conversationnelle par IA qui produit un portrait psychologique multidimensionnel complet (Big Five + facettes, valeurs Schwartz, cognition, émotions, défenses, style communicationnel, grammaire générative) et un clone conversationnel fonctionnel. Ce document pose le cadre de la commercialisation de ce système unique.</w:t>
      </w:r>
    </w:p>
    <w:p>
      <w:pPr>
        <w:spacing w:after="80" w:before="180"/>
      </w:pPr>
      <w:r>
        <w:rPr>
          <w:rFonts w:ascii="Montserrat" w:cs="Montserrat" w:eastAsia="Montserrat" w:hAnsi="Montserrat"/>
          <w:b/>
          <w:bCs/>
          <w:color w:val="6B8E8F"/>
          <w:sz w:val="22"/>
          <w:szCs w:val="22"/>
        </w:rPr>
        <w:t xml:space="preserve">Ce que le produit fait concrètement</w:t>
      </w:r>
    </w:p>
    <w:p>
      <w:pPr>
        <w:pStyle w:val="ListParagraph"/>
        <w:numPr>
          <w:ilvl w:val="0"/>
          <w:numId w:val="2"/>
        </w:numPr>
        <w:spacing w:after="80" w:line="276"/>
      </w:pPr>
      <w:r>
        <w:rPr>
          <w:rFonts w:ascii="DM Sans" w:cs="DM Sans" w:eastAsia="DM Sans" w:hAnsi="DM Sans"/>
          <w:color w:val="1A1A1A"/>
          <w:sz w:val="21"/>
          <w:szCs w:val="21"/>
        </w:rPr>
        <w:t xml:space="preserve">Un entretien conversationnel adaptatif guidé par IA (texte, audio, ou vidéo). Le système pilote la durée et le nombre de questions par complétude dimensionnelle : 7 piliers (traits, schémas, attachement, défenses, valeurs, linguistique, comportement), 42 sous-dimensions, seuils de confiance par pilier. L'interview se termine quand le portrait est suffisamment complet — pas après un nombre fixe de questions.</w:t>
      </w:r>
    </w:p>
    <w:p>
      <w:pPr>
        <w:pStyle w:val="ListParagraph"/>
        <w:numPr>
          <w:ilvl w:val="0"/>
          <w:numId w:val="2"/>
        </w:numPr>
        <w:spacing w:after="80" w:line="276"/>
      </w:pPr>
      <w:r>
        <w:rPr>
          <w:rFonts w:ascii="DM Sans" w:cs="DM Sans" w:eastAsia="DM Sans" w:hAnsi="DM Sans"/>
          <w:color w:val="1A1A1A"/>
          <w:sz w:val="21"/>
          <w:szCs w:val="21"/>
        </w:rPr>
        <w:t xml:space="preserve">Un pipeline d'analyse en 7 étapes : extraction des faits, multi-pass Big Five, analyse des valeurs, communication, cognition, émotions, puis convergence multi-sources (signaux temps réel HEXACO + SDT croisés avec scoring LLM). Le brain building exploite les données collectées adaptivement — pas un questionnaire rigide.</w:t>
      </w:r>
    </w:p>
    <w:p>
      <w:pPr>
        <w:pStyle w:val="ListParagraph"/>
        <w:numPr>
          <w:ilvl w:val="0"/>
          <w:numId w:val="2"/>
        </w:numPr>
        <w:spacing w:after="80" w:line="276"/>
      </w:pPr>
      <w:r>
        <w:rPr>
          <w:rFonts w:ascii="DM Sans" w:cs="DM Sans" w:eastAsia="DM Sans" w:hAnsi="DM Sans"/>
          <w:color w:val="1A1A1A"/>
          <w:sz w:val="21"/>
          <w:szCs w:val="21"/>
        </w:rPr>
        <w:t xml:space="preserve">Un Brain JSON structuré (schéma CLONE-PERSONALITY-1.0, v21.3) : portrait psychologique pur exploitable par n'importe quel LLM pour générer un clone conversationnel fidèle.</w:t>
      </w:r>
    </w:p>
    <w:p>
      <w:pPr>
        <w:pStyle w:val="ListParagraph"/>
        <w:numPr>
          <w:ilvl w:val="0"/>
          <w:numId w:val="2"/>
        </w:numPr>
        <w:spacing w:after="80" w:line="276"/>
      </w:pPr>
      <w:r>
        <w:rPr>
          <w:rFonts w:ascii="DM Sans" w:cs="DM Sans" w:eastAsia="DM Sans" w:hAnsi="DM Sans"/>
          <w:color w:val="1A1A1A"/>
          <w:sz w:val="21"/>
          <w:szCs w:val="21"/>
        </w:rPr>
        <w:t xml:space="preserve">Un rapport clinique de 12 sections (Brain Clinical Report) : document de 15-25 pages rédigé par IA, qualité professionnelle, exportable en PDF.</w:t>
      </w:r>
    </w:p>
    <w:p>
      <w:pPr>
        <w:spacing w:after="80" w:before="180"/>
      </w:pPr>
      <w:r>
        <w:rPr>
          <w:rFonts w:ascii="Montserrat" w:cs="Montserrat" w:eastAsia="Montserrat" w:hAnsi="Montserrat"/>
          <w:b/>
          <w:bCs/>
          <w:color w:val="6B8E8F"/>
          <w:sz w:val="22"/>
          <w:szCs w:val="22"/>
        </w:rPr>
        <w:t xml:space="preserve">Différenciateur fondamental</w:t>
      </w:r>
    </w:p>
    <w:p>
      <w:pPr>
        <w:spacing w:after="120" w:line="276"/>
        <w:jc w:val="both"/>
      </w:pPr>
      <w:r>
        <w:rPr>
          <w:rFonts w:ascii="DM Sans" w:cs="DM Sans" w:eastAsia="DM Sans" w:hAnsi="DM Sans"/>
          <w:b w:val="false"/>
          <w:bCs w:val="false"/>
          <w:i w:val="false"/>
          <w:iCs w:val="false"/>
          <w:color w:val="1A1A1A"/>
          <w:sz w:val="21"/>
          <w:szCs w:val="21"/>
        </w:rPr>
        <w:t xml:space="preserve">Les tests de personnalité existants (MBTI, 16Personalities, DISC) produisent un label statique. Clone Interview Pro produit un portrait actionnable : le Brain JSON alimente directement un chatbot qui parle, pense et réagit comme la personne testée. Le rapport clinique offre une profondeur d'analyse comparable à un bilan psychologique de cabinet — généré en 5 minutes pour un coût marginal de 0.40-0.80 $ par session complète.</w:t>
      </w:r>
    </w:p>
    <w:p>
      <w:pPr>
        <w:spacing w:after="60"/>
      </w:pPr>
    </w:p>
    <w:p>
      <w:pPr>
        <w:pStyle w:val="Heading1"/>
        <w:spacing w:after="120" w:before="360"/>
      </w:pPr>
      <w:r>
        <w:rPr>
          <w:rFonts w:ascii="Montserrat" w:cs="Montserrat" w:eastAsia="Montserrat" w:hAnsi="Montserrat"/>
          <w:b/>
          <w:bCs/>
          <w:color w:val="6B8E8F"/>
          <w:sz w:val="32"/>
          <w:szCs w:val="32"/>
        </w:rPr>
        <w:t xml:space="preserve">2. Positionnement produit</w:t>
      </w:r>
    </w:p>
    <w:p>
      <w:pPr>
        <w:pBdr>
          <w:bottom w:val="single" w:color="C8D0C3" w:sz="6" w:space="1"/>
        </w:pBdr>
        <w:spacing w:after="200"/>
      </w:pPr>
    </w:p>
    <w:p>
      <w:pPr>
        <w:pStyle w:val="Heading2"/>
        <w:spacing w:after="100" w:before="240"/>
      </w:pPr>
      <w:r>
        <w:rPr>
          <w:rFonts w:ascii="Montserrat" w:cs="Montserrat" w:eastAsia="Montserrat" w:hAnsi="Montserrat"/>
          <w:b/>
          <w:bCs/>
          <w:color w:val="1A1A1A"/>
          <w:sz w:val="26"/>
          <w:szCs w:val="26"/>
        </w:rPr>
        <w:t xml:space="preserve">2.1 Ce qu'on ne vend PAS</w:t>
      </w:r>
    </w:p>
    <w:p>
      <w:pPr>
        <w:spacing w:after="120" w:line="276"/>
        <w:jc w:val="both"/>
      </w:pPr>
      <w:r>
        <w:rPr>
          <w:rFonts w:ascii="DM Sans" w:cs="DM Sans" w:eastAsia="DM Sans" w:hAnsi="DM Sans"/>
          <w:b w:val="false"/>
          <w:bCs w:val="false"/>
          <w:i w:val="false"/>
          <w:iCs w:val="false"/>
          <w:color w:val="1A1A1A"/>
          <w:sz w:val="21"/>
          <w:szCs w:val="21"/>
        </w:rPr>
        <w:t xml:space="preserve">Clone Interview Pro n'est pas un test de personnalité. Ce n'est pas un questionnaire à choix multiples qui produit un label (ENFJ, Type D, etc.). Ce n'est pas un gadget d'IA conversationnelle. Le positionnement doit éviter absolument l'association avec les tests en ligne grand public gratuits.</w:t>
      </w:r>
    </w:p>
    <w:p>
      <w:pPr>
        <w:pStyle w:val="Heading2"/>
        <w:spacing w:after="100" w:before="240"/>
      </w:pPr>
      <w:r>
        <w:rPr>
          <w:rFonts w:ascii="Montserrat" w:cs="Montserrat" w:eastAsia="Montserrat" w:hAnsi="Montserrat"/>
          <w:b/>
          <w:bCs/>
          <w:color w:val="1A1A1A"/>
          <w:sz w:val="26"/>
          <w:szCs w:val="26"/>
        </w:rPr>
        <w:t xml:space="preserve">2.2 Ce qu'on vend</w:t>
      </w:r>
    </w:p>
    <w:p>
      <w:pPr>
        <w:spacing w:after="120" w:line="276"/>
        <w:jc w:val="both"/>
      </w:pPr>
      <w:r>
        <w:rPr>
          <w:rFonts w:ascii="DM Sans" w:cs="DM Sans" w:eastAsia="DM Sans" w:hAnsi="DM Sans"/>
          <w:b/>
          <w:bCs/>
          <w:color w:val="1A1A1A"/>
          <w:sz w:val="21"/>
          <w:szCs w:val="21"/>
        </w:rPr>
        <w:t xml:space="preserve">Un audit de personnalité par IA conversationnelle</w:t>
      </w:r>
      <w:r>
        <w:rPr>
          <w:rFonts w:ascii="DM Sans" w:cs="DM Sans" w:eastAsia="DM Sans" w:hAnsi="DM Sans"/>
          <w:color w:val="1A1A1A"/>
          <w:sz w:val="21"/>
          <w:szCs w:val="21"/>
        </w:rPr>
        <w:t xml:space="preserve"> — la première solution qui combine une interview adaptative, une analyse psychométrique multi-sources, un portrait clinique de grade professionnel, et un clone conversationnel en sortie. Trois livrables en un : le rapport PDF (pour lire), le Brain JSON (pour construire), le clone (pour interagir).</w:t>
      </w:r>
    </w:p>
    <w:p>
      <w:pPr>
        <w:pStyle w:val="Heading2"/>
        <w:spacing w:after="100" w:before="240"/>
      </w:pPr>
      <w:r>
        <w:rPr>
          <w:rFonts w:ascii="Montserrat" w:cs="Montserrat" w:eastAsia="Montserrat" w:hAnsi="Montserrat"/>
          <w:b/>
          <w:bCs/>
          <w:color w:val="1A1A1A"/>
          <w:sz w:val="26"/>
          <w:szCs w:val="26"/>
        </w:rPr>
        <w:t xml:space="preserve">2.3 Formulation de l'offre par marché</w:t>
      </w:r>
    </w:p>
    <w:p>
      <w:pPr>
        <w:spacing w:after="80" w:before="180"/>
      </w:pPr>
      <w:r>
        <w:rPr>
          <w:rFonts w:ascii="Montserrat" w:cs="Montserrat" w:eastAsia="Montserrat" w:hAnsi="Montserrat"/>
          <w:b/>
          <w:bCs/>
          <w:color w:val="6B8E8F"/>
          <w:sz w:val="22"/>
          <w:szCs w:val="22"/>
        </w:rPr>
        <w:t xml:space="preserve">Marché 1 — Développement personnel (B2C)</w:t>
      </w:r>
    </w:p>
    <w:p>
      <w:pPr>
        <w:spacing w:after="120" w:line="276"/>
        <w:jc w:val="both"/>
      </w:pPr>
      <w:r>
        <w:rPr>
          <w:rFonts w:ascii="DM Sans" w:cs="DM Sans" w:eastAsia="DM Sans" w:hAnsi="DM Sans"/>
          <w:b/>
          <w:bCs/>
          <w:color w:val="1A1A1A"/>
          <w:sz w:val="21"/>
          <w:szCs w:val="21"/>
        </w:rPr>
        <w:t xml:space="preserve">Promesse : </w:t>
      </w:r>
      <w:r>
        <w:rPr>
          <w:rFonts w:ascii="DM Sans" w:cs="DM Sans" w:eastAsia="DM Sans" w:hAnsi="DM Sans"/>
          <w:color w:val="1A1A1A"/>
          <w:sz w:val="21"/>
          <w:szCs w:val="21"/>
        </w:rPr>
        <w:t xml:space="preserve">"Découvrez qui vous êtes vraiment — au-delà des étiquettes. Un portrait psychologique de 20 pages rédigé par IA après un entretien approfondi de 40 minutes."</w:t>
      </w:r>
    </w:p>
    <w:p>
      <w:pPr>
        <w:spacing w:after="120" w:line="276"/>
        <w:jc w:val="both"/>
      </w:pPr>
      <w:r>
        <w:rPr>
          <w:rFonts w:ascii="DM Sans" w:cs="DM Sans" w:eastAsia="DM Sans" w:hAnsi="DM Sans"/>
          <w:b/>
          <w:bCs/>
          <w:color w:val="1A1A1A"/>
          <w:sz w:val="21"/>
          <w:szCs w:val="21"/>
        </w:rPr>
        <w:t xml:space="preserve">Livrable : </w:t>
      </w:r>
      <w:r>
        <w:rPr>
          <w:rFonts w:ascii="DM Sans" w:cs="DM Sans" w:eastAsia="DM Sans" w:hAnsi="DM Sans"/>
          <w:color w:val="1A1A1A"/>
          <w:sz w:val="21"/>
          <w:szCs w:val="21"/>
        </w:rPr>
        <w:t xml:space="preserve">Rapport PDF personnalisé (Brain Clinical Report 12 sections). Option premium : clone conversationnel accessible pendant 30 jours pour explorer sa personnalité en dialogue.</w:t>
      </w:r>
    </w:p>
    <w:p>
      <w:pPr>
        <w:spacing w:after="120" w:line="276"/>
        <w:jc w:val="both"/>
      </w:pPr>
      <w:r>
        <w:rPr>
          <w:rFonts w:ascii="DM Sans" w:cs="DM Sans" w:eastAsia="DM Sans" w:hAnsi="DM Sans"/>
          <w:b/>
          <w:bCs/>
          <w:color w:val="1A1A1A"/>
          <w:sz w:val="21"/>
          <w:szCs w:val="21"/>
        </w:rPr>
        <w:t xml:space="preserve">Pourquoi ça marche : </w:t>
      </w:r>
      <w:r>
        <w:rPr>
          <w:rFonts w:ascii="DM Sans" w:cs="DM Sans" w:eastAsia="DM Sans" w:hAnsi="DM Sans"/>
          <w:color w:val="1A1A1A"/>
          <w:sz w:val="21"/>
          <w:szCs w:val="21"/>
        </w:rPr>
        <w:t xml:space="preserve">Le marché du développement personnel et de la connaissance de soi est massif (estimé à 40+ Md$ globalement). Les gens veulent comprendre leurs patterns, pas recevoir un acronyme de 4 lettres. Un entretien conversationnel est perçu comme plus sérieux et plus profond qu'un QCM.</w:t>
      </w:r>
    </w:p>
    <w:p>
      <w:pPr>
        <w:spacing w:after="80" w:before="180"/>
      </w:pPr>
      <w:r>
        <w:rPr>
          <w:rFonts w:ascii="Montserrat" w:cs="Montserrat" w:eastAsia="Montserrat" w:hAnsi="Montserrat"/>
          <w:b/>
          <w:bCs/>
          <w:color w:val="6B8E8F"/>
          <w:sz w:val="22"/>
          <w:szCs w:val="22"/>
        </w:rPr>
        <w:t xml:space="preserve">Marché 2 — Coaching &amp; Thérapie (B2B)</w:t>
      </w:r>
    </w:p>
    <w:p>
      <w:pPr>
        <w:spacing w:after="120" w:line="276"/>
        <w:jc w:val="both"/>
      </w:pPr>
      <w:r>
        <w:rPr>
          <w:rFonts w:ascii="DM Sans" w:cs="DM Sans" w:eastAsia="DM Sans" w:hAnsi="DM Sans"/>
          <w:b/>
          <w:bCs/>
          <w:color w:val="1A1A1A"/>
          <w:sz w:val="21"/>
          <w:szCs w:val="21"/>
        </w:rPr>
        <w:t xml:space="preserve">Promesse : </w:t>
      </w:r>
      <w:r>
        <w:rPr>
          <w:rFonts w:ascii="DM Sans" w:cs="DM Sans" w:eastAsia="DM Sans" w:hAnsi="DM Sans"/>
          <w:color w:val="1A1A1A"/>
          <w:sz w:val="21"/>
          <w:szCs w:val="21"/>
        </w:rPr>
        <w:t xml:space="preserve">"Un bilan de personnalité de pré-consultation que vos clients remplissent chez eux. Vous recevez un rapport clinique complet avant la première séance."</w:t>
      </w:r>
    </w:p>
    <w:p>
      <w:pPr>
        <w:spacing w:after="120" w:line="276"/>
        <w:jc w:val="both"/>
      </w:pPr>
      <w:r>
        <w:rPr>
          <w:rFonts w:ascii="DM Sans" w:cs="DM Sans" w:eastAsia="DM Sans" w:hAnsi="DM Sans"/>
          <w:b/>
          <w:bCs/>
          <w:color w:val="1A1A1A"/>
          <w:sz w:val="21"/>
          <w:szCs w:val="21"/>
        </w:rPr>
        <w:t xml:space="preserve">Livrable : </w:t>
      </w:r>
      <w:r>
        <w:rPr>
          <w:rFonts w:ascii="DM Sans" w:cs="DM Sans" w:eastAsia="DM Sans" w:hAnsi="DM Sans"/>
          <w:color w:val="1A1A1A"/>
          <w:sz w:val="21"/>
          <w:szCs w:val="21"/>
        </w:rPr>
        <w:t xml:space="preserve">Brain JSON complet + Rapport clinique + tableau psychométrique. Interface marque blanche possible. Le praticien gagne 1-2 séances de découverte et démarre avec un portrait structuré.</w:t>
      </w:r>
    </w:p>
    <w:p>
      <w:pPr>
        <w:spacing w:after="120" w:line="276"/>
        <w:jc w:val="both"/>
      </w:pPr>
      <w:r>
        <w:rPr>
          <w:rFonts w:ascii="DM Sans" w:cs="DM Sans" w:eastAsia="DM Sans" w:hAnsi="DM Sans"/>
          <w:b/>
          <w:bCs/>
          <w:color w:val="1A1A1A"/>
          <w:sz w:val="21"/>
          <w:szCs w:val="21"/>
        </w:rPr>
        <w:t xml:space="preserve">Pourquoi ça marche : </w:t>
      </w:r>
      <w:r>
        <w:rPr>
          <w:rFonts w:ascii="DM Sans" w:cs="DM Sans" w:eastAsia="DM Sans" w:hAnsi="DM Sans"/>
          <w:color w:val="1A1A1A"/>
          <w:sz w:val="21"/>
          <w:szCs w:val="21"/>
        </w:rPr>
        <w:t xml:space="preserve">Les coachs et thérapeutes perdent 2-4 premières séances en anamnèse. Un outil qui leur livre un portrait de base fiable (avec convergence multi-sources et score de confiance) leur fait gagner du temps et de la crédibilité face à leurs clients.</w:t>
      </w:r>
    </w:p>
    <w:p>
      <w:pPr>
        <w:spacing w:after="80" w:before="180"/>
      </w:pPr>
      <w:r>
        <w:rPr>
          <w:rFonts w:ascii="Montserrat" w:cs="Montserrat" w:eastAsia="Montserrat" w:hAnsi="Montserrat"/>
          <w:b/>
          <w:bCs/>
          <w:color w:val="6B8E8F"/>
          <w:sz w:val="22"/>
          <w:szCs w:val="22"/>
        </w:rPr>
        <w:t xml:space="preserve">Marché 3 — RH &amp; Recrutement (B2B)</w:t>
      </w:r>
    </w:p>
    <w:p>
      <w:pPr>
        <w:spacing w:after="120" w:line="276"/>
        <w:jc w:val="both"/>
      </w:pPr>
      <w:r>
        <w:rPr>
          <w:rFonts w:ascii="DM Sans" w:cs="DM Sans" w:eastAsia="DM Sans" w:hAnsi="DM Sans"/>
          <w:b/>
          <w:bCs/>
          <w:color w:val="1A1A1A"/>
          <w:sz w:val="21"/>
          <w:szCs w:val="21"/>
        </w:rPr>
        <w:t xml:space="preserve">Promesse : </w:t>
      </w:r>
      <w:r>
        <w:rPr>
          <w:rFonts w:ascii="DM Sans" w:cs="DM Sans" w:eastAsia="DM Sans" w:hAnsi="DM Sans"/>
          <w:color w:val="1A1A1A"/>
          <w:sz w:val="21"/>
          <w:szCs w:val="21"/>
        </w:rPr>
        <w:t xml:space="preserve">"Évaluez la personnalité, les valeurs et le style de communication de vos candidats — au-delà du CV. Comparez les profils de votre équipe existante."</w:t>
      </w:r>
    </w:p>
    <w:p>
      <w:pPr>
        <w:spacing w:after="120" w:line="276"/>
        <w:jc w:val="both"/>
      </w:pPr>
      <w:r>
        <w:rPr>
          <w:rFonts w:ascii="DM Sans" w:cs="DM Sans" w:eastAsia="DM Sans" w:hAnsi="DM Sans"/>
          <w:b/>
          <w:bCs/>
          <w:color w:val="1A1A1A"/>
          <w:sz w:val="21"/>
          <w:szCs w:val="21"/>
        </w:rPr>
        <w:t xml:space="preserve">Livrable : </w:t>
      </w:r>
      <w:r>
        <w:rPr>
          <w:rFonts w:ascii="DM Sans" w:cs="DM Sans" w:eastAsia="DM Sans" w:hAnsi="DM Sans"/>
          <w:color w:val="1A1A1A"/>
          <w:sz w:val="21"/>
          <w:szCs w:val="21"/>
        </w:rPr>
        <w:t xml:space="preserve">Profil candidat standardisé, comparaison d'équipe (Big Five + valeurs Schwartz), score de compatibilité culturelle. Dashboard d'équipe (multi-profils).</w:t>
      </w:r>
    </w:p>
    <w:p>
      <w:pPr>
        <w:spacing w:after="120" w:line="276"/>
        <w:jc w:val="both"/>
      </w:pPr>
      <w:r>
        <w:rPr>
          <w:rFonts w:ascii="DM Sans" w:cs="DM Sans" w:eastAsia="DM Sans" w:hAnsi="DM Sans"/>
          <w:b/>
          <w:bCs/>
          <w:color w:val="1A1A1A"/>
          <w:sz w:val="21"/>
          <w:szCs w:val="21"/>
        </w:rPr>
        <w:t xml:space="preserve">Pourquoi ça marche : </w:t>
      </w:r>
      <w:r>
        <w:rPr>
          <w:rFonts w:ascii="DM Sans" w:cs="DM Sans" w:eastAsia="DM Sans" w:hAnsi="DM Sans"/>
          <w:color w:val="1A1A1A"/>
          <w:sz w:val="21"/>
          <w:szCs w:val="21"/>
        </w:rPr>
        <w:t xml:space="preserve">Le recrutement utilise encore massivement MBTI et DISC malgré leur faible validité psychométrique. Un outil basé sur Big Five + facettes + convergence multi-sources est scientifiquement supérieur, et le format conversationnel est moins perçu comme un "test" par les candidats.</w:t>
      </w:r>
    </w:p>
    <w:p>
      <w:pPr>
        <w:spacing w:after="80" w:before="180"/>
      </w:pPr>
      <w:r>
        <w:rPr>
          <w:rFonts w:ascii="Montserrat" w:cs="Montserrat" w:eastAsia="Montserrat" w:hAnsi="Montserrat"/>
          <w:b/>
          <w:bCs/>
          <w:color w:val="6B8E8F"/>
          <w:sz w:val="22"/>
          <w:szCs w:val="22"/>
        </w:rPr>
        <w:t xml:space="preserve">Marché 4 — Formation &amp; Éducation (B2B/B2C)</w:t>
      </w:r>
    </w:p>
    <w:p>
      <w:pPr>
        <w:spacing w:after="120" w:line="276"/>
        <w:jc w:val="both"/>
      </w:pPr>
      <w:r>
        <w:rPr>
          <w:rFonts w:ascii="DM Sans" w:cs="DM Sans" w:eastAsia="DM Sans" w:hAnsi="DM Sans"/>
          <w:b/>
          <w:bCs/>
          <w:color w:val="1A1A1A"/>
          <w:sz w:val="21"/>
          <w:szCs w:val="21"/>
        </w:rPr>
        <w:t xml:space="preserve">Promesse : </w:t>
      </w:r>
      <w:r>
        <w:rPr>
          <w:rFonts w:ascii="DM Sans" w:cs="DM Sans" w:eastAsia="DM Sans" w:hAnsi="DM Sans"/>
          <w:color w:val="1A1A1A"/>
          <w:sz w:val="21"/>
          <w:szCs w:val="21"/>
        </w:rPr>
        <w:t xml:space="preserve">"Connaissance de soi pour étudiants, managers, équipes. Un outil pédagogique qui révèle les dynamiques de groupe et les styles individuels."</w:t>
      </w:r>
    </w:p>
    <w:p>
      <w:pPr>
        <w:spacing w:after="120" w:line="276"/>
        <w:jc w:val="both"/>
      </w:pPr>
      <w:r>
        <w:rPr>
          <w:rFonts w:ascii="DM Sans" w:cs="DM Sans" w:eastAsia="DM Sans" w:hAnsi="DM Sans"/>
          <w:b/>
          <w:bCs/>
          <w:color w:val="1A1A1A"/>
          <w:sz w:val="21"/>
          <w:szCs w:val="21"/>
        </w:rPr>
        <w:t xml:space="preserve">Livrable : </w:t>
      </w:r>
      <w:r>
        <w:rPr>
          <w:rFonts w:ascii="DM Sans" w:cs="DM Sans" w:eastAsia="DM Sans" w:hAnsi="DM Sans"/>
          <w:color w:val="1A1A1A"/>
          <w:sz w:val="21"/>
          <w:szCs w:val="21"/>
        </w:rPr>
        <w:t xml:space="preserve">Version simplifiée du rapport (focus Big Five + valeurs + communication). Tableau de bord de groupe pour les formateurs. Activités pédagogiques autour des résultats.</w:t>
      </w:r>
    </w:p>
    <w:p>
      <w:r>
        <w:br w:type="page"/>
      </w:r>
    </w:p>
    <w:p>
      <w:pPr>
        <w:pStyle w:val="Heading1"/>
        <w:spacing w:after="120" w:before="360"/>
      </w:pPr>
      <w:r>
        <w:rPr>
          <w:rFonts w:ascii="Montserrat" w:cs="Montserrat" w:eastAsia="Montserrat" w:hAnsi="Montserrat"/>
          <w:b/>
          <w:bCs/>
          <w:color w:val="6B8E8F"/>
          <w:sz w:val="32"/>
          <w:szCs w:val="32"/>
        </w:rPr>
        <w:t xml:space="preserve">3. Déclinaisons commerciales — Gamme de produits</w:t>
      </w:r>
    </w:p>
    <w:p>
      <w:pPr>
        <w:pBdr>
          <w:bottom w:val="single" w:color="C8D0C3" w:sz="6" w:space="1"/>
        </w:pBdr>
        <w:spacing w:after="200"/>
      </w:pPr>
    </w:p>
    <w:p>
      <w:pPr>
        <w:spacing w:after="120" w:line="276"/>
        <w:jc w:val="both"/>
      </w:pPr>
      <w:r>
        <w:rPr>
          <w:rFonts w:ascii="DM Sans" w:cs="DM Sans" w:eastAsia="DM Sans" w:hAnsi="DM Sans"/>
          <w:b w:val="false"/>
          <w:bCs w:val="false"/>
          <w:i w:val="false"/>
          <w:iCs w:val="false"/>
          <w:color w:val="1A1A1A"/>
          <w:sz w:val="21"/>
          <w:szCs w:val="21"/>
        </w:rPr>
        <w:t xml:space="preserve">Le système Clone Interview Pro se décline en 4 offres distinctes construites sur le même moteur technique (clone-core.js + clone-brain-builder.js)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826"/>
      </w:tblGrid>
      <w:tr>
        <w:tc>
          <w:tcPr>
            <w:tcW w:type="dxa" w:w="18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
            </w:r>
          </w:p>
        </w:tc>
        <w:tc>
          <w:tcPr>
            <w:tcW w:type="dxa" w:w="18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7"/>
                <w:szCs w:val="17"/>
              </w:rPr>
              <w:t xml:space="preserve">DISCOVER</w:t>
            </w:r>
          </w:p>
        </w:tc>
        <w:tc>
          <w:tcPr>
            <w:tcW w:type="dxa" w:w="18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7"/>
                <w:szCs w:val="17"/>
              </w:rPr>
              <w:t xml:space="preserve">PRO</w:t>
            </w:r>
          </w:p>
        </w:tc>
        <w:tc>
          <w:tcPr>
            <w:tcW w:type="dxa" w:w="18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7"/>
                <w:szCs w:val="17"/>
              </w:rPr>
              <w:t xml:space="preserve">ENTERPRISE</w:t>
            </w:r>
          </w:p>
        </w:tc>
        <w:tc>
          <w:tcPr>
            <w:tcW w:type="dxa" w:w="826"/>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7"/>
                <w:szCs w:val="17"/>
              </w:rPr>
              <w:t xml:space="preserve">FORMATION</w:t>
            </w:r>
          </w:p>
        </w:tc>
      </w:tr>
      <w:tr>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Cible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Individu (B2C)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Coach / Thérapeute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DRH / Cabinet RH</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Formateur</w:t>
            </w:r>
          </w:p>
        </w:tc>
      </w:tr>
      <w:tr>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Interview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40 questions texte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40 questions + audio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40 questions + vidéo</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20 questions</w:t>
            </w:r>
          </w:p>
        </w:tc>
      </w:tr>
      <w:tr>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Rapport PDF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Rapport 12 sections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Rapport 12 sections + tableau psychométrique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Rapport + comparaison équipe</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Rapport simplifié</w:t>
            </w:r>
          </w:p>
        </w:tc>
      </w:tr>
      <w:tr>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Brain 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Non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Oui (CLONE-PERSONALITY-1.0)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Oui + API</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Non</w:t>
            </w:r>
          </w:p>
        </w:tc>
      </w:tr>
      <w:tr>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Clone conversationnel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30 jours (option)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Illimité (usage praticien)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Illimité + intégration</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Non</w:t>
            </w:r>
          </w:p>
        </w:tc>
      </w:tr>
      <w:tr>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Marque blanche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Non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Logo praticien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Oui (full)</w:t>
            </w:r>
          </w:p>
        </w:tc>
        <w:tc>
          <w:tcPr>
            <w:tcW w:type="dxa" w:w="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Logo organisme</w:t>
            </w:r>
          </w:p>
        </w:tc>
      </w:tr>
      <w:tr>
        <w:tc>
          <w:tcPr>
            <w:tcW w:type="dxa" w:w="1800"/>
            <w:tcBorders>
              <w:top w:val="single" w:color="CCCCCC" w:sz="1"/>
              <w:left w:val="single" w:color="CCCCCC" w:sz="1"/>
              <w:bottom w:val="single" w:color="CCCCCC" w:sz="1"/>
              <w:right w:val="single" w:color="CCCCCC" w:sz="1"/>
            </w:tcBorders>
            <w:shd w:fill="8FAFB1"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Tarif indicatif</w:t>
            </w:r>
          </w:p>
        </w:tc>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29-49 € / session</w:t>
            </w:r>
          </w:p>
        </w:tc>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79-149 €/mois (5-20 profils)</w:t>
            </w:r>
          </w:p>
        </w:tc>
        <w:tc>
          <w:tcPr>
            <w:tcW w:type="dxa" w:w="18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299-999 €/mois (volume)</w:t>
            </w:r>
          </w:p>
        </w:tc>
        <w:tc>
          <w:tcPr>
            <w:tcW w:type="dxa" w:w="826"/>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19 € / apprenant</w:t>
            </w:r>
          </w:p>
        </w:tc>
      </w:tr>
    </w:tbl>
    <w:p>
      <w:pPr>
        <w:spacing w:after="200"/>
      </w:pPr>
    </w:p>
    <w:p>
      <w:pPr>
        <w:pStyle w:val="Heading1"/>
        <w:spacing w:after="120" w:before="360"/>
      </w:pPr>
      <w:r>
        <w:rPr>
          <w:rFonts w:ascii="Montserrat" w:cs="Montserrat" w:eastAsia="Montserrat" w:hAnsi="Montserrat"/>
          <w:b/>
          <w:bCs/>
          <w:color w:val="6B8E8F"/>
          <w:sz w:val="32"/>
          <w:szCs w:val="32"/>
        </w:rPr>
        <w:t xml:space="preserve">4. Modèle économique</w:t>
      </w:r>
    </w:p>
    <w:p>
      <w:pPr>
        <w:pBdr>
          <w:bottom w:val="single" w:color="C8D0C3" w:sz="6" w:space="1"/>
        </w:pBdr>
        <w:spacing w:after="200"/>
      </w:pPr>
    </w:p>
    <w:p>
      <w:pPr>
        <w:pStyle w:val="Heading2"/>
        <w:spacing w:after="100" w:before="240"/>
      </w:pPr>
      <w:r>
        <w:rPr>
          <w:rFonts w:ascii="Montserrat" w:cs="Montserrat" w:eastAsia="Montserrat" w:hAnsi="Montserrat"/>
          <w:b/>
          <w:bCs/>
          <w:color w:val="1A1A1A"/>
          <w:sz w:val="26"/>
          <w:szCs w:val="26"/>
        </w:rPr>
        <w:t xml:space="preserve">4.1 Structure des coûts API par session</w:t>
      </w:r>
    </w:p>
    <w:p>
      <w:pPr>
        <w:spacing w:after="120" w:line="276"/>
        <w:jc w:val="both"/>
      </w:pPr>
      <w:r>
        <w:rPr>
          <w:rFonts w:ascii="DM Sans" w:cs="DM Sans" w:eastAsia="DM Sans" w:hAnsi="DM Sans"/>
          <w:b w:val="false"/>
          <w:bCs w:val="false"/>
          <w:i w:val="false"/>
          <w:iCs w:val="false"/>
          <w:color w:val="1A1A1A"/>
          <w:sz w:val="21"/>
          <w:szCs w:val="21"/>
        </w:rPr>
        <w:t xml:space="preserve">Chaque session complète (interview + brain building + rapport clinique) implique environ 53 appels LLM via le Cloudflare Worker proxy. Voici le détail des coûts réels basés sur l'analyse du code source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c>
          <w:tcPr>
            <w:tcW w:type="dxa" w:w="25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left"/>
            </w:pPr>
            <w:r>
              <w:rPr>
                <w:rFonts w:ascii="DM Sans" w:cs="DM Sans" w:eastAsia="DM Sans" w:hAnsi="DM Sans"/>
                <w:b/>
                <w:bCs/>
                <w:color w:val="FFFFFF"/>
                <w:sz w:val="19"/>
                <w:szCs w:val="19"/>
              </w:rPr>
              <w:t xml:space="preserve">Phase</w:t>
            </w:r>
          </w:p>
        </w:tc>
        <w:tc>
          <w:tcPr>
            <w:tcW w:type="dxa" w:w="16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Appels LLM</w:t>
            </w:r>
          </w:p>
        </w:tc>
        <w:tc>
          <w:tcPr>
            <w:tcW w:type="dxa" w:w="16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Input tokens</w:t>
            </w:r>
          </w:p>
        </w:tc>
        <w:tc>
          <w:tcPr>
            <w:tcW w:type="dxa" w:w="16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Output tokens</w:t>
            </w:r>
          </w:p>
        </w:tc>
        <w:tc>
          <w:tcPr>
            <w:tcW w:type="dxa" w:w="1726"/>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Coût estimé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Interview (adaptatif, ~30-50 tours)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~30-50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~120K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~8.8K</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$0.08 - 0.15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Brain Building (8 appels dont 5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~100K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~16K</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$0.10 - 0.20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Brain Clinical Report (5 appels)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~75K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~26K</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$0.15 - 0.30</w:t>
            </w:r>
          </w:p>
        </w:tc>
      </w:tr>
      <w:tr>
        <w:tc>
          <w:tcPr>
            <w:tcW w:type="dxa" w:w="25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TOTAL SESSION COMPLÈTE</w:t>
            </w:r>
          </w:p>
        </w:tc>
        <w:tc>
          <w:tcPr>
            <w:tcW w:type="dxa" w:w="16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center"/>
            </w:pPr>
            <w:r>
              <w:rPr>
                <w:rFonts w:ascii="DM Sans" w:cs="DM Sans" w:eastAsia="DM Sans" w:hAnsi="DM Sans"/>
                <w:b/>
                <w:bCs/>
                <w:color w:val="1A1A1A"/>
                <w:sz w:val="19"/>
                <w:szCs w:val="19"/>
              </w:rPr>
              <w:t xml:space="preserve">53</w:t>
            </w:r>
          </w:p>
        </w:tc>
        <w:tc>
          <w:tcPr>
            <w:tcW w:type="dxa" w:w="16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center"/>
            </w:pPr>
            <w:r>
              <w:rPr>
                <w:rFonts w:ascii="DM Sans" w:cs="DM Sans" w:eastAsia="DM Sans" w:hAnsi="DM Sans"/>
                <w:b/>
                <w:bCs/>
                <w:color w:val="1A1A1A"/>
                <w:sz w:val="19"/>
                <w:szCs w:val="19"/>
              </w:rPr>
              <w:t xml:space="preserve">~295K</w:t>
            </w:r>
          </w:p>
        </w:tc>
        <w:tc>
          <w:tcPr>
            <w:tcW w:type="dxa" w:w="16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center"/>
            </w:pPr>
            <w:r>
              <w:rPr>
                <w:rFonts w:ascii="DM Sans" w:cs="DM Sans" w:eastAsia="DM Sans" w:hAnsi="DM Sans"/>
                <w:b/>
                <w:bCs/>
                <w:color w:val="1A1A1A"/>
                <w:sz w:val="19"/>
                <w:szCs w:val="19"/>
              </w:rPr>
              <w:t xml:space="preserve">~51K</w:t>
            </w:r>
          </w:p>
        </w:tc>
        <w:tc>
          <w:tcPr>
            <w:tcW w:type="dxa" w:w="1726"/>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center"/>
            </w:pPr>
            <w:r>
              <w:rPr>
                <w:rFonts w:ascii="DM Sans" w:cs="DM Sans" w:eastAsia="DM Sans" w:hAnsi="DM Sans"/>
                <w:b/>
                <w:bCs/>
                <w:color w:val="1A1A1A"/>
                <w:sz w:val="19"/>
                <w:szCs w:val="19"/>
              </w:rPr>
              <w:t xml:space="preserve">$0.33 - 0.65</w:t>
            </w:r>
          </w:p>
        </w:tc>
      </w:tr>
    </w:tbl>
    <w:p>
      <w:pPr>
        <w:spacing w:after="80"/>
      </w:pPr>
    </w:p>
    <w:p>
      <w:pPr>
        <w:spacing w:after="120" w:line="276"/>
        <w:jc w:val="both"/>
      </w:pPr>
      <w:r>
        <w:rPr>
          <w:rFonts w:ascii="DM Sans" w:cs="DM Sans" w:eastAsia="DM Sans" w:hAnsi="DM Sans"/>
          <w:b w:val="false"/>
          <w:bCs w:val="false"/>
          <w:i w:val="false"/>
          <w:iCs w:val="false"/>
          <w:color w:val="1A1A1A"/>
          <w:sz w:val="21"/>
          <w:szCs w:val="21"/>
        </w:rPr>
        <w:t xml:space="preserve">Note : coûts calculés sur Claude Sonnet 4.5 ($3/MTok input, $15/MTok output). Le prompt caching implémenté sur le Worker réduit les input tokens de 80-90% sur les appels répétitifs (brain building et rapport). Coût réel probable avec caching : $0.25-0.45 par session.</w:t>
      </w:r>
    </w:p>
    <w:p>
      <w:pPr>
        <w:pStyle w:val="Heading2"/>
        <w:spacing w:after="100" w:before="240"/>
      </w:pPr>
      <w:r>
        <w:rPr>
          <w:rFonts w:ascii="Montserrat" w:cs="Montserrat" w:eastAsia="Montserrat" w:hAnsi="Montserrat"/>
          <w:b/>
          <w:bCs/>
          <w:color w:val="1A1A1A"/>
          <w:sz w:val="26"/>
          <w:szCs w:val="26"/>
        </w:rPr>
        <w:t xml:space="preserve">4.2 Marges par 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800"/>
        <w:gridCol w:w="1826"/>
      </w:tblGrid>
      <w:tr>
        <w:tc>
          <w:tcPr>
            <w:tcW w:type="dxa" w:w="20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left"/>
            </w:pPr>
            <w:r>
              <w:rPr>
                <w:rFonts w:ascii="DM Sans" w:cs="DM Sans" w:eastAsia="DM Sans" w:hAnsi="DM Sans"/>
                <w:b/>
                <w:bCs/>
                <w:color w:val="FFFFFF"/>
                <w:sz w:val="19"/>
                <w:szCs w:val="19"/>
              </w:rPr>
              <w:t xml:space="preserve">Offre</w:t>
            </w:r>
          </w:p>
        </w:tc>
        <w:tc>
          <w:tcPr>
            <w:tcW w:type="dxa" w:w="18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Prix de vente</w:t>
            </w:r>
          </w:p>
        </w:tc>
        <w:tc>
          <w:tcPr>
            <w:tcW w:type="dxa" w:w="16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Coût API</w:t>
            </w:r>
          </w:p>
        </w:tc>
        <w:tc>
          <w:tcPr>
            <w:tcW w:type="dxa" w:w="18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Marge brute</w:t>
            </w:r>
          </w:p>
        </w:tc>
        <w:tc>
          <w:tcPr>
            <w:tcW w:type="dxa" w:w="1826"/>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Marge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Discover (29€)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29 €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~0.35 €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28.65 €</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1A1A1A"/>
                <w:sz w:val="19"/>
                <w:szCs w:val="19"/>
              </w:rPr>
              <w:t xml:space="preserve">98.8%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Discover Premium (49€)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49 €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~0.50 €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48.50 €</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1A1A1A"/>
                <w:sz w:val="19"/>
                <w:szCs w:val="19"/>
              </w:rPr>
              <w:t xml:space="preserve">99.0%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Pro (99€/mois, 10 profils)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99 €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~3.50 €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95.50 €</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1A1A1A"/>
                <w:sz w:val="19"/>
                <w:szCs w:val="19"/>
              </w:rPr>
              <w:t xml:space="preserve">96.5%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Enterprise (499€/mois, 50 profils)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499 €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~17.50 €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481.50 €</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1A1A1A"/>
                <w:sz w:val="19"/>
                <w:szCs w:val="19"/>
              </w:rPr>
              <w:t xml:space="preserve">96.5%</w:t>
            </w:r>
          </w:p>
        </w:tc>
      </w:tr>
    </w:tbl>
    <w:p>
      <w:pPr>
        <w:spacing w:after="80"/>
      </w:pPr>
    </w:p>
    <w:p>
      <w:pPr>
        <w:spacing w:after="120" w:line="276"/>
        <w:jc w:val="both"/>
      </w:pPr>
      <w:r>
        <w:rPr>
          <w:rFonts w:ascii="DM Sans" w:cs="DM Sans" w:eastAsia="DM Sans" w:hAnsi="DM Sans"/>
          <w:b w:val="false"/>
          <w:bCs w:val="false"/>
          <w:i w:val="false"/>
          <w:iCs w:val="false"/>
          <w:color w:val="1A1A1A"/>
          <w:sz w:val="21"/>
          <w:szCs w:val="21"/>
        </w:rPr>
        <w:t xml:space="preserve">Les marges sont exceptionnelles car le coût variable est quasi exclusivement du coût API. Pas de main d'œuvre, pas de stock, pas de logistique. L'infrastructure Cloudflare Worker + D1 est facturée au usage (free tier généreux). Le seul coût fixe significatif est le domaine et l'hébergement (~50-100 €/an).</w:t>
      </w:r>
    </w:p>
    <w:p>
      <w:pPr>
        <w:pStyle w:val="Heading2"/>
        <w:spacing w:after="100" w:before="240"/>
      </w:pPr>
      <w:r>
        <w:rPr>
          <w:rFonts w:ascii="Montserrat" w:cs="Montserrat" w:eastAsia="Montserrat" w:hAnsi="Montserrat"/>
          <w:b/>
          <w:bCs/>
          <w:color w:val="1A1A1A"/>
          <w:sz w:val="26"/>
          <w:szCs w:val="26"/>
        </w:rPr>
        <w:t xml:space="preserve">4.3 Scénarios de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gridCol w:w="1826"/>
      </w:tblGrid>
      <w:tr>
        <w:tc>
          <w:tcPr>
            <w:tcW w:type="dxa" w:w="20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left"/>
            </w:pPr>
            <w:r>
              <w:rPr>
                <w:rFonts w:ascii="DM Sans" w:cs="DM Sans" w:eastAsia="DM Sans" w:hAnsi="DM Sans"/>
                <w:b/>
                <w:bCs/>
                <w:color w:val="FFFFFF"/>
                <w:sz w:val="19"/>
                <w:szCs w:val="19"/>
              </w:rPr>
              <w:t xml:space="preserve">Scénario</w:t>
            </w:r>
          </w:p>
        </w:tc>
        <w:tc>
          <w:tcPr>
            <w:tcW w:type="dxa" w:w="18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Discover</w:t>
            </w:r>
          </w:p>
        </w:tc>
        <w:tc>
          <w:tcPr>
            <w:tcW w:type="dxa" w:w="18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Pro</w:t>
            </w:r>
          </w:p>
        </w:tc>
        <w:tc>
          <w:tcPr>
            <w:tcW w:type="dxa" w:w="16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Enterprise</w:t>
            </w:r>
          </w:p>
        </w:tc>
        <w:tc>
          <w:tcPr>
            <w:tcW w:type="dxa" w:w="1826"/>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CA mensuel</w:t>
            </w:r>
          </w:p>
        </w:tc>
      </w:tr>
      <w:tr>
        <w:tc>
          <w:tcPr>
            <w:tcW w:type="dxa" w:w="20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Démarrage (M3-M6)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50 sessions/mois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5 abonnés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0</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1A1A1A"/>
                <w:sz w:val="19"/>
                <w:szCs w:val="19"/>
              </w:rPr>
              <w:t xml:space="preserve">~2 450 €</w:t>
            </w:r>
          </w:p>
        </w:tc>
      </w:tr>
      <w:tr>
        <w:tc>
          <w:tcPr>
            <w:tcW w:type="dxa" w:w="20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Croissance (M6-M12)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200 sessions/mois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20 abonnés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2 abonnés</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1A1A1A"/>
                <w:sz w:val="19"/>
                <w:szCs w:val="19"/>
              </w:rPr>
              <w:t xml:space="preserve">~10 800 €</w:t>
            </w:r>
          </w:p>
        </w:tc>
      </w:tr>
      <w:tr>
        <w:tc>
          <w:tcPr>
            <w:tcW w:type="dxa" w:w="20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Maturité (M12+)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500 sessions/mois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50 abonnés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5 abonnés</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1A1A1A"/>
                <w:sz w:val="19"/>
                <w:szCs w:val="19"/>
              </w:rPr>
              <w:t xml:space="preserve">~27 000 €</w:t>
            </w:r>
          </w:p>
        </w:tc>
      </w:tr>
    </w:tbl>
    <w:p>
      <w:r>
        <w:br w:type="page"/>
      </w:r>
    </w:p>
    <w:p>
      <w:pPr>
        <w:pStyle w:val="Heading1"/>
        <w:spacing w:after="120" w:before="360"/>
      </w:pPr>
      <w:r>
        <w:rPr>
          <w:rFonts w:ascii="Montserrat" w:cs="Montserrat" w:eastAsia="Montserrat" w:hAnsi="Montserrat"/>
          <w:b/>
          <w:bCs/>
          <w:color w:val="6B8E8F"/>
          <w:sz w:val="32"/>
          <w:szCs w:val="32"/>
        </w:rPr>
        <w:t xml:space="preserve">5. Cadre juridique</w:t>
      </w:r>
    </w:p>
    <w:p>
      <w:pPr>
        <w:pBdr>
          <w:bottom w:val="single" w:color="C8D0C3" w:sz="6" w:space="1"/>
        </w:pBdr>
        <w:spacing w:after="200"/>
      </w:pPr>
    </w:p>
    <w:p>
      <w:pPr>
        <w:pStyle w:val="Heading2"/>
        <w:spacing w:after="100" w:before="240"/>
      </w:pPr>
      <w:r>
        <w:rPr>
          <w:rFonts w:ascii="Montserrat" w:cs="Montserrat" w:eastAsia="Montserrat" w:hAnsi="Montserrat"/>
          <w:b/>
          <w:bCs/>
          <w:color w:val="1A1A1A"/>
          <w:sz w:val="26"/>
          <w:szCs w:val="26"/>
        </w:rPr>
        <w:t xml:space="preserve">5.1 Classification des données — Pas de données de santé</w:t>
      </w:r>
    </w:p>
    <w:p>
      <w:pPr>
        <w:spacing w:after="120" w:line="276"/>
        <w:jc w:val="both"/>
      </w:pPr>
      <w:r>
        <w:rPr>
          <w:rFonts w:ascii="DM Sans" w:cs="DM Sans" w:eastAsia="DM Sans" w:hAnsi="DM Sans"/>
          <w:b w:val="false"/>
          <w:bCs w:val="false"/>
          <w:i w:val="false"/>
          <w:iCs w:val="false"/>
          <w:color w:val="1A1A1A"/>
          <w:sz w:val="21"/>
          <w:szCs w:val="21"/>
        </w:rPr>
        <w:t xml:space="preserve">Point critique : Clone Interview Pro ne collecte PAS de données de santé au sens du RGPD et du Code de la santé publique. L'interview porte sur la personnalité, les valeurs, le style cognitif et communicationnel — pas sur des pathologies, diagnostics, traitements ou antécédents médicaux. En conséquence :</w:t>
      </w:r>
    </w:p>
    <w:p>
      <w:pPr>
        <w:pStyle w:val="ListParagraph"/>
        <w:numPr>
          <w:ilvl w:val="0"/>
          <w:numId w:val="2"/>
        </w:numPr>
        <w:spacing w:after="80" w:line="276"/>
      </w:pPr>
      <w:r>
        <w:rPr>
          <w:rFonts w:ascii="DM Sans" w:cs="DM Sans" w:eastAsia="DM Sans" w:hAnsi="DM Sans"/>
          <w:color w:val="1A1A1A"/>
          <w:sz w:val="21"/>
          <w:szCs w:val="21"/>
        </w:rPr>
        <w:t xml:space="preserve">Pas d'obligation d'hébergement HDS (Hébergeur de Données de Santé). L'infrastructure Cloudflare Workers + D1 est suffisante.</w:t>
      </w:r>
    </w:p>
    <w:p>
      <w:pPr>
        <w:pStyle w:val="ListParagraph"/>
        <w:numPr>
          <w:ilvl w:val="0"/>
          <w:numId w:val="2"/>
        </w:numPr>
        <w:spacing w:after="80" w:line="276"/>
      </w:pPr>
      <w:r>
        <w:rPr>
          <w:rFonts w:ascii="DM Sans" w:cs="DM Sans" w:eastAsia="DM Sans" w:hAnsi="DM Sans"/>
          <w:color w:val="1A1A1A"/>
          <w:sz w:val="21"/>
          <w:szCs w:val="21"/>
        </w:rPr>
        <w:t xml:space="preserve">Pas de déclaration CNIL spécifique au-delà du RGPD standard.</w:t>
      </w:r>
    </w:p>
    <w:p>
      <w:pPr>
        <w:pStyle w:val="ListParagraph"/>
        <w:numPr>
          <w:ilvl w:val="0"/>
          <w:numId w:val="2"/>
        </w:numPr>
        <w:spacing w:after="80" w:line="276"/>
      </w:pPr>
      <w:r>
        <w:rPr>
          <w:rFonts w:ascii="DM Sans" w:cs="DM Sans" w:eastAsia="DM Sans" w:hAnsi="DM Sans"/>
          <w:color w:val="1A1A1A"/>
          <w:sz w:val="21"/>
          <w:szCs w:val="21"/>
        </w:rPr>
        <w:t xml:space="preserve">Pas de nécessité d'un DPO (Délégué à la Protection des Données) pour une auto-entreprise sous les seuils.</w:t>
      </w:r>
    </w:p>
    <w:p>
      <w:pPr>
        <w:spacing w:after="120" w:line="276"/>
        <w:jc w:val="both"/>
      </w:pPr>
      <w:r>
        <w:rPr>
          <w:rFonts w:ascii="DM Sans" w:cs="DM Sans" w:eastAsia="DM Sans" w:hAnsi="DM Sans"/>
          <w:b w:val="false"/>
          <w:bCs w:val="false"/>
          <w:i/>
          <w:iCs/>
          <w:color w:val="1A1A1A"/>
          <w:sz w:val="21"/>
          <w:szCs w:val="21"/>
        </w:rPr>
        <w:t xml:space="preserve">ATTENTION : Si le produit évolue vers une version clinique (pré-diagnostic, scoring de troubles, etc.), la classification change et l'HDS devient obligatoire. Cette frontière doit rester claire dans le positionnement commercial.</w:t>
      </w:r>
    </w:p>
    <w:p>
      <w:pPr>
        <w:pStyle w:val="Heading2"/>
        <w:spacing w:after="100" w:before="240"/>
      </w:pPr>
      <w:r>
        <w:rPr>
          <w:rFonts w:ascii="Montserrat" w:cs="Montserrat" w:eastAsia="Montserrat" w:hAnsi="Montserrat"/>
          <w:b/>
          <w:bCs/>
          <w:color w:val="1A1A1A"/>
          <w:sz w:val="26"/>
          <w:szCs w:val="26"/>
        </w:rPr>
        <w:t xml:space="preserve">5.2 RGPD — Obligations concrètes</w:t>
      </w:r>
    </w:p>
    <w:p>
      <w:pPr>
        <w:pStyle w:val="ListParagraph"/>
        <w:numPr>
          <w:ilvl w:val="0"/>
          <w:numId w:val="3"/>
        </w:numPr>
        <w:spacing w:after="80" w:line="276"/>
      </w:pPr>
      <w:r>
        <w:rPr>
          <w:rFonts w:ascii="DM Sans" w:cs="DM Sans" w:eastAsia="DM Sans" w:hAnsi="DM Sans"/>
          <w:color w:val="1A1A1A"/>
          <w:sz w:val="21"/>
          <w:szCs w:val="21"/>
        </w:rPr>
        <w:t xml:space="preserve">Registre des traitements : documenter quelles données sont collectées, pourquoi, combien de temps elles sont conservées, qui y a accès.</w:t>
      </w:r>
    </w:p>
    <w:p>
      <w:pPr>
        <w:pStyle w:val="ListParagraph"/>
        <w:numPr>
          <w:ilvl w:val="0"/>
          <w:numId w:val="3"/>
        </w:numPr>
        <w:spacing w:after="80" w:line="276"/>
      </w:pPr>
      <w:r>
        <w:rPr>
          <w:rFonts w:ascii="DM Sans" w:cs="DM Sans" w:eastAsia="DM Sans" w:hAnsi="DM Sans"/>
          <w:color w:val="1A1A1A"/>
          <w:sz w:val="21"/>
          <w:szCs w:val="21"/>
        </w:rPr>
        <w:t xml:space="preserve">Base légale : consentement explicite (opt-in avant l'interview). Pour les offres B2B, la base peut être l'intérêt légitime du responsable de traitement (l'employeur).</w:t>
      </w:r>
    </w:p>
    <w:p>
      <w:pPr>
        <w:pStyle w:val="ListParagraph"/>
        <w:numPr>
          <w:ilvl w:val="0"/>
          <w:numId w:val="3"/>
        </w:numPr>
        <w:spacing w:after="80" w:line="276"/>
      </w:pPr>
      <w:r>
        <w:rPr>
          <w:rFonts w:ascii="DM Sans" w:cs="DM Sans" w:eastAsia="DM Sans" w:hAnsi="DM Sans"/>
          <w:color w:val="1A1A1A"/>
          <w:sz w:val="21"/>
          <w:szCs w:val="21"/>
        </w:rPr>
        <w:t xml:space="preserve">Droit d'accès, rectification, suppression : interface utilisateur permettant de télécharger et supprimer ses données (Brain JSON, rapport, transcription).</w:t>
      </w:r>
    </w:p>
    <w:p>
      <w:pPr>
        <w:pStyle w:val="ListParagraph"/>
        <w:numPr>
          <w:ilvl w:val="0"/>
          <w:numId w:val="3"/>
        </w:numPr>
        <w:spacing w:after="80" w:line="276"/>
      </w:pPr>
      <w:r>
        <w:rPr>
          <w:rFonts w:ascii="DM Sans" w:cs="DM Sans" w:eastAsia="DM Sans" w:hAnsi="DM Sans"/>
          <w:color w:val="1A1A1A"/>
          <w:sz w:val="21"/>
          <w:szCs w:val="21"/>
        </w:rPr>
        <w:t xml:space="preserve">Durée de conservation : définir une politique claire (suggestion : 12 mois pour Discover, durée du contrat pour Pro/Enterprise, suppression immédiate sur demande).</w:t>
      </w:r>
    </w:p>
    <w:p>
      <w:pPr>
        <w:pStyle w:val="ListParagraph"/>
        <w:numPr>
          <w:ilvl w:val="0"/>
          <w:numId w:val="3"/>
        </w:numPr>
        <w:spacing w:after="80" w:line="276"/>
      </w:pPr>
      <w:r>
        <w:rPr>
          <w:rFonts w:ascii="DM Sans" w:cs="DM Sans" w:eastAsia="DM Sans" w:hAnsi="DM Sans"/>
          <w:color w:val="1A1A1A"/>
          <w:sz w:val="21"/>
          <w:szCs w:val="21"/>
        </w:rPr>
        <w:t xml:space="preserve">Sous-traitants : Anthropic (API Claude), Cloudflare (hébergement), Google Cloud (TTS) — documenter les DPA (Data Processing Agreements) existants.</w:t>
      </w:r>
    </w:p>
    <w:p>
      <w:pPr>
        <w:pStyle w:val="Heading2"/>
        <w:spacing w:after="100" w:before="240"/>
      </w:pPr>
      <w:r>
        <w:rPr>
          <w:rFonts w:ascii="Montserrat" w:cs="Montserrat" w:eastAsia="Montserrat" w:hAnsi="Montserrat"/>
          <w:b/>
          <w:bCs/>
          <w:color w:val="1A1A1A"/>
          <w:sz w:val="26"/>
          <w:szCs w:val="26"/>
        </w:rPr>
        <w:t xml:space="preserve">5.3 Structure juridique — Auto-entrepreneur vs SAS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left"/>
            </w:pPr>
            <w:r>
              <w:rPr>
                <w:rFonts w:ascii="DM Sans" w:cs="DM Sans" w:eastAsia="DM Sans" w:hAnsi="DM Sans"/>
                <w:b/>
                <w:bCs/>
                <w:color w:val="FFFFFF"/>
                <w:sz w:val="19"/>
                <w:szCs w:val="19"/>
              </w:rPr>
              <w:t xml:space="preserve">Critère</w:t>
            </w:r>
          </w:p>
        </w:tc>
        <w:tc>
          <w:tcPr>
            <w:tcW w:type="dxa" w:w="3413"/>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Auto-entrepreneur (actuel)</w:t>
            </w:r>
          </w:p>
        </w:tc>
        <w:tc>
          <w:tcPr>
            <w:tcW w:type="dxa" w:w="3413"/>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SAS / SASU (futur)</w:t>
            </w:r>
          </w:p>
        </w:tc>
      </w:tr>
      <w:tr>
        <w:tc>
          <w:tcPr>
            <w:tcW w:type="dxa" w:w="22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Plafond CA</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77 700 €/an (services)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Pas de plafond</w:t>
            </w:r>
          </w:p>
        </w:tc>
      </w:tr>
      <w:tr>
        <w:tc>
          <w:tcPr>
            <w:tcW w:type="dxa" w:w="22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Crédibilité B2B</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Limitée (pas de "société")</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Forte (capital social, K-bis)</w:t>
            </w:r>
          </w:p>
        </w:tc>
      </w:tr>
      <w:tr>
        <w:tc>
          <w:tcPr>
            <w:tcW w:type="dxa" w:w="22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Responsabilité</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Personnelle illimitée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Limitée aux apports</w:t>
            </w:r>
          </w:p>
        </w:tc>
      </w:tr>
      <w:tr>
        <w:tc>
          <w:tcPr>
            <w:tcW w:type="dxa" w:w="2200"/>
            <w:tcBorders>
              <w:top w:val="single" w:color="CCCCCC" w:sz="1"/>
              <w:left w:val="single" w:color="CCCCCC" w:sz="1"/>
              <w:bottom w:val="single" w:color="CCCCCC" w:sz="1"/>
              <w:right w:val="single" w:color="CCCCCC" w:sz="1"/>
            </w:tcBorders>
            <w:shd w:fill="F4F0EB" w:val="clear"/>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Déductibilité charges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Non</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Oui (API, hébergement, matériel)</w:t>
            </w:r>
          </w:p>
        </w:tc>
      </w:tr>
      <w:tr>
        <w:tc>
          <w:tcPr>
            <w:tcW w:type="dxa" w:w="2200"/>
            <w:tcBorders>
              <w:top w:val="single" w:color="CCCCCC" w:sz="1"/>
              <w:left w:val="single" w:color="CCCCCC" w:sz="1"/>
              <w:bottom w:val="single" w:color="CCCCCC" w:sz="1"/>
              <w:right w:val="single" w:color="CCCCCC" w:sz="1"/>
            </w:tcBorders>
            <w:shd w:fill="8FAFB1" w:val="clear"/>
            <w:tcMar>
              <w:top w:type="dxa" w:w="60"/>
              <w:left w:type="dxa" w:w="100"/>
              <w:bottom w:type="dxa" w:w="60"/>
              <w:right w:type="dxa" w:w="100"/>
            </w:tcMar>
          </w:tcPr>
          <w:p>
            <w:pPr>
              <w:jc w:val="left"/>
            </w:pPr>
            <w:r>
              <w:rPr>
                <w:rFonts w:ascii="DM Sans" w:cs="DM Sans" w:eastAsia="DM Sans" w:hAnsi="DM Sans"/>
                <w:b/>
                <w:bCs/>
                <w:color w:val="1A1A1A"/>
                <w:sz w:val="19"/>
                <w:szCs w:val="19"/>
              </w:rPr>
              <w:t xml:space="preserve">Recommandation</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bCs/>
                <w:color w:val="1A1A1A"/>
                <w:sz w:val="19"/>
                <w:szCs w:val="19"/>
              </w:rPr>
              <w:t xml:space="preserve">MVP et beta (M1-M6)</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bCs/>
                <w:color w:val="1A1A1A"/>
                <w:sz w:val="19"/>
                <w:szCs w:val="19"/>
              </w:rPr>
              <w:t xml:space="preserve">Dès dépassement de 3 000 €/mois récurrent</w:t>
            </w:r>
          </w:p>
        </w:tc>
      </w:tr>
    </w:tbl>
    <w:p>
      <w:pPr>
        <w:spacing w:after="80"/>
      </w:pPr>
    </w:p>
    <w:p>
      <w:pPr>
        <w:spacing w:after="120" w:line="276"/>
        <w:jc w:val="both"/>
      </w:pPr>
      <w:r>
        <w:rPr>
          <w:rFonts w:ascii="DM Sans" w:cs="DM Sans" w:eastAsia="DM Sans" w:hAnsi="DM Sans"/>
          <w:b w:val="false"/>
          <w:bCs w:val="false"/>
          <w:i w:val="false"/>
          <w:iCs w:val="false"/>
          <w:color w:val="1A1A1A"/>
          <w:sz w:val="21"/>
          <w:szCs w:val="21"/>
        </w:rPr>
        <w:t xml:space="preserve">Recommandation : lancer en auto-entrepreneur pour minimiser les frais fixes. Basculer en SASU dès que le CA récurrent dépasse ~3 000 €/mois ou que les premiers contrats B2B Enterprise arrivent (les DRH et cabinets RH veulent contracter avec une société).</w:t>
      </w:r>
    </w:p>
    <w:p>
      <w:pPr>
        <w:pStyle w:val="Heading2"/>
        <w:spacing w:after="100" w:before="240"/>
      </w:pPr>
      <w:r>
        <w:rPr>
          <w:rFonts w:ascii="Montserrat" w:cs="Montserrat" w:eastAsia="Montserrat" w:hAnsi="Montserrat"/>
          <w:b/>
          <w:bCs/>
          <w:color w:val="1A1A1A"/>
          <w:sz w:val="26"/>
          <w:szCs w:val="26"/>
        </w:rPr>
        <w:t xml:space="preserve">5.4 Mentions légales et CGU — Éléments essentiels</w:t>
      </w:r>
    </w:p>
    <w:p>
      <w:pPr>
        <w:pStyle w:val="ListParagraph"/>
        <w:numPr>
          <w:ilvl w:val="0"/>
          <w:numId w:val="2"/>
        </w:numPr>
        <w:spacing w:after="80" w:line="276"/>
      </w:pPr>
      <w:r>
        <w:rPr>
          <w:rFonts w:ascii="DM Sans" w:cs="DM Sans" w:eastAsia="DM Sans" w:hAnsi="DM Sans"/>
          <w:color w:val="1A1A1A"/>
          <w:sz w:val="21"/>
          <w:szCs w:val="21"/>
        </w:rPr>
        <w:t xml:space="preserve">Identification de l'éditeur (C Concept&amp;Dev, SIRET, coordonnées).</w:t>
      </w:r>
    </w:p>
    <w:p>
      <w:pPr>
        <w:pStyle w:val="ListParagraph"/>
        <w:numPr>
          <w:ilvl w:val="0"/>
          <w:numId w:val="2"/>
        </w:numPr>
        <w:spacing w:after="80" w:line="276"/>
      </w:pPr>
      <w:r>
        <w:rPr>
          <w:rFonts w:ascii="DM Sans" w:cs="DM Sans" w:eastAsia="DM Sans" w:hAnsi="DM Sans"/>
          <w:color w:val="1A1A1A"/>
          <w:sz w:val="21"/>
          <w:szCs w:val="21"/>
        </w:rPr>
        <w:t xml:space="preserve">Nature du service : outil d'aide à la connaissance de soi, PAS un diagnostic médical ou psychologique. Disclaimer explicite : "Ce rapport ne constitue pas un avis médical ou psychologique. Il ne se substitue pas à une consultation avec un professionnel de santé mentale."</w:t>
      </w:r>
    </w:p>
    <w:p>
      <w:pPr>
        <w:pStyle w:val="ListParagraph"/>
        <w:numPr>
          <w:ilvl w:val="0"/>
          <w:numId w:val="2"/>
        </w:numPr>
        <w:spacing w:after="80" w:line="276"/>
      </w:pPr>
      <w:r>
        <w:rPr>
          <w:rFonts w:ascii="DM Sans" w:cs="DM Sans" w:eastAsia="DM Sans" w:hAnsi="DM Sans"/>
          <w:color w:val="1A1A1A"/>
          <w:sz w:val="21"/>
          <w:szCs w:val="21"/>
        </w:rPr>
        <w:t xml:space="preserve">Propriété intellectuelle : le Brain JSON et le rapport restent la propriété de l'utilisateur. Le système (algorithmes, prompts, schéma CLONE-PERSONALITY-1.0) reste propriété de C Concept&amp;Dev.</w:t>
      </w:r>
    </w:p>
    <w:p>
      <w:pPr>
        <w:pStyle w:val="ListParagraph"/>
        <w:numPr>
          <w:ilvl w:val="0"/>
          <w:numId w:val="2"/>
        </w:numPr>
        <w:spacing w:after="80" w:line="276"/>
      </w:pPr>
      <w:r>
        <w:rPr>
          <w:rFonts w:ascii="DM Sans" w:cs="DM Sans" w:eastAsia="DM Sans" w:hAnsi="DM Sans"/>
          <w:color w:val="1A1A1A"/>
          <w:sz w:val="21"/>
          <w:szCs w:val="21"/>
        </w:rPr>
        <w:t xml:space="preserve">Politique de remboursement : 14 jours (obligation légale vente à distance). Si le rapport a déjà été généré, remboursement partiel envisageable.</w:t>
      </w:r>
    </w:p>
    <w:p>
      <w:pPr>
        <w:pStyle w:val="ListParagraph"/>
        <w:numPr>
          <w:ilvl w:val="0"/>
          <w:numId w:val="2"/>
        </w:numPr>
        <w:spacing w:after="80" w:line="276"/>
      </w:pPr>
      <w:r>
        <w:rPr>
          <w:rFonts w:ascii="DM Sans" w:cs="DM Sans" w:eastAsia="DM Sans" w:hAnsi="DM Sans"/>
          <w:color w:val="1A1A1A"/>
          <w:sz w:val="21"/>
          <w:szCs w:val="21"/>
        </w:rPr>
        <w:t xml:space="preserve">Usage des données par l'IA : transparence sur le fait que les réponses sont traitées par Claude (Anthropic). Pas de réutilisation pour l'entraînement (API Anthropic = opt-out par défaut).</w:t>
      </w:r>
    </w:p>
    <w:p>
      <w:r>
        <w:br w:type="page"/>
      </w:r>
    </w:p>
    <w:p>
      <w:pPr>
        <w:pStyle w:val="Heading1"/>
        <w:spacing w:after="120" w:before="360"/>
      </w:pPr>
      <w:r>
        <w:rPr>
          <w:rFonts w:ascii="Montserrat" w:cs="Montserrat" w:eastAsia="Montserrat" w:hAnsi="Montserrat"/>
          <w:b/>
          <w:bCs/>
          <w:color w:val="6B8E8F"/>
          <w:sz w:val="32"/>
          <w:szCs w:val="32"/>
        </w:rPr>
        <w:t xml:space="preserve">6. Sécurité technique minimale pour lancer</w:t>
      </w:r>
    </w:p>
    <w:p>
      <w:pPr>
        <w:pBdr>
          <w:bottom w:val="single" w:color="C8D0C3" w:sz="6" w:space="1"/>
        </w:pBdr>
        <w:spacing w:after="200"/>
      </w:pPr>
    </w:p>
    <w:p>
      <w:pPr>
        <w:spacing w:after="120" w:line="276"/>
        <w:jc w:val="both"/>
      </w:pPr>
      <w:r>
        <w:rPr>
          <w:rFonts w:ascii="DM Sans" w:cs="DM Sans" w:eastAsia="DM Sans" w:hAnsi="DM Sans"/>
          <w:b w:val="false"/>
          <w:bCs w:val="false"/>
          <w:i w:val="false"/>
          <w:iCs w:val="false"/>
          <w:color w:val="1A1A1A"/>
          <w:sz w:val="21"/>
          <w:szCs w:val="21"/>
        </w:rPr>
        <w:t xml:space="preserve">L'objectif n'est pas la sécurité parfaite mais la sécurité suffisante pour lancer un MVP commercial sans risque juridique ou réputationnel majeur.</w:t>
      </w:r>
    </w:p>
    <w:p>
      <w:pPr>
        <w:pStyle w:val="Heading2"/>
        <w:spacing w:after="100" w:before="240"/>
      </w:pPr>
      <w:r>
        <w:rPr>
          <w:rFonts w:ascii="Montserrat" w:cs="Montserrat" w:eastAsia="Montserrat" w:hAnsi="Montserrat"/>
          <w:b/>
          <w:bCs/>
          <w:color w:val="1A1A1A"/>
          <w:sz w:val="26"/>
          <w:szCs w:val="26"/>
        </w:rPr>
        <w:t xml:space="preserve">6.1 Authentification utilisateur</w:t>
      </w:r>
    </w:p>
    <w:p>
      <w:pPr>
        <w:pStyle w:val="ListParagraph"/>
        <w:numPr>
          <w:ilvl w:val="0"/>
          <w:numId w:val="2"/>
        </w:numPr>
        <w:spacing w:after="80" w:line="276"/>
      </w:pPr>
      <w:r>
        <w:rPr>
          <w:rFonts w:ascii="DM Sans" w:cs="DM Sans" w:eastAsia="DM Sans" w:hAnsi="DM Sans"/>
          <w:color w:val="1A1A1A"/>
          <w:sz w:val="21"/>
          <w:szCs w:val="21"/>
        </w:rPr>
        <w:t xml:space="preserve">Phase 1 (MVP) : authentification par email + code OTP (One-Time Password). Pas de mot de passe à gérer. Implémentable via Cloudflare Workers + D1 en quelques heures.</w:t>
      </w:r>
    </w:p>
    <w:p>
      <w:pPr>
        <w:pStyle w:val="ListParagraph"/>
        <w:numPr>
          <w:ilvl w:val="0"/>
          <w:numId w:val="2"/>
        </w:numPr>
        <w:spacing w:after="80" w:line="276"/>
      </w:pPr>
      <w:r>
        <w:rPr>
          <w:rFonts w:ascii="DM Sans" w:cs="DM Sans" w:eastAsia="DM Sans" w:hAnsi="DM Sans"/>
          <w:color w:val="1A1A1A"/>
          <w:sz w:val="21"/>
          <w:szCs w:val="21"/>
        </w:rPr>
        <w:t xml:space="preserve">Phase 2 : OAuth (Google, Apple) pour simplifier l'onboarding. Auth0 ou Clerk comme middleware si le volume justifie.</w:t>
      </w:r>
    </w:p>
    <w:p>
      <w:pPr>
        <w:pStyle w:val="ListParagraph"/>
        <w:numPr>
          <w:ilvl w:val="0"/>
          <w:numId w:val="2"/>
        </w:numPr>
        <w:spacing w:after="80" w:line="276"/>
      </w:pPr>
      <w:r>
        <w:rPr>
          <w:rFonts w:ascii="DM Sans" w:cs="DM Sans" w:eastAsia="DM Sans" w:hAnsi="DM Sans"/>
          <w:color w:val="1A1A1A"/>
          <w:sz w:val="21"/>
          <w:szCs w:val="21"/>
        </w:rPr>
        <w:t xml:space="preserve">Phase 3 (B2B) : SSO (SAML/OIDC) pour les clients Enterprise qui exigent l'intégration avec leur annuaire.</w:t>
      </w:r>
    </w:p>
    <w:p>
      <w:pPr>
        <w:pStyle w:val="Heading2"/>
        <w:spacing w:after="100" w:before="240"/>
      </w:pPr>
      <w:r>
        <w:rPr>
          <w:rFonts w:ascii="Montserrat" w:cs="Montserrat" w:eastAsia="Montserrat" w:hAnsi="Montserrat"/>
          <w:b/>
          <w:bCs/>
          <w:color w:val="1A1A1A"/>
          <w:sz w:val="26"/>
          <w:szCs w:val="26"/>
        </w:rPr>
        <w:t xml:space="preserve">6.2 Chiffrement et stockage</w:t>
      </w:r>
    </w:p>
    <w:p>
      <w:pPr>
        <w:pStyle w:val="ListParagraph"/>
        <w:numPr>
          <w:ilvl w:val="0"/>
          <w:numId w:val="2"/>
        </w:numPr>
        <w:spacing w:after="80" w:line="276"/>
      </w:pPr>
      <w:r>
        <w:rPr>
          <w:rFonts w:ascii="DM Sans" w:cs="DM Sans" w:eastAsia="DM Sans" w:hAnsi="DM Sans"/>
          <w:color w:val="1A1A1A"/>
          <w:sz w:val="21"/>
          <w:szCs w:val="21"/>
        </w:rPr>
        <w:t xml:space="preserve">Transit : HTTPS obligatoire (déjà le cas via Cloudflare Workers — TLS 1.3 par défaut).</w:t>
      </w:r>
    </w:p>
    <w:p>
      <w:pPr>
        <w:pStyle w:val="ListParagraph"/>
        <w:numPr>
          <w:ilvl w:val="0"/>
          <w:numId w:val="2"/>
        </w:numPr>
        <w:spacing w:after="80" w:line="276"/>
      </w:pPr>
      <w:r>
        <w:rPr>
          <w:rFonts w:ascii="DM Sans" w:cs="DM Sans" w:eastAsia="DM Sans" w:hAnsi="DM Sans"/>
          <w:color w:val="1A1A1A"/>
          <w:sz w:val="21"/>
          <w:szCs w:val="21"/>
        </w:rPr>
        <w:t xml:space="preserve">Repos : les Brain JSON et données de session stockés en D1 doivent être chiffrés avec AES-256. La clé de chiffrement par utilisateur peut être dérivée de son identifiant + un sel serveur.</w:t>
      </w:r>
    </w:p>
    <w:p>
      <w:pPr>
        <w:pStyle w:val="ListParagraph"/>
        <w:numPr>
          <w:ilvl w:val="0"/>
          <w:numId w:val="2"/>
        </w:numPr>
        <w:spacing w:after="80" w:line="276"/>
      </w:pPr>
      <w:r>
        <w:rPr>
          <w:rFonts w:ascii="DM Sans" w:cs="DM Sans" w:eastAsia="DM Sans" w:hAnsi="DM Sans"/>
          <w:color w:val="1A1A1A"/>
          <w:sz w:val="21"/>
          <w:szCs w:val="21"/>
        </w:rPr>
        <w:t xml:space="preserve">Tokens API : actuellement la Google TTS API key est codée en dur dans le client (état.googleTTSApiKey dans clone-core.js). C'est un risque de sécurité immédiat à corriger — toutes les clés API doivent passer exclusivement par le Worker proxy.</w:t>
      </w:r>
    </w:p>
    <w:p>
      <w:pPr>
        <w:pStyle w:val="Heading2"/>
        <w:spacing w:after="100" w:before="240"/>
      </w:pPr>
      <w:r>
        <w:rPr>
          <w:rFonts w:ascii="Montserrat" w:cs="Montserrat" w:eastAsia="Montserrat" w:hAnsi="Montserrat"/>
          <w:b/>
          <w:bCs/>
          <w:color w:val="1A1A1A"/>
          <w:sz w:val="26"/>
          <w:szCs w:val="26"/>
        </w:rPr>
        <w:t xml:space="preserve">6.3 Paiement — Stripe</w:t>
      </w:r>
    </w:p>
    <w:p>
      <w:pPr>
        <w:pStyle w:val="ListParagraph"/>
        <w:numPr>
          <w:ilvl w:val="0"/>
          <w:numId w:val="2"/>
        </w:numPr>
        <w:spacing w:after="80" w:line="276"/>
      </w:pPr>
      <w:r>
        <w:rPr>
          <w:rFonts w:ascii="DM Sans" w:cs="DM Sans" w:eastAsia="DM Sans" w:hAnsi="DM Sans"/>
          <w:color w:val="1A1A1A"/>
          <w:sz w:val="21"/>
          <w:szCs w:val="21"/>
        </w:rPr>
        <w:t xml:space="preserve">Stripe Checkout pour les paiements unitaires (Discover). Stripe Billing pour les abonnements (Pro, Enterprise).</w:t>
      </w:r>
    </w:p>
    <w:p>
      <w:pPr>
        <w:pStyle w:val="ListParagraph"/>
        <w:numPr>
          <w:ilvl w:val="0"/>
          <w:numId w:val="2"/>
        </w:numPr>
        <w:spacing w:after="80" w:line="276"/>
      </w:pPr>
      <w:r>
        <w:rPr>
          <w:rFonts w:ascii="DM Sans" w:cs="DM Sans" w:eastAsia="DM Sans" w:hAnsi="DM Sans"/>
          <w:color w:val="1A1A1A"/>
          <w:sz w:val="21"/>
          <w:szCs w:val="21"/>
        </w:rPr>
        <w:t xml:space="preserve">Webhook Stripe → Cloudflare Worker pour activer/désactiver les accès.</w:t>
      </w:r>
    </w:p>
    <w:p>
      <w:pPr>
        <w:pStyle w:val="ListParagraph"/>
        <w:numPr>
          <w:ilvl w:val="0"/>
          <w:numId w:val="2"/>
        </w:numPr>
        <w:spacing w:after="80" w:line="276"/>
      </w:pPr>
      <w:r>
        <w:rPr>
          <w:rFonts w:ascii="DM Sans" w:cs="DM Sans" w:eastAsia="DM Sans" w:hAnsi="DM Sans"/>
          <w:color w:val="1A1A1A"/>
          <w:sz w:val="21"/>
          <w:szCs w:val="21"/>
        </w:rPr>
        <w:t xml:space="preserve">Pas de stockage de données de paiement côté application (Stripe gère tout). Conformité PCI-DSS automatique.</w:t>
      </w:r>
    </w:p>
    <w:p>
      <w:pPr>
        <w:pStyle w:val="Heading2"/>
        <w:spacing w:after="100" w:before="240"/>
      </w:pPr>
      <w:r>
        <w:rPr>
          <w:rFonts w:ascii="Montserrat" w:cs="Montserrat" w:eastAsia="Montserrat" w:hAnsi="Montserrat"/>
          <w:b/>
          <w:bCs/>
          <w:color w:val="1A1A1A"/>
          <w:sz w:val="26"/>
          <w:szCs w:val="26"/>
        </w:rPr>
        <w:t xml:space="preserve">6.4 Checklist de sécurité avant lancement</w:t>
      </w:r>
    </w:p>
    <w:p>
      <w:pPr>
        <w:pStyle w:val="ListParagraph"/>
        <w:numPr>
          <w:ilvl w:val="0"/>
          <w:numId w:val="4"/>
        </w:numPr>
        <w:spacing w:after="80" w:line="276"/>
      </w:pPr>
      <w:r>
        <w:rPr>
          <w:rFonts w:ascii="DM Sans" w:cs="DM Sans" w:eastAsia="DM Sans" w:hAnsi="DM Sans"/>
          <w:color w:val="1A1A1A"/>
          <w:sz w:val="21"/>
          <w:szCs w:val="21"/>
        </w:rPr>
        <w:t xml:space="preserve">Retirer la Google TTS API key du code client. La router via le Worker proxy.</w:t>
      </w:r>
    </w:p>
    <w:p>
      <w:pPr>
        <w:pStyle w:val="ListParagraph"/>
        <w:numPr>
          <w:ilvl w:val="0"/>
          <w:numId w:val="4"/>
        </w:numPr>
        <w:spacing w:after="80" w:line="276"/>
      </w:pPr>
      <w:r>
        <w:rPr>
          <w:rFonts w:ascii="DM Sans" w:cs="DM Sans" w:eastAsia="DM Sans" w:hAnsi="DM Sans"/>
          <w:color w:val="1A1A1A"/>
          <w:sz w:val="21"/>
          <w:szCs w:val="21"/>
        </w:rPr>
        <w:t xml:space="preserve">Implémenter l'auth OTP sur le Worker (endpoint /auth/request-code, /auth/verify-code, JWT signé).</w:t>
      </w:r>
    </w:p>
    <w:p>
      <w:pPr>
        <w:pStyle w:val="ListParagraph"/>
        <w:numPr>
          <w:ilvl w:val="0"/>
          <w:numId w:val="4"/>
        </w:numPr>
        <w:spacing w:after="80" w:line="276"/>
      </w:pPr>
      <w:r>
        <w:rPr>
          <w:rFonts w:ascii="DM Sans" w:cs="DM Sans" w:eastAsia="DM Sans" w:hAnsi="DM Sans"/>
          <w:color w:val="1A1A1A"/>
          <w:sz w:val="21"/>
          <w:szCs w:val="21"/>
        </w:rPr>
        <w:t xml:space="preserve">Chiffrer les Brain JSON en D1 (AES-256-GCM, clé dérivée par utilisateur).</w:t>
      </w:r>
    </w:p>
    <w:p>
      <w:pPr>
        <w:pStyle w:val="ListParagraph"/>
        <w:numPr>
          <w:ilvl w:val="0"/>
          <w:numId w:val="4"/>
        </w:numPr>
        <w:spacing w:after="80" w:line="276"/>
      </w:pPr>
      <w:r>
        <w:rPr>
          <w:rFonts w:ascii="DM Sans" w:cs="DM Sans" w:eastAsia="DM Sans" w:hAnsi="DM Sans"/>
          <w:color w:val="1A1A1A"/>
          <w:sz w:val="21"/>
          <w:szCs w:val="21"/>
        </w:rPr>
        <w:t xml:space="preserve">Rate limiting sur le Worker : max 3 sessions/heure par IP, max 100 appels API/minute.</w:t>
      </w:r>
    </w:p>
    <w:p>
      <w:pPr>
        <w:pStyle w:val="ListParagraph"/>
        <w:numPr>
          <w:ilvl w:val="0"/>
          <w:numId w:val="4"/>
        </w:numPr>
        <w:spacing w:after="80" w:line="276"/>
      </w:pPr>
      <w:r>
        <w:rPr>
          <w:rFonts w:ascii="DM Sans" w:cs="DM Sans" w:eastAsia="DM Sans" w:hAnsi="DM Sans"/>
          <w:color w:val="1A1A1A"/>
          <w:sz w:val="21"/>
          <w:szCs w:val="21"/>
        </w:rPr>
        <w:t xml:space="preserve">Logs d'audit : qui a accédé à quel profil, quand (RGPD accountability).</w:t>
      </w:r>
    </w:p>
    <w:p>
      <w:pPr>
        <w:pStyle w:val="ListParagraph"/>
        <w:numPr>
          <w:ilvl w:val="0"/>
          <w:numId w:val="4"/>
        </w:numPr>
        <w:spacing w:after="80" w:line="276"/>
      </w:pPr>
      <w:r>
        <w:rPr>
          <w:rFonts w:ascii="DM Sans" w:cs="DM Sans" w:eastAsia="DM Sans" w:hAnsi="DM Sans"/>
          <w:color w:val="1A1A1A"/>
          <w:sz w:val="21"/>
          <w:szCs w:val="21"/>
        </w:rPr>
        <w:t xml:space="preserve">Page de suppression de données : bouton "Supprimer mon profil" fonctionnel.</w:t>
      </w:r>
    </w:p>
    <w:p>
      <w:pPr>
        <w:pStyle w:val="ListParagraph"/>
        <w:numPr>
          <w:ilvl w:val="0"/>
          <w:numId w:val="4"/>
        </w:numPr>
        <w:spacing w:after="80" w:line="276"/>
      </w:pPr>
      <w:r>
        <w:rPr>
          <w:rFonts w:ascii="DM Sans" w:cs="DM Sans" w:eastAsia="DM Sans" w:hAnsi="DM Sans"/>
          <w:color w:val="1A1A1A"/>
          <w:sz w:val="21"/>
          <w:szCs w:val="21"/>
        </w:rPr>
        <w:t xml:space="preserve">Politique de confidentialité et CGU publiées avant le premier paiement.</w:t>
      </w:r>
    </w:p>
    <w:p>
      <w:r>
        <w:br w:type="page"/>
      </w:r>
    </w:p>
    <w:p>
      <w:pPr>
        <w:pStyle w:val="Heading1"/>
        <w:spacing w:after="120" w:before="360"/>
      </w:pPr>
      <w:r>
        <w:rPr>
          <w:rFonts w:ascii="Montserrat" w:cs="Montserrat" w:eastAsia="Montserrat" w:hAnsi="Montserrat"/>
          <w:b/>
          <w:bCs/>
          <w:color w:val="6B8E8F"/>
          <w:sz w:val="32"/>
          <w:szCs w:val="32"/>
        </w:rPr>
        <w:t xml:space="preserve">7. Plan de lancement</w:t>
      </w:r>
    </w:p>
    <w:p>
      <w:pPr>
        <w:pBdr>
          <w:bottom w:val="single" w:color="C8D0C3" w:sz="6" w:space="1"/>
        </w:pBdr>
        <w:spacing w:after="200"/>
      </w:pPr>
    </w:p>
    <w:p>
      <w:pPr>
        <w:pStyle w:val="Heading2"/>
        <w:spacing w:after="100" w:before="240"/>
      </w:pPr>
      <w:r>
        <w:rPr>
          <w:rFonts w:ascii="Montserrat" w:cs="Montserrat" w:eastAsia="Montserrat" w:hAnsi="Montserrat"/>
          <w:b/>
          <w:bCs/>
          <w:color w:val="1A1A1A"/>
          <w:sz w:val="26"/>
          <w:szCs w:val="26"/>
        </w:rPr>
        <w:t xml:space="preserve">Phase 0 — Préparation technique (4-6 semaines)</w:t>
      </w:r>
    </w:p>
    <w:p>
      <w:pPr>
        <w:spacing w:after="120" w:line="276"/>
        <w:jc w:val="both"/>
      </w:pPr>
      <w:r>
        <w:rPr>
          <w:rFonts w:ascii="DM Sans" w:cs="DM Sans" w:eastAsia="DM Sans" w:hAnsi="DM Sans"/>
          <w:b w:val="false"/>
          <w:bCs w:val="false"/>
          <w:i w:val="false"/>
          <w:iCs w:val="false"/>
          <w:color w:val="1A1A1A"/>
          <w:sz w:val="21"/>
          <w:szCs w:val="21"/>
        </w:rPr>
        <w:t xml:space="preserve">Objectif : transformer le prototype fonctionnel en MVP commercialisable.</w:t>
      </w:r>
    </w:p>
    <w:p>
      <w:pPr>
        <w:pStyle w:val="ListParagraph"/>
        <w:numPr>
          <w:ilvl w:val="0"/>
          <w:numId w:val="5"/>
        </w:numPr>
        <w:spacing w:after="80" w:line="276"/>
      </w:pPr>
      <w:r>
        <w:rPr>
          <w:rFonts w:ascii="DM Sans" w:cs="DM Sans" w:eastAsia="DM Sans" w:hAnsi="DM Sans"/>
          <w:color w:val="1A1A1A"/>
          <w:sz w:val="21"/>
          <w:szCs w:val="21"/>
        </w:rPr>
        <w:t xml:space="preserve">Sécurité : checklist section 6.4 (auth OTP, chiffrement D1, clé API retirée du client).</w:t>
      </w:r>
    </w:p>
    <w:p>
      <w:pPr>
        <w:pStyle w:val="ListParagraph"/>
        <w:numPr>
          <w:ilvl w:val="0"/>
          <w:numId w:val="5"/>
        </w:numPr>
        <w:spacing w:after="80" w:line="276"/>
      </w:pPr>
      <w:r>
        <w:rPr>
          <w:rFonts w:ascii="DM Sans" w:cs="DM Sans" w:eastAsia="DM Sans" w:hAnsi="DM Sans"/>
          <w:color w:val="1A1A1A"/>
          <w:sz w:val="21"/>
          <w:szCs w:val="21"/>
        </w:rPr>
        <w:t xml:space="preserve">Paiement : intégration Stripe Checkout + Billing.</w:t>
      </w:r>
    </w:p>
    <w:p>
      <w:pPr>
        <w:pStyle w:val="ListParagraph"/>
        <w:numPr>
          <w:ilvl w:val="0"/>
          <w:numId w:val="5"/>
        </w:numPr>
        <w:spacing w:after="80" w:line="276"/>
      </w:pPr>
      <w:r>
        <w:rPr>
          <w:rFonts w:ascii="DM Sans" w:cs="DM Sans" w:eastAsia="DM Sans" w:hAnsi="DM Sans"/>
          <w:color w:val="1A1A1A"/>
          <w:sz w:val="21"/>
          <w:szCs w:val="21"/>
        </w:rPr>
        <w:t xml:space="preserve">Landing page : site vitrine avec positionnement clair, démo vidéo de l'interview, exemples de rapports anonymisés.</w:t>
      </w:r>
    </w:p>
    <w:p>
      <w:pPr>
        <w:pStyle w:val="ListParagraph"/>
        <w:numPr>
          <w:ilvl w:val="0"/>
          <w:numId w:val="5"/>
        </w:numPr>
        <w:spacing w:after="80" w:line="276"/>
      </w:pPr>
      <w:r>
        <w:rPr>
          <w:rFonts w:ascii="DM Sans" w:cs="DM Sans" w:eastAsia="DM Sans" w:hAnsi="DM Sans"/>
          <w:color w:val="1A1A1A"/>
          <w:sz w:val="21"/>
          <w:szCs w:val="21"/>
        </w:rPr>
        <w:t xml:space="preserve">Juridique : CGU, mentions légales, politique de confidentialité, disclaimer santé.</w:t>
      </w:r>
    </w:p>
    <w:p>
      <w:pPr>
        <w:pStyle w:val="ListParagraph"/>
        <w:numPr>
          <w:ilvl w:val="0"/>
          <w:numId w:val="5"/>
        </w:numPr>
        <w:spacing w:after="80" w:line="276"/>
      </w:pPr>
      <w:r>
        <w:rPr>
          <w:rFonts w:ascii="DM Sans" w:cs="DM Sans" w:eastAsia="DM Sans" w:hAnsi="DM Sans"/>
          <w:color w:val="1A1A1A"/>
          <w:sz w:val="21"/>
          <w:szCs w:val="21"/>
        </w:rPr>
        <w:t xml:space="preserve">Design : harmoniser l'UI du rapport avec la charte C Concept&amp;Dev (déjà bien avancé sur brain-clinical-report.html).</w:t>
      </w:r>
    </w:p>
    <w:p>
      <w:pPr>
        <w:pStyle w:val="Heading2"/>
        <w:spacing w:after="100" w:before="240"/>
      </w:pPr>
      <w:r>
        <w:rPr>
          <w:rFonts w:ascii="Montserrat" w:cs="Montserrat" w:eastAsia="Montserrat" w:hAnsi="Montserrat"/>
          <w:b/>
          <w:bCs/>
          <w:color w:val="1A1A1A"/>
          <w:sz w:val="26"/>
          <w:szCs w:val="26"/>
        </w:rPr>
        <w:t xml:space="preserve">Phase 1 — Beta privée (4-6 semaines)</w:t>
      </w:r>
    </w:p>
    <w:p>
      <w:pPr>
        <w:spacing w:after="120" w:line="276"/>
        <w:jc w:val="both"/>
      </w:pPr>
      <w:r>
        <w:rPr>
          <w:rFonts w:ascii="DM Sans" w:cs="DM Sans" w:eastAsia="DM Sans" w:hAnsi="DM Sans"/>
          <w:b w:val="false"/>
          <w:bCs w:val="false"/>
          <w:i w:val="false"/>
          <w:iCs w:val="false"/>
          <w:color w:val="1A1A1A"/>
          <w:sz w:val="21"/>
          <w:szCs w:val="21"/>
        </w:rPr>
        <w:t xml:space="preserve">Objectif : valider le produit avec des vrais utilisateurs et collecter des témoignages.</w:t>
      </w:r>
    </w:p>
    <w:p>
      <w:pPr>
        <w:pStyle w:val="ListParagraph"/>
        <w:numPr>
          <w:ilvl w:val="0"/>
          <w:numId w:val="2"/>
        </w:numPr>
        <w:spacing w:after="80" w:line="276"/>
      </w:pPr>
      <w:r>
        <w:rPr>
          <w:rFonts w:ascii="DM Sans" w:cs="DM Sans" w:eastAsia="DM Sans" w:hAnsi="DM Sans"/>
          <w:color w:val="1A1A1A"/>
          <w:sz w:val="21"/>
          <w:szCs w:val="21"/>
        </w:rPr>
        <w:t xml:space="preserve">Recruter 20-30 beta testeurs : réseau personnel (Institut du Couple, Prof de Basse, contacts professionnels), communautés de coaching et développement personnel, LinkedIn.</w:t>
      </w:r>
    </w:p>
    <w:p>
      <w:pPr>
        <w:pStyle w:val="ListParagraph"/>
        <w:numPr>
          <w:ilvl w:val="0"/>
          <w:numId w:val="2"/>
        </w:numPr>
        <w:spacing w:after="80" w:line="276"/>
      </w:pPr>
      <w:r>
        <w:rPr>
          <w:rFonts w:ascii="DM Sans" w:cs="DM Sans" w:eastAsia="DM Sans" w:hAnsi="DM Sans"/>
          <w:color w:val="1A1A1A"/>
          <w:sz w:val="21"/>
          <w:szCs w:val="21"/>
        </w:rPr>
        <w:t xml:space="preserve">Offre beta : accès gratuit en échange d'un feedback structuré (questionnaire post-session) + droit d'utiliser un extrait anonymisé du rapport comme exemple commercial.</w:t>
      </w:r>
    </w:p>
    <w:p>
      <w:pPr>
        <w:pStyle w:val="ListParagraph"/>
        <w:numPr>
          <w:ilvl w:val="0"/>
          <w:numId w:val="2"/>
        </w:numPr>
        <w:spacing w:after="80" w:line="276"/>
      </w:pPr>
      <w:r>
        <w:rPr>
          <w:rFonts w:ascii="DM Sans" w:cs="DM Sans" w:eastAsia="DM Sans" w:hAnsi="DM Sans"/>
          <w:color w:val="1A1A1A"/>
          <w:sz w:val="21"/>
          <w:szCs w:val="21"/>
        </w:rPr>
        <w:t xml:space="preserve">Métriques à suivre : taux de complétion de l'interview (cible &gt; 80%), satisfaction post-rapport (NPS &gt; 40), temps moyen de session, coût API réel par session.</w:t>
      </w:r>
    </w:p>
    <w:p>
      <w:pPr>
        <w:pStyle w:val="ListParagraph"/>
        <w:numPr>
          <w:ilvl w:val="0"/>
          <w:numId w:val="2"/>
        </w:numPr>
        <w:spacing w:after="80" w:line="276"/>
      </w:pPr>
      <w:r>
        <w:rPr>
          <w:rFonts w:ascii="DM Sans" w:cs="DM Sans" w:eastAsia="DM Sans" w:hAnsi="DM Sans"/>
          <w:color w:val="1A1A1A"/>
          <w:sz w:val="21"/>
          <w:szCs w:val="21"/>
        </w:rPr>
        <w:t xml:space="preserve">Itérer sur les retours : ajuster les questions, le ton du rapport, les visualisations.</w:t>
      </w:r>
    </w:p>
    <w:p>
      <w:pPr>
        <w:pStyle w:val="Heading2"/>
        <w:spacing w:after="100" w:before="240"/>
      </w:pPr>
      <w:r>
        <w:rPr>
          <w:rFonts w:ascii="Montserrat" w:cs="Montserrat" w:eastAsia="Montserrat" w:hAnsi="Montserrat"/>
          <w:b/>
          <w:bCs/>
          <w:color w:val="1A1A1A"/>
          <w:sz w:val="26"/>
          <w:szCs w:val="26"/>
        </w:rPr>
        <w:t xml:space="preserve">Phase 2 — Lancement public Discover (M3-M4)</w:t>
      </w:r>
    </w:p>
    <w:p>
      <w:pPr>
        <w:spacing w:after="120" w:line="276"/>
        <w:jc w:val="both"/>
      </w:pPr>
      <w:r>
        <w:rPr>
          <w:rFonts w:ascii="DM Sans" w:cs="DM Sans" w:eastAsia="DM Sans" w:hAnsi="DM Sans"/>
          <w:b w:val="false"/>
          <w:bCs w:val="false"/>
          <w:i w:val="false"/>
          <w:iCs w:val="false"/>
          <w:color w:val="1A1A1A"/>
          <w:sz w:val="21"/>
          <w:szCs w:val="21"/>
        </w:rPr>
        <w:t xml:space="preserve">Objectif : premières ventes, premiers revenus, validation du pricing.</w:t>
      </w:r>
    </w:p>
    <w:p>
      <w:pPr>
        <w:pStyle w:val="ListParagraph"/>
        <w:numPr>
          <w:ilvl w:val="0"/>
          <w:numId w:val="2"/>
        </w:numPr>
        <w:spacing w:after="80" w:line="276"/>
      </w:pPr>
      <w:r>
        <w:rPr>
          <w:rFonts w:ascii="DM Sans" w:cs="DM Sans" w:eastAsia="DM Sans" w:hAnsi="DM Sans"/>
          <w:color w:val="1A1A1A"/>
          <w:sz w:val="21"/>
          <w:szCs w:val="21"/>
        </w:rPr>
        <w:t xml:space="preserve">Canal principal : LinkedIn (Christophe a un réseau coaching/thérapie/RH). Posts réguliers montrant des extraits de rapports anonymisés, des insights de conception, le positionnement versus MBTI/DISC.</w:t>
      </w:r>
    </w:p>
    <w:p>
      <w:pPr>
        <w:pStyle w:val="ListParagraph"/>
        <w:numPr>
          <w:ilvl w:val="0"/>
          <w:numId w:val="2"/>
        </w:numPr>
        <w:spacing w:after="80" w:line="276"/>
      </w:pPr>
      <w:r>
        <w:rPr>
          <w:rFonts w:ascii="DM Sans" w:cs="DM Sans" w:eastAsia="DM Sans" w:hAnsi="DM Sans"/>
          <w:color w:val="1A1A1A"/>
          <w:sz w:val="21"/>
          <w:szCs w:val="21"/>
        </w:rPr>
        <w:t xml:space="preserve">Canal secondaire : Instagram/TikTok (extraits visuels du rapport, "ce que l'IA voit de votre personnalité en 40 minutes").</w:t>
      </w:r>
    </w:p>
    <w:p>
      <w:pPr>
        <w:pStyle w:val="ListParagraph"/>
        <w:numPr>
          <w:ilvl w:val="0"/>
          <w:numId w:val="2"/>
        </w:numPr>
        <w:spacing w:after="80" w:line="276"/>
      </w:pPr>
      <w:r>
        <w:rPr>
          <w:rFonts w:ascii="DM Sans" w:cs="DM Sans" w:eastAsia="DM Sans" w:hAnsi="DM Sans"/>
          <w:color w:val="1A1A1A"/>
          <w:sz w:val="21"/>
          <w:szCs w:val="21"/>
        </w:rPr>
        <w:t xml:space="preserve">Partenariats : proposer à 5-10 coachs/thérapeutes de tester gratuitement l'offre Pro en échange de recommandations clients.</w:t>
      </w:r>
    </w:p>
    <w:p>
      <w:pPr>
        <w:pStyle w:val="ListParagraph"/>
        <w:numPr>
          <w:ilvl w:val="0"/>
          <w:numId w:val="2"/>
        </w:numPr>
        <w:spacing w:after="80" w:line="276"/>
      </w:pPr>
      <w:r>
        <w:rPr>
          <w:rFonts w:ascii="DM Sans" w:cs="DM Sans" w:eastAsia="DM Sans" w:hAnsi="DM Sans"/>
          <w:color w:val="1A1A1A"/>
          <w:sz w:val="21"/>
          <w:szCs w:val="21"/>
        </w:rPr>
        <w:t xml:space="preserve">Pricing A/B : tester 29€ vs 39€ vs 49€ pour trouver le point optimal.</w:t>
      </w:r>
    </w:p>
    <w:p>
      <w:pPr>
        <w:pStyle w:val="Heading2"/>
        <w:spacing w:after="100" w:before="240"/>
      </w:pPr>
      <w:r>
        <w:rPr>
          <w:rFonts w:ascii="Montserrat" w:cs="Montserrat" w:eastAsia="Montserrat" w:hAnsi="Montserrat"/>
          <w:b/>
          <w:bCs/>
          <w:color w:val="1A1A1A"/>
          <w:sz w:val="26"/>
          <w:szCs w:val="26"/>
        </w:rPr>
        <w:t xml:space="preserve">Phase 3 — Expansion Pro et Enterprise (M6+)</w:t>
      </w:r>
    </w:p>
    <w:p>
      <w:pPr>
        <w:pStyle w:val="ListParagraph"/>
        <w:numPr>
          <w:ilvl w:val="0"/>
          <w:numId w:val="2"/>
        </w:numPr>
        <w:spacing w:after="80" w:line="276"/>
      </w:pPr>
      <w:r>
        <w:rPr>
          <w:rFonts w:ascii="DM Sans" w:cs="DM Sans" w:eastAsia="DM Sans" w:hAnsi="DM Sans"/>
          <w:color w:val="1A1A1A"/>
          <w:sz w:val="21"/>
          <w:szCs w:val="21"/>
        </w:rPr>
        <w:t xml:space="preserve">Offre Pro : onboarding structuré pour les praticiens. Documentation d'interprétation du rapport. Support par email.</w:t>
      </w:r>
    </w:p>
    <w:p>
      <w:pPr>
        <w:pStyle w:val="ListParagraph"/>
        <w:numPr>
          <w:ilvl w:val="0"/>
          <w:numId w:val="2"/>
        </w:numPr>
        <w:spacing w:after="80" w:line="276"/>
      </w:pPr>
      <w:r>
        <w:rPr>
          <w:rFonts w:ascii="DM Sans" w:cs="DM Sans" w:eastAsia="DM Sans" w:hAnsi="DM Sans"/>
          <w:color w:val="1A1A1A"/>
          <w:sz w:val="21"/>
          <w:szCs w:val="21"/>
        </w:rPr>
        <w:t xml:space="preserve">Offre Enterprise : premiers contacts avec des cabinets RH et organismes de formation. Démonstrations personnalisées. Adaptation marque blanche.</w:t>
      </w:r>
    </w:p>
    <w:p>
      <w:pPr>
        <w:pStyle w:val="ListParagraph"/>
        <w:numPr>
          <w:ilvl w:val="0"/>
          <w:numId w:val="2"/>
        </w:numPr>
        <w:spacing w:after="80" w:line="276"/>
      </w:pPr>
      <w:r>
        <w:rPr>
          <w:rFonts w:ascii="DM Sans" w:cs="DM Sans" w:eastAsia="DM Sans" w:hAnsi="DM Sans"/>
          <w:color w:val="1A1A1A"/>
          <w:sz w:val="21"/>
          <w:szCs w:val="21"/>
        </w:rPr>
        <w:t xml:space="preserve">Produit : version anglaise de l'interview et du rapport (marché x10). Dashboard multi-profils pour les offres B2B.</w:t>
      </w:r>
    </w:p>
    <w:p>
      <w:r>
        <w:br w:type="page"/>
      </w:r>
    </w:p>
    <w:p>
      <w:pPr>
        <w:pStyle w:val="Heading1"/>
        <w:spacing w:after="120" w:before="360"/>
      </w:pPr>
      <w:r>
        <w:rPr>
          <w:rFonts w:ascii="Montserrat" w:cs="Montserrat" w:eastAsia="Montserrat" w:hAnsi="Montserrat"/>
          <w:b/>
          <w:bCs/>
          <w:color w:val="6B8E8F"/>
          <w:sz w:val="32"/>
          <w:szCs w:val="32"/>
        </w:rPr>
        <w:t xml:space="preserve">8. Risques et mitigations</w:t>
      </w:r>
    </w:p>
    <w:p>
      <w:pPr>
        <w:pBdr>
          <w:bottom w:val="single" w:color="C8D0C3" w:sz="6"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left"/>
            </w:pPr>
            <w:r>
              <w:rPr>
                <w:rFonts w:ascii="DM Sans" w:cs="DM Sans" w:eastAsia="DM Sans" w:hAnsi="DM Sans"/>
                <w:b/>
                <w:bCs/>
                <w:color w:val="FFFFFF"/>
                <w:sz w:val="19"/>
                <w:szCs w:val="19"/>
              </w:rPr>
              <w:t xml:space="preserve">Risque</w:t>
            </w:r>
          </w:p>
        </w:tc>
        <w:tc>
          <w:tcPr>
            <w:tcW w:type="dxa" w:w="20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Impact</w:t>
            </w:r>
          </w:p>
        </w:tc>
        <w:tc>
          <w:tcPr>
            <w:tcW w:type="dxa" w:w="4426"/>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left"/>
            </w:pPr>
            <w:r>
              <w:rPr>
                <w:rFonts w:ascii="DM Sans" w:cs="DM Sans" w:eastAsia="DM Sans" w:hAnsi="DM Sans"/>
                <w:b/>
                <w:bCs/>
                <w:color w:val="FFFFFF"/>
                <w:sz w:val="19"/>
                <w:szCs w:val="19"/>
              </w:rPr>
              <w:t xml:space="preserve">Mitigation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Augmentation des prix API Anthropic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Moyen</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Marges &gt; 95% absorbent un x3-x5 sur les coûts API. Architecture provider-agnostic (branch OpenAI déjà dans le Worker). Migration vers un modèle moins cher (Haiku) pour les étapes non critiques.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Contestation de la validité psychométrique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Élevé</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Positionner comme "outil exploratoire de connaissance de soi" et non comme test psychométrique validé. La convergence multi-sources et les scores de confiance sont des arguments forts. Envisager une validation par un psychologue du travail.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Concurrence (tests de personnalité 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Moyen</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Barrière technologique élevée : 37 000+ lignes de code, schéma CLONE-PERSONALITY-1.0, convergence multi-sources, 12 sections de rapport clinique. Le clone conversationnel en sortie est un différenciateur unique et difficilement réplicable.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Problème RGPD / plainte utilisateur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Élevé</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Pas de données de santé = pas d'HDS. Consentement explicite. Droit à l'effacement implémenté dès le MVP. Documentation RGPD propre dès le lancement.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Dépendance solo (bus factor = 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Élevé</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Architecture modulaire (4 fichiers JS séparés) facilite l'onboarding d'un développeur. Code documenté. GitHub CI/CD en place. À terme : recruter un CTO technique si passage en SAS.</w:t>
            </w:r>
          </w:p>
        </w:tc>
      </w:tr>
    </w:tbl>
    <w:p>
      <w:pPr>
        <w:spacing w:after="200"/>
      </w:pPr>
    </w:p>
    <w:p>
      <w:pPr>
        <w:pStyle w:val="Heading1"/>
        <w:spacing w:after="120" w:before="360"/>
      </w:pPr>
      <w:r>
        <w:rPr>
          <w:rFonts w:ascii="Montserrat" w:cs="Montserrat" w:eastAsia="Montserrat" w:hAnsi="Montserrat"/>
          <w:b/>
          <w:bCs/>
          <w:color w:val="6B8E8F"/>
          <w:sz w:val="32"/>
          <w:szCs w:val="32"/>
        </w:rPr>
        <w:t xml:space="preserve">9. Prochaines étapes immédiates</w:t>
      </w:r>
    </w:p>
    <w:p>
      <w:pPr>
        <w:pBdr>
          <w:bottom w:val="single" w:color="C8D0C3" w:sz="6" w:space="1"/>
        </w:pBdr>
        <w:spacing w:after="200"/>
      </w:pPr>
    </w:p>
    <w:p>
      <w:pPr>
        <w:spacing w:after="120" w:line="276"/>
        <w:jc w:val="both"/>
      </w:pPr>
      <w:r>
        <w:rPr>
          <w:rFonts w:ascii="DM Sans" w:cs="DM Sans" w:eastAsia="DM Sans" w:hAnsi="DM Sans"/>
          <w:b w:val="false"/>
          <w:bCs w:val="false"/>
          <w:i w:val="false"/>
          <w:iCs w:val="false"/>
          <w:color w:val="1A1A1A"/>
          <w:sz w:val="21"/>
          <w:szCs w:val="21"/>
        </w:rPr>
        <w:t xml:space="preserve">Actions prioritaires pour les 2 prochaines semaines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200"/>
        <w:gridCol w:w="2226"/>
      </w:tblGrid>
      <w:tr>
        <w:tc>
          <w:tcPr>
            <w:tcW w:type="dxa" w:w="6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w:t>
            </w:r>
          </w:p>
        </w:tc>
        <w:tc>
          <w:tcPr>
            <w:tcW w:type="dxa" w:w="40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left"/>
            </w:pPr>
            <w:r>
              <w:rPr>
                <w:rFonts w:ascii="DM Sans" w:cs="DM Sans" w:eastAsia="DM Sans" w:hAnsi="DM Sans"/>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Priorité</w:t>
            </w:r>
          </w:p>
        </w:tc>
        <w:tc>
          <w:tcPr>
            <w:tcW w:type="dxa" w:w="2226"/>
            <w:tcBorders>
              <w:top w:val="single" w:color="CCCCCC" w:sz="1"/>
              <w:left w:val="single" w:color="CCCCCC" w:sz="1"/>
              <w:bottom w:val="single" w:color="CCCCCC" w:sz="1"/>
              <w:right w:val="single" w:color="CCCCCC" w:sz="1"/>
            </w:tcBorders>
            <w:shd w:fill="6B8E8F" w:val="clear"/>
            <w:tcMar>
              <w:top w:type="dxa" w:w="60"/>
              <w:left w:type="dxa" w:w="100"/>
              <w:bottom w:type="dxa" w:w="60"/>
              <w:right w:type="dxa" w:w="100"/>
            </w:tcMar>
          </w:tcPr>
          <w:p>
            <w:pPr>
              <w:jc w:val="center"/>
            </w:pPr>
            <w:r>
              <w:rPr>
                <w:rFonts w:ascii="DM Sans" w:cs="DM Sans" w:eastAsia="DM Sans" w:hAnsi="DM Sans"/>
                <w:b/>
                <w:bCs/>
                <w:color w:val="FFFFFF"/>
                <w:sz w:val="19"/>
                <w:szCs w:val="19"/>
              </w:rPr>
              <w:t xml:space="preserve">Complexité</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Retirer la Google TTS API key du code client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A0522D"/>
                <w:sz w:val="19"/>
                <w:szCs w:val="19"/>
              </w:rPr>
              <w:t xml:space="preserve">P0 — CRITIQUE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30 min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Implémenter auth OTP sur le Worker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A0522D"/>
                <w:sz w:val="19"/>
                <w:szCs w:val="19"/>
              </w:rPr>
              <w:t xml:space="preserve">P0 — CRITIQUE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1-2 jours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Intégration Stripe Checkout (Discover)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B8860B"/>
                <w:sz w:val="19"/>
                <w:szCs w:val="19"/>
              </w:rPr>
              <w:t xml:space="preserve">P1 — HAUTE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1-2 jours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Landing page (positionnement + démo)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B8860B"/>
                <w:sz w:val="19"/>
                <w:szCs w:val="19"/>
              </w:rPr>
              <w:t xml:space="preserve">P1 — HAUTE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2-3 jours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CGU + Mentions légales + Politique confidentialité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B8860B"/>
                <w:sz w:val="19"/>
                <w:szCs w:val="19"/>
              </w:rPr>
              <w:t xml:space="preserve">P1 — HAUTE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 jour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Recruter 20 beta testeurs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B8860B"/>
                <w:sz w:val="19"/>
                <w:szCs w:val="19"/>
              </w:rPr>
              <w:t xml:space="preserve">P1 — HAUTE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En continu</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DM Sans" w:cs="DM Sans" w:eastAsia="DM Sans" w:hAnsi="DM Sans"/>
                <w:b w:val="false"/>
                <w:bCs w:val="false"/>
                <w:color w:val="1A1A1A"/>
                <w:sz w:val="19"/>
                <w:szCs w:val="19"/>
              </w:rPr>
              <w:t xml:space="preserve">Chiffrement AES-256 des Brain JSON en D1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bCs/>
                <w:color w:val="1A1A1A"/>
                <w:sz w:val="19"/>
                <w:szCs w:val="19"/>
              </w:rPr>
              <w:t xml:space="preserve">P2 — MOYENNE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DM Sans" w:cs="DM Sans" w:eastAsia="DM Sans" w:hAnsi="DM Sans"/>
                <w:b w:val="false"/>
                <w:bCs w:val="false"/>
                <w:color w:val="1A1A1A"/>
                <w:sz w:val="19"/>
                <w:szCs w:val="19"/>
              </w:rPr>
              <w:t xml:space="preserve">1 jour</w:t>
            </w:r>
          </w:p>
        </w:tc>
      </w:tr>
    </w:tbl>
    <w:p>
      <w:pPr>
        <w:spacing w:after="300"/>
      </w:pPr>
    </w:p>
    <w:p>
      <w:pPr>
        <w:pBdr>
          <w:bottom w:val="single" w:color="8FAFB1" w:sz="6" w:space="1"/>
        </w:pBdr>
        <w:spacing w:after="200"/>
      </w:pPr>
    </w:p>
    <w:p>
      <w:pPr>
        <w:spacing w:after="80"/>
        <w:jc w:val="center"/>
      </w:pPr>
      <w:r>
        <w:rPr>
          <w:rFonts w:ascii="DM Sans" w:cs="DM Sans" w:eastAsia="DM Sans" w:hAnsi="DM Sans"/>
          <w:i/>
          <w:iCs/>
          <w:color w:val="555555"/>
          <w:sz w:val="20"/>
          <w:szCs w:val="20"/>
        </w:rPr>
        <w:t xml:space="preserve">Ce document est un cadre de travail évolutif. Chaque section sera approfondie au fur et à mesure de l'avancement.</w:t>
      </w:r>
    </w:p>
    <w:p>
      <w:pPr>
        <w:jc w:val="center"/>
      </w:pPr>
      <w:r>
        <w:rPr>
          <w:rFonts w:ascii="Montserrat" w:cs="Montserrat" w:eastAsia="Montserrat" w:hAnsi="Montserrat"/>
          <w:color w:val="6B8E8F"/>
          <w:sz w:val="18"/>
          <w:szCs w:val="18"/>
        </w:rPr>
        <w:t xml:space="preserve">C Concept&amp;Dev — Christophe BONNET —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5555"/>
        <w:sz w:val="14"/>
        <w:szCs w:val="14"/>
      </w:rPr>
      <w:t xml:space="preserve">Confidentiel — C Concept&amp;Dev —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DBB" w:sz="2" w:space="4"/>
      </w:pBdr>
    </w:pPr>
    <w:r>
      <w:rPr>
        <w:rFonts w:ascii="DM Sans" w:cs="DM Sans" w:eastAsia="DM Sans" w:hAnsi="DM Sans"/>
        <w:i/>
        <w:iCs/>
        <w:color w:val="555555"/>
        <w:sz w:val="16"/>
        <w:szCs w:val="16"/>
      </w:rPr>
      <w:t xml:space="preserve">C Concept&amp;Dev — Stratégie commerciale Clone Interview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ontserrat" w:cs="Montserrat" w:eastAsia="Montserrat" w:hAnsi="Montserrat"/>
      <w:b/>
      <w:bCs/>
      <w:color w:val="6B8E8F"/>
      <w:sz w:val="32"/>
      <w:szCs w:val="32"/>
    </w:rPr>
  </w:style>
  <w:style w:type="paragraph" w:styleId="Heading2">
    <w:name w:val="Heading 2"/>
    <w:basedOn w:val="Normal"/>
    <w:next w:val="Normal"/>
    <w:qFormat/>
    <w:pPr>
      <w:spacing w:after="100" w:before="240"/>
      <w:outlineLvl w:val="1"/>
    </w:pPr>
    <w:rPr>
      <w:rFonts w:ascii="Montserrat" w:cs="Montserrat" w:eastAsia="Montserrat" w:hAnsi="Montserrat"/>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2026-03-21T04:05:50.280Z</dcterms:created>
  <dcterms:modified xsi:type="dcterms:W3CDTF">2026-03-21T04:05:50.281Z</dcterms:modified>
</cp:coreProperties>
</file>

<file path=docProps/custom.xml><?xml version="1.0" encoding="utf-8"?>
<Properties xmlns="http://schemas.openxmlformats.org/officeDocument/2006/custom-properties" xmlns:vt="http://schemas.openxmlformats.org/officeDocument/2006/docPropsVTypes"/>
</file>