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2"/>
          <w:sz w:val="36"/>
        </w:rPr>
        <w:t>Carta de remisión y solicitud de alineación técnica-operativa</w:t>
      </w:r>
    </w:p>
    <w:p>
      <w:pPr>
        <w:jc w:val="center"/>
      </w:pPr>
      <w:r>
        <w:rPr>
          <w:color w:val="505050"/>
          <w:sz w:val="18"/>
        </w:rPr>
        <w:t>Proceso CEL-CFU 02/26 - Piloto de Pronostico Hidrologico Avanzado basado en IA</w:t>
      </w:r>
    </w:p>
    <w:p>
      <w:pPr>
        <w:jc w:val="center"/>
      </w:pPr>
      <w:r>
        <w:rPr>
          <w:i/>
          <w:sz w:val="18"/>
        </w:rPr>
        <w:t>Versión final para revisión formal | 20 de mayo de 2026</w:t>
      </w:r>
    </w:p>
    <w:p/>
    <w:p>
      <w:pPr>
        <w:jc w:val="right"/>
      </w:pPr>
      <w:r>
        <w:t>San Salvador, El Salvador, 20 de mayo de 2026</w:t>
      </w:r>
    </w:p>
    <w:p>
      <w:r>
        <w:t>Señores</w:t>
        <w:br/>
        <w:t>COMISIÓN EJECUTIVA HIDROELÉCTRICA DEL RÍO LEMPA (CEL)</w:t>
        <w:br/>
        <w:t>Presente.</w:t>
      </w:r>
    </w:p>
    <w:p>
      <w:r>
        <w:rPr>
          <w:b/>
        </w:rPr>
        <w:t xml:space="preserve">Referencia: </w:t>
      </w:r>
      <w:r>
        <w:t xml:space="preserve">Proceso CEL-CFU 02/26 - Servicios especializados para el desarrollo de un plan piloto de pronóstico hidrológico avanzado basado en inteligencia artificial. </w:t>
      </w:r>
      <w:r>
        <w:rPr>
          <w:b/>
        </w:rPr>
        <w:t xml:space="preserve">Asunto: </w:t>
      </w:r>
      <w:r>
        <w:t>Alineación técnica-operativa de infraestructura, BOM HW/SW, Fase 0, handoff y responsabilidades frente a la plataforma adquirida por CEL.</w:t>
      </w:r>
    </w:p>
    <w:p>
      <w:r>
        <w:t>Estimados señores:</w:t>
      </w:r>
    </w:p>
    <w:p>
      <w:pPr>
        <w:spacing w:after="100"/>
        <w:jc w:val="both"/>
      </w:pPr>
      <w:r>
        <w:t>Por medio de la presente, y con el debido respeto, se remite el paquete final de revisión formal de alineación técnica-operativa para el AI Silo y la Fase 0 del proyecto. El objetivo es dejar una fuente de verdad operativa clara frente a la plataforma de infraestructura adquirida por CEL mediante Martinexsa/Dell, sin alterar el alcance contractual pactado en el DSP del proceso CEL-CFU 02/26.</w:t>
      </w:r>
    </w:p>
    <w:p>
      <w:pPr>
        <w:spacing w:after="100"/>
        <w:jc w:val="both"/>
      </w:pPr>
      <w:r>
        <w:t>La propuesta técnica/contractual del proceso CEL-CFU 02/26 contiene una arquitectura de referencia para un silo local de IA. Dicha arquitectura cumplió una función válida de dimensionamiento y formulación del piloto; sin embargo, la adquisición posterior de CEL materializa una plataforma física distinta y más amplia. Por tanto, las referencias al BOM físico original deben tratarse como antecedente técnico y no como la arquitectura vigente de ejecución.</w:t>
      </w:r>
    </w:p>
    <w:p>
      <w:pPr>
        <w:spacing w:after="100"/>
        <w:jc w:val="both"/>
      </w:pPr>
      <w:r>
        <w:t>Esta alineación no constituye ampliación tácita del alcance, precio, plazo, garantías, soporte, administración de infraestructura ni operación continua de la Consultora. La Consultora se mantiene obligada a ejecutar el piloto de pronóstico hidrológico basado en IA conforme al DSP, sus entregables, cronograma, metodología y matriz de responsabilidades, consumiendo la infraestructura que CEL ponga a disposición como entorno habilitante.</w:t>
      </w:r>
    </w:p>
    <w:p>
      <w:pPr>
        <w:spacing w:after="100"/>
        <w:jc w:val="both"/>
      </w:pPr>
      <w:r>
        <w:t>La infraestructura adquirida por CEL debe quedar bajo responsabilidad de CEL, su área de Informática/Seguridad, Martinexsa/Dell y/o los proveedores designados en todo lo relativo a adquisición, entrega, instalación física, rack, energía, cooling, cableado, switch, VLANs, firewall, VPN/bastion, iDRAC, firmware, sistema operativo base, drivers, GPU/NVIDIA stack, NAS/File Server, licencias, garantías, soporte del fabricante, backups institucionales, hardening corporativo y administración continua.</w:t>
      </w:r>
    </w:p>
    <w:p>
      <w:pPr>
        <w:spacing w:after="100"/>
        <w:jc w:val="both"/>
      </w:pPr>
      <w:r>
        <w:t>La Consultora asume el diseño, implementación y validación funcional del stack del piloto dentro del entorno autorizado: Mage como capa central de orquestación; Python y librerías IA/GIS; PostgreSQL/PostGIS; MongoDB; repositorio Git; pipelines ETL/QA-QC; modelo hidrológico IA; componentes de inundación; API/dashboard; alertas; documentación; certificación funcional de Fase 0; y transferencia de conocimiento, todo dentro de los límites del DSP.</w:t>
      </w:r>
    </w:p>
    <w:p>
      <w:pPr>
        <w:spacing w:after="100"/>
        <w:jc w:val="both"/>
      </w:pPr>
      <w:r>
        <w:t>Debe quedar expresamente reconocido que Mage sustituye las referencias previas a Pentaho y Grafana para el plano operativo del piloto. Mage será la capa de scheduling, DAGs, logs, retries, estado de ejecuciones, trazabilidad y observabilidad operacional de pipelines. Este plano no sustituye un SIEM, NOC, monitoreo 24/7, observabilidad corporativa de data center ni herramientas de administración continua de la infraestructura Dell.</w:t>
      </w:r>
    </w:p>
    <w:p>
      <w:pPr>
        <w:spacing w:after="100"/>
        <w:jc w:val="both"/>
      </w:pPr>
      <w:r>
        <w:t>Asimismo, la ejecución técnica plena de Fase 0 debe iniciar únicamente cuando CEL/proveedor entregue un entorno mínimo instalado, accesible, documentado y verificable. La orden administrativa de inicio puede habilitar planificación, coordinación y preparación documental, pero no sustituye el handoff técnico necesario para ejecutar pruebas, configurar servicios o certificar el entorno operacional del piloto.</w:t>
      </w:r>
    </w:p>
    <w:p>
      <w:pPr>
        <w:spacing w:after="100"/>
        <w:jc w:val="both"/>
      </w:pPr>
      <w:r>
        <w:t>Se solicita a CEL revisar y confirmar el paquete adjunto, incluyendo: (i) Anexo Técnico Consolidado; (ii) BOM HW/SW actualizado; (iii) Documento de Handoff e Información Requerida; (iv) diagramas para revisión formal; (v) matriz RACI operativa; y (vi) One-Page Meeting Brief para sesión de cierre de decisiones. Esta formalización protege a ambas partes: a CEL, porque actualiza la fuente técnica de ejecución; y a la Consultora, porque evita que brechas de adquisición, plataforma o administración institucional se trasladen indebidamente al alcance del piloto funcional.</w:t>
      </w:r>
    </w:p>
    <w:p>
      <w:pPr>
        <w:spacing w:after="100"/>
        <w:jc w:val="both"/>
      </w:pPr>
      <w:r>
        <w:t>Se solicita, de manera específica, confirmar por escrito: la arquitectura final entregada; GPU efectiva; ubicación de Mage, PostgreSQL/PostGIS, MongoDB, API y dashboard; mecanismo de acceso remoto; rutas NAS/volúmenes; credenciales y permisos; política de backups; egress a fuentes externas; acceso read-only a fuentes internas; canales SMTP/SMS; contactos de escalación; y firmantes del acta de readiness de Fase 0.</w:t>
      </w:r>
    </w:p>
    <w:p>
      <w:pPr>
        <w:spacing w:after="100"/>
        <w:jc w:val="both"/>
      </w:pPr>
      <w:r>
        <w:t>Cualquier componente, servicio, integración o expectativa que exceda el DSP y el alcance funcional del piloto deberá formalizarse mediante adenda, orden de cambio o contratación separada, con sus respectivos entregables, responsables, plazos y compensación. No es técnica ni contractualmente sostenible que una adquisición posterior, más amplia y distinta, desplace de forma tácita obligaciones de data center hacia una consultoría especializada en IA e ingeniería de datos.</w:t>
      </w:r>
    </w:p>
    <w:p>
      <w:r>
        <w:t>Atentamente,</w:t>
      </w:r>
    </w:p>
    <w:p>
      <w:r>
        <w:br/>
        <w:t>Camila Alejandra Cruz Hernández</w:t>
        <w:br/>
        <w:t>Consultora en Ciencia de Datos, Ingeniería de Machine Learning e Inteligencia Artificial</w:t>
        <w:br/>
        <w:t>C² Labs</w:t>
      </w:r>
    </w:p>
    <w:p>
      <w:r>
        <w:br/>
        <w:t>Anexos: Anexo Técnico Consolidado; BOM HW/SW actualizado; Handoff CEL/TI/Martinexsa; Deck ejecutivo; diagramas y Mermaid editable.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01 Carta Formal Remision Alineacion AI Silo Fase0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7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Carta Formal Remision Alineacion AI Silo Fase0</dc:title>
  <dc:subject>AI Silo / Fase 0 - CEL-CFU 02/26</dc:subject>
  <dc:creator>C² Labs</dc:creator>
  <cp:keywords>CEL, AI Silo, Fase 0, C² Labs, Martinexsa, Dell, Mage</cp:keywords>
  <dc:description/>
  <cp:lastModifiedBy>C² Labs</cp:lastModifiedBy>
  <cp:revision>1</cp:revision>
  <dcterms:created xsi:type="dcterms:W3CDTF">2013-12-23T23:15:00Z</dcterms:created>
  <dcterms:modified xsi:type="dcterms:W3CDTF">2013-12-23T23:15:00Z</dcterms:modified>
  <cp:category/>
</cp:coreProperties>
</file>