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742"/>
          <w:sz w:val="36"/>
        </w:rPr>
        <w:t>Handoff CEL/TI/Martinexsa - Información requerida para Fase 0</w:t>
      </w:r>
    </w:p>
    <w:p>
      <w:pPr>
        <w:jc w:val="center"/>
      </w:pPr>
      <w:r>
        <w:rPr>
          <w:color w:val="505050"/>
          <w:sz w:val="18"/>
        </w:rPr>
        <w:t>Proceso CEL-CFU 02/26 - Piloto de Pronostico Hidrologico Avanzado basado en IA</w:t>
      </w:r>
    </w:p>
    <w:p>
      <w:pPr>
        <w:jc w:val="center"/>
      </w:pPr>
      <w:r>
        <w:rPr>
          <w:i/>
          <w:sz w:val="18"/>
        </w:rPr>
        <w:t>Versión final para revisión formal | 20 de mayo de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6"/>
          </w:tcPr>
          <w:p>
            <w:r/>
            <w:r>
              <w:rPr>
                <w:b/>
                <w:sz w:val="20"/>
              </w:rPr>
              <w:t>Uso del documento</w:t>
            </w:r>
          </w:p>
          <w:p>
            <w:r>
              <w:rPr>
                <w:sz w:val="18"/>
              </w:rPr>
              <w:t>Este checklist debe funcionar como instrumento de reunión. Los ítems son condiciones habilitantes para ejecutar Fase 0, no entregables de la Consultora. Cada pendiente debe quedar asignado, fechado o aceptado como waiver por CEL.</w:t>
            </w:r>
          </w:p>
        </w:tc>
      </w:tr>
    </w:tbl>
    <w:p/>
    <w:p>
      <w:pPr>
        <w:pStyle w:val="Heading1"/>
      </w:pPr>
      <w:r>
        <w:t>1. Principio operativo</w:t>
      </w:r>
    </w:p>
    <w:p>
      <w:pPr>
        <w:jc w:val="both"/>
      </w:pPr>
      <w:r>
        <w:t>La Consultora puede preparar scripts, diseño, documentación y coordinación desde la orden de inicio; sin embargo, la ejecución técnica plena y certificación de Fase 0 dependen de que CEL/proveedor entregue un entorno instalado, accesible, documentado y verificable. Los bloqueos asociados a infraestructura, red, soporte, licenciamiento, permisos o accesos deben registrarse como dependencias del Contratante/proveedor.</w:t>
      </w:r>
    </w:p>
    <w:p>
      <w:pPr>
        <w:pStyle w:val="Heading1"/>
      </w:pPr>
      <w:r>
        <w:t>2. Información requerida INF-01 a INF-24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792"/>
            <w:vAlign w:val="top"/>
            <w:shd w:fill="D9EAF7"/>
          </w:tcPr>
          <w:p>
            <w:r/>
            <w:r>
              <w:rPr>
                <w:b/>
                <w:color w:val="000000"/>
                <w:sz w:val="12"/>
              </w:rPr>
              <w:t>ID</w:t>
            </w:r>
          </w:p>
        </w:tc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color w:val="000000"/>
                <w:sz w:val="12"/>
              </w:rPr>
              <w:t>Tema</w:t>
            </w:r>
          </w:p>
        </w:tc>
        <w:tc>
          <w:tcPr>
            <w:tcW w:type="dxa" w:w="6048"/>
            <w:vAlign w:val="top"/>
            <w:shd w:fill="D9EAF7"/>
          </w:tcPr>
          <w:p>
            <w:r/>
            <w:r>
              <w:rPr>
                <w:b/>
                <w:color w:val="000000"/>
                <w:sz w:val="12"/>
              </w:rPr>
              <w:t>Confirmación requerida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color w:val="000000"/>
                <w:sz w:val="12"/>
              </w:rPr>
              <w:t>Owner esperado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color w:val="000000"/>
                <w:sz w:val="12"/>
              </w:rPr>
              <w:t>Evidencia mínima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INF-01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Inventario final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Inventario de equipos, seriales, GPUs, licencias, garantías y asset tags entregados.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 / Martinexsa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Inventario firmado o correo formal con anexos.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INF-02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Entrega física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Ubicación/rack, energía, cooling, cableado, ópticos/DAC y estado de instalación.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 / Martinexsa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Acta de instalación, fotos/plano si aplica, rack elevation.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INF-03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GPU efectiva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Modelo de GPU realmente instalado, memoria, driver, CUDA/runtime, licenciamiento y prueba nvidia-smi.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 / Martinexsa / NVIDIA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Salida nvidia-smi, versión driver/CUDA, prueba PyTorch CUDA.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INF-04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Servidor IA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Hostname/IP, OS, usuarios, permisos, Docker, rutas NVMe y política de uso del R770 IA.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CEL/TI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Ficha técnica operativa y credenciales por canal seguro.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INF-05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Servidor virtualización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Si alojará Mage/BD/API o solo servicios institucionales; recursos, hypervisor y VMs.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CEL/TI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Mapa de VMs/hosts y recursos asignados.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INF-06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NAS/File Server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Shares SMB/NFS, rutas, cuotas, permisos, owner, retención y política de uso.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CEL/TI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Lista de shares/rutas y permisos.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INF-07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Red/VLAN/IP/DNS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Plan de IPs, DNS, VLAN IDs, puertos, ACLs, routing y conectividad entre hosts.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CEL/TI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Diagrama lógico y matriz de puertos.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INF-08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Firewall/egress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Allowlist para ECMWF/Copernicus/NASA/CHIRPS/Sentinel/OSM/Mapbox si aplica.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CEL/TI Seguridad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Reglas habilitadas o mecanismo alterno aprobado.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INF-09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Acceso remoto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VPN/bastion, MFA, cuentas, horarios, permisos, IP allowlist y procedimiento de emergencia.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CEL/TI Seguridad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Credenciales y guía de acceso.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INF-10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Host de Mage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Decisión final sobre host/VM, puertos, storage, usuarios, secrets, logs y respaldo de configuración.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CEL/TI + Consultora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Host confirmado y acceso funcional.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INF-11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PostgreSQL/PostGIS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Host, puerto, versión, credenciales, roles, storage, backups, permisos y seguridad.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CEL/TI DBA + Consultora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Endpoint y credenciales funcionales.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INF-12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MongoDB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Host, puerto, versión, credenciales, roles, storage, backups, permisos y seguridad.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CEL/TI DBA + Consultora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Endpoint y credenciales funcionales.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INF-13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Git/repositorio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Plataforma, permisos, ramas, política de commits, manejo de secrets y acceso CEL/Consultora.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CEL/TI + Consultora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Repositorio creado y probado.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INF-14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Fuentes internas CEL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Fuentes de datos, owners, esquemas, Excel/macros, unidades, timezones, periodicidad y acceso read-only.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 Core Team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Data registry y credenciales/rutas.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INF-15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Fuentes externas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Cuentas/API keys si aplican, rate limits y rutas de descarga autorizadas.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Consultora + CEL/TI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Pruebas de descarga exitosas.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INF-16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SMTP/SMS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Canal, remitente, destinatarios, listas, plantillas, umbrales y protocolo de uso.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CEL/TI + Operación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SMTP/gateway habilitado o waiver.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INF-17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Backups/RPO/RTO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Herramienta, periodicidad, retención, owner, restauración y alcance de datos/configs del piloto.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CEL/TI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Política de backup/restore aprobada.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INF-18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Seguridad/secrets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Gestión de secretos, mínimo privilegio, bitácora, revocación y manejo de cuentas de servicio.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CEL/TI Seguridad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Matriz de accesos y procedimiento de revocación.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INF-19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Soporte proveedor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Contactos Martinexsa/Dell/NVIDIA, SLA, TechDirect/MyService360/TechCircle y flujo de tickets.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 / Martinexsa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Directorio de escalación y portales.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INF-20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Procedimiento de cambios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Cómo se solicitan, aprueban y ejecutan cambios de red, host, permisos o storage.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CEL/TI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Change request workflow.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INF-21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Dashboard/API hosting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Host final de API/dashboard, puertos, DNS, certificados, acceso de usuarios y despliegue.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CEL/TI + Consultora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Endpoint o host asignado.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INF-22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Roles y RACI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Responsables finales por infraestructura, red, DBA, seguridad, DevOps, datos, hidrología y soporte.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Matriz RACI operativa validada.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INF-23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Waivers/excepciones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Dependencias pendientes que CEL acepta como excepción sin imputar retrasos a la Consultora.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 + Consultora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Lista de excepciones firmada o por correo.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INF-24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2"/>
              </w:rPr>
              <w:t>Cierre Fase 0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2"/>
              </w:rPr>
              <w:t>Formato, firmantes y criterios de aceptación de la Certificación de Entorno Operacional.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CEL + Consultora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2"/>
              </w:rPr>
              <w:t>Acta/checklist de readiness aprobado.</w:t>
            </w:r>
          </w:p>
        </w:tc>
      </w:tr>
    </w:tbl>
    <w:p/>
    <w:p>
      <w:pPr>
        <w:pStyle w:val="Heading1"/>
      </w:pPr>
      <w:r>
        <w:t>3. Criterios de stop / 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Criterio</w:t>
            </w:r>
          </w:p>
        </w:tc>
        <w:tc>
          <w:tcPr>
            <w:tcW w:type="dxa" w:w="6192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Go</w:t>
            </w:r>
          </w:p>
        </w:tc>
        <w:tc>
          <w:tcPr>
            <w:tcW w:type="dxa" w:w="6192"/>
            <w:vAlign w:val="top"/>
            <w:shd w:fill="D9EAF7"/>
          </w:tcPr>
          <w:p>
            <w:r/>
            <w:r>
              <w:rPr>
                <w:b/>
                <w:color w:val="000000"/>
                <w:sz w:val="14"/>
              </w:rPr>
              <w:t>Stop / waiver requerido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Acceso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VPN/bastion estable, usuarios válidos, permisos mínimos.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Acceso intermitente, credenciales incompletas o políticas no resueltas.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GPU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GPU visible y prueba de cómputo exitosa.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Driver/CUDA/licencia no funcional, GPU no instalada o acceso denegado.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Mage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Mage corre pipeline dummy con logs/retries/scheduler.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Sin host, permisos, red o configuración base.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DB/Storage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DBs y rutas disponibles con permisos y capacidad.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Sin rutas, permisos, storage o política de backup.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Red externa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Fuentes externas accesibles o mecanismo alterno aprobado.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Egress bloqueado sin alternativa.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RACI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Owners CEL/proveedor confirmados.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Sin responsable para infraestructura, red, seguridad, DBA o soporte.</w:t>
            </w:r>
          </w:p>
        </w:tc>
      </w:tr>
    </w:tbl>
    <w:p/>
    <w:p>
      <w:pPr>
        <w:pStyle w:val="Heading1"/>
      </w:pPr>
      <w:r>
        <w:t>4. Salida esperada de la reunión de handoff</w:t>
      </w:r>
    </w:p>
    <w:p>
      <w:pPr>
        <w:pStyle w:val="ListBullet"/>
        <w:spacing w:after="20"/>
      </w:pPr>
      <w:r>
        <w:rPr>
          <w:sz w:val="18"/>
        </w:rPr>
        <w:t>Listado de bloqueos con owner y fecha de resolución.</w:t>
      </w:r>
    </w:p>
    <w:p>
      <w:pPr>
        <w:pStyle w:val="ListBullet"/>
        <w:spacing w:after="20"/>
      </w:pPr>
      <w:r>
        <w:rPr>
          <w:sz w:val="18"/>
        </w:rPr>
        <w:t>Decisión formal de host para Mage, PostgreSQL/PostGIS, MongoDB, API y dashboard.</w:t>
      </w:r>
    </w:p>
    <w:p>
      <w:pPr>
        <w:pStyle w:val="ListBullet"/>
        <w:spacing w:after="20"/>
      </w:pPr>
      <w:r>
        <w:rPr>
          <w:sz w:val="18"/>
        </w:rPr>
        <w:t>Inventario final validado contra la oferta y contra lo físicamente entregado.</w:t>
      </w:r>
    </w:p>
    <w:p>
      <w:pPr>
        <w:pStyle w:val="ListBullet"/>
        <w:spacing w:after="20"/>
      </w:pPr>
      <w:r>
        <w:rPr>
          <w:sz w:val="18"/>
        </w:rPr>
        <w:t>Mecanismo de acceso remoto aprobado y probado.</w:t>
      </w:r>
    </w:p>
    <w:p>
      <w:pPr>
        <w:pStyle w:val="ListBullet"/>
        <w:spacing w:after="20"/>
      </w:pPr>
      <w:r>
        <w:rPr>
          <w:sz w:val="18"/>
        </w:rPr>
        <w:t>Matriz de puertos/firewall/egress aprobada.</w:t>
      </w:r>
    </w:p>
    <w:p>
      <w:pPr>
        <w:pStyle w:val="ListBullet"/>
        <w:spacing w:after="20"/>
      </w:pPr>
      <w:r>
        <w:rPr>
          <w:sz w:val="18"/>
        </w:rPr>
        <w:t>Formato de Acta de Readiness de Fase 0 acordado.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A5A5A"/>
        <w:sz w:val="16"/>
      </w:rPr>
      <w:t>Documento final para revisión formal | 20 de mayo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color w:val="5A5A5A"/>
        <w:sz w:val="16"/>
      </w:rPr>
      <w:t>C² Labs | CEL-CFU 02/26 | 04 Handoff Tecnico CEL TI Martinexsa Fase0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27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4B7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274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Handoff Tecnico CEL TI Martinexsa Fase0</dc:title>
  <dc:subject>AI Silo / Fase 0 - CEL-CFU 02/26</dc:subject>
  <dc:creator>C² Labs</dc:creator>
  <cp:keywords>CEL, AI Silo, Fase 0, C² Labs, Martinexsa, Dell, Mage</cp:keywords>
  <dc:description/>
  <cp:lastModifiedBy>C² Labs</cp:lastModifiedBy>
  <cp:revision>1</cp:revision>
  <dcterms:created xsi:type="dcterms:W3CDTF">2013-12-23T23:15:00Z</dcterms:created>
  <dcterms:modified xsi:type="dcterms:W3CDTF">2013-12-23T23:15:00Z</dcterms:modified>
  <cp:category/>
</cp:coreProperties>
</file>