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111"/>
          <w:sz w:val="42"/>
        </w:rPr>
        <w:t>ANEXO TÉCNICO DE ALINEACIÓN</w:t>
        <w:br/>
        <w:t>Y NOTA ACLARATORIA CONTRACTUAL</w:t>
      </w:r>
    </w:p>
    <w:p>
      <w:pPr>
        <w:jc w:val="center"/>
      </w:pPr>
      <w:r>
        <w:rPr>
          <w:b/>
          <w:sz w:val="28"/>
        </w:rPr>
        <w:t>Infraestructura Local para AI Silo, BOM HW/SW y Fase 0</w:t>
      </w:r>
    </w:p>
    <w:p>
      <w:pPr>
        <w:jc w:val="center"/>
      </w:pPr>
      <w:r>
        <w:rPr>
          <w:b/>
        </w:rPr>
        <w:t>Proceso CEL-CFU 02/26</w:t>
        <w:br/>
      </w:r>
      <w:r>
        <w:t>Servicios Especializados para el Desarrollo de un Plan Piloto de Pronóstico Hidrológico Avanzado Basado en Inteligencia Artificial</w:t>
      </w:r>
    </w:p>
    <w:p>
      <w:pPr>
        <w:jc w:val="center"/>
      </w:pPr>
      <w:r>
        <w:t>Preparado por: Camila Alejandra Cruz Hernández</w:t>
        <w:br/>
      </w:r>
      <w:r>
        <w:t>Fecha: mayo de 2026</w:t>
        <w:br/>
      </w:r>
      <w:r>
        <w:t>Estatus: versión client-facing para revisión, validación y formalización</w:t>
      </w:r>
    </w:p>
    <w:p>
      <w:pPr>
        <w:jc w:val="center"/>
      </w:pPr>
      <w:r>
        <w:rPr>
          <w:b/>
          <w:sz w:val="22"/>
        </w:rPr>
        <w:t>Propósito del documento</w:t>
      </w:r>
    </w:p>
    <w:p>
      <w:pPr>
        <w:jc w:val="both"/>
      </w:pPr>
      <w:r>
        <w:t xml:space="preserve">Este documento consolida la readecuación técnica y contractual necesaria para reconciliar la documentación originalmente incluida en el DSP/propuesta técnica con la infraestructura efectivamente adquirida por CEL a través de su proveedor. </w:t>
      </w:r>
      <w:r>
        <w:rPr>
          <w:b/>
        </w:rPr>
        <w:t xml:space="preserve">No constituye ampliación automática de alcance, precio, plazo, soporte, garantía, administración de infraestructura ni obligación adicional de la Consultora. </w:t>
      </w:r>
      <w:r>
        <w:t>Su finalidad es limpiar referencias técnicas superadas, establecer una fuente de verdad operacional para Fase 0 y fijar los gates mínimos requeridos para iniciar el trabajo bajo condiciones ejecutables, verificables y atribuibles.</w:t>
      </w:r>
    </w:p>
    <w:p>
      <w:pPr>
        <w:pStyle w:val="Small"/>
        <w:jc w:val="center"/>
      </w:pPr>
      <w:r>
        <w:t>Base documental considerada: propuesta técnica/contractual CEL-CFU 02/26; cronograma, RACI y anexos técnicos del DSP; y oferta aceptada Martinexsa/Dell Technologies para Plataforma Integral de Inteligencia Artificial y Procesamiento de Datos para Infraestructura Hidroeléctrica.</w:t>
      </w:r>
    </w:p>
    <w:p>
      <w:r>
        <w:br w:type="page"/>
      </w:r>
    </w:p>
    <w:p>
      <w:pPr>
        <w:pStyle w:val="Heading1"/>
      </w:pPr>
      <w:r>
        <w:t>Resumen ejecutivo de postura</w:t>
      </w:r>
    </w:p>
    <w:p>
      <w:pPr>
        <w:jc w:val="both"/>
      </w:pPr>
      <w:r>
        <w:t xml:space="preserve">La infraestructura física descrita originalmente en el Anexo Técnico B y en el BOM del Anexo Técnico C debe considerarse superada para efectos de adquisición y materialización física del entorno, en la medida en que CEL ha seleccionado una arquitectura Dell/Martinexsa distinta, más amplia y con componentes empresariales adicionales. </w:t>
      </w:r>
      <w:r>
        <w:rPr>
          <w:b/>
        </w:rPr>
        <w:t xml:space="preserve">Sin embargo, esa adquisición posterior no convierte a la Consultora en integradora general de data center, administradora de infraestructura Dell, responsable de soporte 24/7, propietaria de garantías, operadora de red, responsable de hardening corporativo, ejecutora de migraciones históricas, ni responsable de servicios expresamente excluidos por el proveedor o no incluidos en el DSP. </w:t>
      </w:r>
      <w:r>
        <w:t>La Consultora debe adherirse al DSP y consumir la arquitectura provista por CEL como entorno habilitante para el piloto, dentro del alcance técnico pactado.</w:t>
      </w:r>
    </w:p>
    <w:p>
      <w:pPr>
        <w:ind w:left="259" w:hanging="173"/>
      </w:pPr>
      <w:r>
        <w:rPr>
          <w:b/>
        </w:rPr>
        <w:t xml:space="preserve">• </w:t>
      </w:r>
      <w:r>
        <w:t>El plano de orquestación, ejecución, trazabilidad, logs, retries y monitoreo operacional de pipelines queda centralizado en Mage. No se incorpora Grafana como componente requerido ni se mantiene Pentaho como herramienta del piloto.</w:t>
      </w:r>
    </w:p>
    <w:p>
      <w:pPr>
        <w:ind w:left="259" w:hanging="173"/>
      </w:pPr>
      <w:r>
        <w:rPr>
          <w:b/>
        </w:rPr>
        <w:t xml:space="preserve">• </w:t>
      </w:r>
      <w:r>
        <w:t>Las referencias a RTX 4090, la arquitectura de tres nodos económicos, ZFS/OpenZFS y switch 10GbE del BOM original quedan reemplazadas por la arquitectura efectivamente provista por CEL/Martinexsa, salvo que CEL indique formalmente otro equipo entregado.</w:t>
      </w:r>
    </w:p>
    <w:p>
      <w:pPr>
        <w:ind w:left="259" w:hanging="173"/>
      </w:pPr>
      <w:r>
        <w:rPr>
          <w:b/>
        </w:rPr>
        <w:t xml:space="preserve">• </w:t>
      </w:r>
      <w:r>
        <w:t>La Fase 0 conserva sus actividades contractuales: comisionamiento funcional del entorno IA, red/seguridad requerida para el piloto, stack Mage/BD/Python y validación/benchmark GPU-IO-red. Lo que cambia es la plataforma física sobre la cual se ejecutan dichas actividades.</w:t>
      </w:r>
    </w:p>
    <w:p>
      <w:pPr>
        <w:ind w:left="259" w:hanging="173"/>
      </w:pPr>
      <w:r>
        <w:rPr>
          <w:b/>
        </w:rPr>
        <w:t xml:space="preserve">• </w:t>
      </w:r>
      <w:r>
        <w:t>El inicio efectivo de Fase 0 debe computarse desde la entrega técnica mínima del entorno por parte de CEL/proveedor, no desde hitos administrativos de adquisición que no habiliten todavía trabajo técnico ejecutable.</w:t>
      </w:r>
    </w:p>
    <w:p>
      <w:pPr>
        <w:ind w:left="259" w:hanging="173"/>
      </w:pPr>
      <w:r>
        <w:rPr>
          <w:b/>
        </w:rPr>
        <w:t xml:space="preserve">• </w:t>
      </w:r>
      <w:r>
        <w:t>Todo componente adicional adquirido por CEL será tratado como recurso disponible, dependencia técnica o capacidad institucional; no como ampliación tácita de obligaciones de la Consultora.</w:t>
      </w:r>
    </w:p>
    <w:tbl>
      <w:tblPr>
        <w:tblStyle w:val="TableGrid"/>
        <w:tblW w:type="auto" w:w="0"/>
        <w:jc w:val="center"/>
        <w:tblLook w:firstColumn="1" w:firstRow="1" w:lastColumn="0" w:lastRow="0" w:noHBand="0" w:noVBand="1" w:val="04A0"/>
      </w:tblPr>
      <w:tblGrid>
        <w:gridCol w:w="3408"/>
        <w:gridCol w:w="3408"/>
        <w:gridCol w:w="3408"/>
      </w:tblGrid>
      <w:tr>
        <w:tc>
          <w:tcPr>
            <w:tcW w:type="dxa" w:w="792"/>
            <w:vAlign w:val="top"/>
            <w:shd w:fill="1F2937"/>
          </w:tcPr>
          <w:p>
            <w:pPr>
              <w:pStyle w:val="CellSmall"/>
            </w:pPr>
            <w:r/>
            <w:r>
              <w:rPr>
                <w:rFonts w:ascii="Arial" w:hAnsi="Arial" w:eastAsia="Arial"/>
                <w:b/>
                <w:color w:val="FFFFFF"/>
                <w:sz w:val="15"/>
              </w:rPr>
              <w:t>Parte</w:t>
            </w:r>
          </w:p>
        </w:tc>
        <w:tc>
          <w:tcPr>
            <w:tcW w:type="dxa" w:w="2880"/>
            <w:vAlign w:val="top"/>
            <w:shd w:fill="1F2937"/>
          </w:tcPr>
          <w:p>
            <w:pPr>
              <w:pStyle w:val="CellSmall"/>
            </w:pPr>
            <w:r/>
            <w:r>
              <w:rPr>
                <w:rFonts w:ascii="Arial" w:hAnsi="Arial" w:eastAsia="Arial"/>
                <w:b/>
                <w:color w:val="FFFFFF"/>
                <w:sz w:val="15"/>
              </w:rPr>
              <w:t>Contenido</w:t>
            </w:r>
          </w:p>
        </w:tc>
        <w:tc>
          <w:tcPr>
            <w:tcW w:type="dxa" w:w="6120"/>
            <w:vAlign w:val="top"/>
            <w:shd w:fill="1F2937"/>
          </w:tcPr>
          <w:p>
            <w:pPr>
              <w:pStyle w:val="CellSmall"/>
            </w:pPr>
            <w:r/>
            <w:r>
              <w:rPr>
                <w:rFonts w:ascii="Arial" w:hAnsi="Arial" w:eastAsia="Arial"/>
                <w:b/>
                <w:color w:val="FFFFFF"/>
                <w:sz w:val="15"/>
              </w:rPr>
              <w:t>Propósito</w:t>
            </w:r>
          </w:p>
        </w:tc>
      </w:tr>
      <w:tr>
        <w:tc>
          <w:tcPr>
            <w:tcW w:type="dxa" w:w="792"/>
            <w:vAlign w:val="top"/>
          </w:tcPr>
          <w:p>
            <w:pPr>
              <w:pStyle w:val="CellSmall"/>
            </w:pPr>
            <w:r/>
            <w:r>
              <w:rPr>
                <w:rFonts w:ascii="Arial" w:hAnsi="Arial" w:eastAsia="Arial"/>
                <w:b w:val="0"/>
                <w:sz w:val="15"/>
              </w:rPr>
              <w:t>I</w:t>
            </w:r>
          </w:p>
        </w:tc>
        <w:tc>
          <w:tcPr>
            <w:tcW w:type="dxa" w:w="2880"/>
            <w:vAlign w:val="top"/>
          </w:tcPr>
          <w:p>
            <w:pPr>
              <w:pStyle w:val="CellSmall"/>
            </w:pPr>
            <w:r/>
            <w:r>
              <w:rPr>
                <w:rFonts w:ascii="Arial" w:hAnsi="Arial" w:eastAsia="Arial"/>
                <w:b w:val="0"/>
                <w:sz w:val="15"/>
              </w:rPr>
              <w:t>Anexo técnico actualizado / texto sustitutivo</w:t>
            </w:r>
          </w:p>
        </w:tc>
        <w:tc>
          <w:tcPr>
            <w:tcW w:type="dxa" w:w="6120"/>
            <w:vAlign w:val="top"/>
          </w:tcPr>
          <w:p>
            <w:pPr>
              <w:pStyle w:val="CellSmall"/>
            </w:pPr>
            <w:r/>
            <w:r>
              <w:rPr>
                <w:rFonts w:ascii="Arial" w:hAnsi="Arial" w:eastAsia="Arial"/>
                <w:b w:val="0"/>
                <w:sz w:val="15"/>
              </w:rPr>
              <w:t>Rehacer las secciones del DSP afectadas por infraestructura, manteniendo su lógica original pero con información no deprecated.</w:t>
            </w:r>
          </w:p>
        </w:tc>
      </w:tr>
      <w:tr>
        <w:tc>
          <w:tcPr>
            <w:tcW w:type="dxa" w:w="792"/>
            <w:vAlign w:val="top"/>
          </w:tcPr>
          <w:p>
            <w:pPr>
              <w:pStyle w:val="CellSmall"/>
            </w:pPr>
            <w:r/>
            <w:r>
              <w:rPr>
                <w:rFonts w:ascii="Arial" w:hAnsi="Arial" w:eastAsia="Arial"/>
                <w:b w:val="0"/>
                <w:sz w:val="15"/>
              </w:rPr>
              <w:t>II</w:t>
            </w:r>
          </w:p>
        </w:tc>
        <w:tc>
          <w:tcPr>
            <w:tcW w:type="dxa" w:w="2880"/>
            <w:vAlign w:val="top"/>
          </w:tcPr>
          <w:p>
            <w:pPr>
              <w:pStyle w:val="CellSmall"/>
            </w:pPr>
            <w:r/>
            <w:r>
              <w:rPr>
                <w:rFonts w:ascii="Arial" w:hAnsi="Arial" w:eastAsia="Arial"/>
                <w:b w:val="0"/>
                <w:sz w:val="15"/>
              </w:rPr>
              <w:t>Matriz de cambios</w:t>
            </w:r>
          </w:p>
        </w:tc>
        <w:tc>
          <w:tcPr>
            <w:tcW w:type="dxa" w:w="6120"/>
            <w:vAlign w:val="top"/>
          </w:tcPr>
          <w:p>
            <w:pPr>
              <w:pStyle w:val="CellSmall"/>
            </w:pPr>
            <w:r/>
            <w:r>
              <w:rPr>
                <w:rFonts w:ascii="Arial" w:hAnsi="Arial" w:eastAsia="Arial"/>
                <w:b w:val="0"/>
                <w:sz w:val="15"/>
              </w:rPr>
              <w:t>Documentar qué queda reemplazado, qué se conserva y por qué.</w:t>
            </w:r>
          </w:p>
        </w:tc>
      </w:tr>
      <w:tr>
        <w:tc>
          <w:tcPr>
            <w:tcW w:type="dxa" w:w="792"/>
            <w:vAlign w:val="top"/>
          </w:tcPr>
          <w:p>
            <w:pPr>
              <w:pStyle w:val="CellSmall"/>
            </w:pPr>
            <w:r/>
            <w:r>
              <w:rPr>
                <w:rFonts w:ascii="Arial" w:hAnsi="Arial" w:eastAsia="Arial"/>
                <w:b w:val="0"/>
                <w:sz w:val="15"/>
              </w:rPr>
              <w:t>III</w:t>
            </w:r>
          </w:p>
        </w:tc>
        <w:tc>
          <w:tcPr>
            <w:tcW w:type="dxa" w:w="2880"/>
            <w:vAlign w:val="top"/>
          </w:tcPr>
          <w:p>
            <w:pPr>
              <w:pStyle w:val="CellSmall"/>
            </w:pPr>
            <w:r/>
            <w:r>
              <w:rPr>
                <w:rFonts w:ascii="Arial" w:hAnsi="Arial" w:eastAsia="Arial"/>
                <w:b w:val="0"/>
                <w:sz w:val="15"/>
              </w:rPr>
              <w:t>Delimitación contractual de alcance</w:t>
            </w:r>
          </w:p>
        </w:tc>
        <w:tc>
          <w:tcPr>
            <w:tcW w:type="dxa" w:w="6120"/>
            <w:vAlign w:val="top"/>
          </w:tcPr>
          <w:p>
            <w:pPr>
              <w:pStyle w:val="CellSmall"/>
            </w:pPr>
            <w:r/>
            <w:r>
              <w:rPr>
                <w:rFonts w:ascii="Arial" w:hAnsi="Arial" w:eastAsia="Arial"/>
                <w:b w:val="0"/>
                <w:sz w:val="15"/>
              </w:rPr>
              <w:t>Separar obligaciones de Consultora, CEL, TI, Martinexsa/Dell y terceros.</w:t>
            </w:r>
          </w:p>
        </w:tc>
      </w:tr>
      <w:tr>
        <w:tc>
          <w:tcPr>
            <w:tcW w:type="dxa" w:w="792"/>
            <w:vAlign w:val="top"/>
          </w:tcPr>
          <w:p>
            <w:pPr>
              <w:pStyle w:val="CellSmall"/>
            </w:pPr>
            <w:r/>
            <w:r>
              <w:rPr>
                <w:rFonts w:ascii="Arial" w:hAnsi="Arial" w:eastAsia="Arial"/>
                <w:b w:val="0"/>
                <w:sz w:val="15"/>
              </w:rPr>
              <w:t>IV</w:t>
            </w:r>
          </w:p>
        </w:tc>
        <w:tc>
          <w:tcPr>
            <w:tcW w:type="dxa" w:w="2880"/>
            <w:vAlign w:val="top"/>
          </w:tcPr>
          <w:p>
            <w:pPr>
              <w:pStyle w:val="CellSmall"/>
            </w:pPr>
            <w:r/>
            <w:r>
              <w:rPr>
                <w:rFonts w:ascii="Arial" w:hAnsi="Arial" w:eastAsia="Arial"/>
                <w:b w:val="0"/>
                <w:sz w:val="15"/>
              </w:rPr>
              <w:t>Checklist operativo de Fase 0</w:t>
            </w:r>
          </w:p>
        </w:tc>
        <w:tc>
          <w:tcPr>
            <w:tcW w:type="dxa" w:w="6120"/>
            <w:vAlign w:val="top"/>
          </w:tcPr>
          <w:p>
            <w:pPr>
              <w:pStyle w:val="CellSmall"/>
            </w:pPr>
            <w:r/>
            <w:r>
              <w:rPr>
                <w:rFonts w:ascii="Arial" w:hAnsi="Arial" w:eastAsia="Arial"/>
                <w:b w:val="0"/>
                <w:sz w:val="15"/>
              </w:rPr>
              <w:t>Definir condiciones mínimas de readiness, handoff y aceptación técnica.</w:t>
            </w:r>
          </w:p>
        </w:tc>
      </w:tr>
      <w:tr>
        <w:tc>
          <w:tcPr>
            <w:tcW w:type="dxa" w:w="792"/>
            <w:vAlign w:val="top"/>
          </w:tcPr>
          <w:p>
            <w:pPr>
              <w:pStyle w:val="CellSmall"/>
            </w:pPr>
            <w:r/>
            <w:r>
              <w:rPr>
                <w:rFonts w:ascii="Arial" w:hAnsi="Arial" w:eastAsia="Arial"/>
                <w:b w:val="0"/>
                <w:sz w:val="15"/>
              </w:rPr>
              <w:t>V</w:t>
            </w:r>
          </w:p>
        </w:tc>
        <w:tc>
          <w:tcPr>
            <w:tcW w:type="dxa" w:w="2880"/>
            <w:vAlign w:val="top"/>
          </w:tcPr>
          <w:p>
            <w:pPr>
              <w:pStyle w:val="CellSmall"/>
            </w:pPr>
            <w:r/>
            <w:r>
              <w:rPr>
                <w:rFonts w:ascii="Arial" w:hAnsi="Arial" w:eastAsia="Arial"/>
                <w:b w:val="0"/>
                <w:sz w:val="15"/>
              </w:rPr>
              <w:t>Gates, dependencias y ruta crítica</w:t>
            </w:r>
          </w:p>
        </w:tc>
        <w:tc>
          <w:tcPr>
            <w:tcW w:type="dxa" w:w="6120"/>
            <w:vAlign w:val="top"/>
          </w:tcPr>
          <w:p>
            <w:pPr>
              <w:pStyle w:val="CellSmall"/>
            </w:pPr>
            <w:r/>
            <w:r>
              <w:rPr>
                <w:rFonts w:ascii="Arial" w:hAnsi="Arial" w:eastAsia="Arial"/>
                <w:b w:val="0"/>
                <w:sz w:val="15"/>
              </w:rPr>
              <w:t>Evitar que atrasos de adquisición, acceso o proveedor se imputen indebidamente a la Consultora.</w:t>
            </w:r>
          </w:p>
        </w:tc>
      </w:tr>
      <w:tr>
        <w:tc>
          <w:tcPr>
            <w:tcW w:type="dxa" w:w="792"/>
            <w:vAlign w:val="top"/>
          </w:tcPr>
          <w:p>
            <w:pPr>
              <w:pStyle w:val="CellSmall"/>
            </w:pPr>
            <w:r/>
            <w:r>
              <w:rPr>
                <w:rFonts w:ascii="Arial" w:hAnsi="Arial" w:eastAsia="Arial"/>
                <w:b w:val="0"/>
                <w:sz w:val="15"/>
              </w:rPr>
              <w:t>VI</w:t>
            </w:r>
          </w:p>
        </w:tc>
        <w:tc>
          <w:tcPr>
            <w:tcW w:type="dxa" w:w="2880"/>
            <w:vAlign w:val="top"/>
          </w:tcPr>
          <w:p>
            <w:pPr>
              <w:pStyle w:val="CellSmall"/>
            </w:pPr>
            <w:r/>
            <w:r>
              <w:rPr>
                <w:rFonts w:ascii="Arial" w:hAnsi="Arial" w:eastAsia="Arial"/>
                <w:b w:val="0"/>
                <w:sz w:val="15"/>
              </w:rPr>
              <w:t>Versión limpia y defendible</w:t>
            </w:r>
          </w:p>
        </w:tc>
        <w:tc>
          <w:tcPr>
            <w:tcW w:type="dxa" w:w="6120"/>
            <w:vAlign w:val="top"/>
          </w:tcPr>
          <w:p>
            <w:pPr>
              <w:pStyle w:val="CellSmall"/>
            </w:pPr>
            <w:r/>
            <w:r>
              <w:rPr>
                <w:rFonts w:ascii="Arial" w:hAnsi="Arial" w:eastAsia="Arial"/>
                <w:b w:val="0"/>
                <w:sz w:val="15"/>
              </w:rPr>
              <w:t>Lenguaje contractual/técnico listo para incorporar como adenda, nota aclaratoria o anexo sustitutivo.</w:t>
            </w:r>
          </w:p>
        </w:tc>
      </w:tr>
      <w:tr>
        <w:tc>
          <w:tcPr>
            <w:tcW w:type="dxa" w:w="792"/>
            <w:vAlign w:val="top"/>
          </w:tcPr>
          <w:p>
            <w:pPr>
              <w:pStyle w:val="CellSmall"/>
            </w:pPr>
            <w:r/>
            <w:r>
              <w:rPr>
                <w:rFonts w:ascii="Arial" w:hAnsi="Arial" w:eastAsia="Arial"/>
                <w:b w:val="0"/>
                <w:sz w:val="15"/>
              </w:rPr>
              <w:t>VII</w:t>
            </w:r>
          </w:p>
        </w:tc>
        <w:tc>
          <w:tcPr>
            <w:tcW w:type="dxa" w:w="2880"/>
            <w:vAlign w:val="top"/>
          </w:tcPr>
          <w:p>
            <w:pPr>
              <w:pStyle w:val="CellSmall"/>
            </w:pPr>
            <w:r/>
            <w:r>
              <w:rPr>
                <w:rFonts w:ascii="Arial" w:hAnsi="Arial" w:eastAsia="Arial"/>
                <w:b w:val="0"/>
                <w:sz w:val="15"/>
              </w:rPr>
              <w:t>Carta formal</w:t>
            </w:r>
          </w:p>
        </w:tc>
        <w:tc>
          <w:tcPr>
            <w:tcW w:type="dxa" w:w="6120"/>
            <w:vAlign w:val="top"/>
          </w:tcPr>
          <w:p>
            <w:pPr>
              <w:pStyle w:val="CellSmall"/>
            </w:pPr>
            <w:r/>
            <w:r>
              <w:rPr>
                <w:rFonts w:ascii="Arial" w:hAnsi="Arial" w:eastAsia="Arial"/>
                <w:b w:val="0"/>
                <w:sz w:val="15"/>
              </w:rPr>
              <w:t>Carta de remisión y solicitud de alineación para CEL.</w:t>
            </w:r>
          </w:p>
        </w:tc>
      </w:tr>
    </w:tbl>
    <w:p>
      <w:r>
        <w:br w:type="page"/>
      </w:r>
    </w:p>
    <w:p>
      <w:pPr>
        <w:pStyle w:val="Heading1"/>
      </w:pPr>
      <w:r>
        <w:t>PARTE I. Anexo técnico actualizado / texto sustitutivo</w:t>
      </w:r>
    </w:p>
    <w:p>
      <w:pPr>
        <w:jc w:val="both"/>
      </w:pPr>
      <w:r>
        <w:t xml:space="preserve">La siguiente redacción está diseñada para sustituir, complementar o interpretar las secciones del DSP relacionadas con infraestructura, AI Silo, BOM HW/SW, Fase 0, orquestación de pipelines, automatización, bases de datos, visualización, riesgos y RACI. </w:t>
      </w:r>
      <w:r>
        <w:rPr>
          <w:b/>
        </w:rPr>
        <w:t>La estructura conserva la lógica del documento original, pero elimina referencias técnicas inconsistentes o superadas.</w:t>
      </w:r>
    </w:p>
    <w:p>
      <w:pPr>
        <w:pStyle w:val="Heading2"/>
      </w:pPr>
      <w:r>
        <w:t>1.1 Metodología de Implementación - 0. Configuración de Infraestructura y Entorno</w:t>
      </w:r>
    </w:p>
    <w:p>
      <w:pPr>
        <w:jc w:val="both"/>
      </w:pPr>
      <w:r>
        <w:rPr>
          <w:b/>
        </w:rPr>
        <w:t>Texto actualizado propuesto:</w:t>
      </w:r>
    </w:p>
    <w:p>
      <w:pPr>
        <w:jc w:val="both"/>
      </w:pPr>
      <w:r>
        <w:t>La Fase 0 establece la base tecnológica sobre la cual se desarrollará el piloto de pronóstico hidrológico avanzado basado en inteligencia artificial. A partir de la adquisición realizada por CEL, el entorno de infraestructura física será el provisto por CEL y su proveedor designado, Martinexsa/Dell Technologies, o por el proveedor que CEL determine formalmente. La Consultora utilizará dicho entorno como infraestructura habilitante para desplegar, configurar y validar el stack técnico del piloto, sin asumir responsabilidades de adquisición, entrega, garantía, soporte, instalación física general, administración continua, operación 24/7, gestión de data center, mantenimiento preventivo/correctivo, ni resolución de fallas atribuibles al hardware, licenciamiento, red corporativa o proveedor.</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top"/>
            <w:shd w:fill="1F2937"/>
          </w:tcPr>
          <w:p>
            <w:pPr>
              <w:pStyle w:val="CellSmall"/>
            </w:pPr>
            <w:r/>
            <w:r>
              <w:rPr>
                <w:rFonts w:ascii="Arial" w:hAnsi="Arial" w:eastAsia="Arial"/>
                <w:b/>
                <w:color w:val="FFFFFF"/>
                <w:sz w:val="14"/>
              </w:rPr>
              <w:t>Actividad contractual</w:t>
            </w:r>
          </w:p>
        </w:tc>
        <w:tc>
          <w:tcPr>
            <w:tcW w:type="dxa" w:w="4896"/>
            <w:vAlign w:val="top"/>
            <w:shd w:fill="1F2937"/>
          </w:tcPr>
          <w:p>
            <w:pPr>
              <w:pStyle w:val="CellSmall"/>
            </w:pPr>
            <w:r/>
            <w:r>
              <w:rPr>
                <w:rFonts w:ascii="Arial" w:hAnsi="Arial" w:eastAsia="Arial"/>
                <w:b/>
                <w:color w:val="FFFFFF"/>
                <w:sz w:val="14"/>
              </w:rPr>
              <w:t>Redacción operativa actualizada</w:t>
            </w:r>
          </w:p>
        </w:tc>
        <w:tc>
          <w:tcPr>
            <w:tcW w:type="dxa" w:w="4032"/>
            <w:vAlign w:val="top"/>
            <w:shd w:fill="1F2937"/>
          </w:tcPr>
          <w:p>
            <w:pPr>
              <w:pStyle w:val="CellSmall"/>
            </w:pPr>
            <w:r/>
            <w:r>
              <w:rPr>
                <w:rFonts w:ascii="Arial" w:hAnsi="Arial" w:eastAsia="Arial"/>
                <w:b/>
                <w:color w:val="FFFFFF"/>
                <w:sz w:val="14"/>
              </w:rPr>
              <w:t>Límite de responsabilidad</w:t>
            </w:r>
          </w:p>
        </w:tc>
      </w:tr>
      <w:tr>
        <w:tc>
          <w:tcPr>
            <w:tcW w:type="dxa" w:w="1944"/>
            <w:vAlign w:val="top"/>
          </w:tcPr>
          <w:p>
            <w:pPr>
              <w:pStyle w:val="CellSmall"/>
            </w:pPr>
            <w:r/>
            <w:r>
              <w:rPr>
                <w:rFonts w:ascii="Arial" w:hAnsi="Arial" w:eastAsia="Arial"/>
                <w:b w:val="0"/>
                <w:sz w:val="14"/>
              </w:rPr>
              <w:t>Comisionamiento HW solo IA</w:t>
            </w:r>
          </w:p>
        </w:tc>
        <w:tc>
          <w:tcPr>
            <w:tcW w:type="dxa" w:w="4896"/>
            <w:vAlign w:val="top"/>
          </w:tcPr>
          <w:p>
            <w:pPr>
              <w:pStyle w:val="CellSmall"/>
            </w:pPr>
            <w:r/>
            <w:r>
              <w:rPr>
                <w:rFonts w:ascii="Arial" w:hAnsi="Arial" w:eastAsia="Arial"/>
                <w:b w:val="0"/>
                <w:sz w:val="14"/>
              </w:rPr>
              <w:t>Validación funcional del nodo/entorno IA efectivamente provisto por CEL: disponibilidad de GPU, CPU, RAM, almacenamiento, sistema operativo base, drivers, conectividad y acceso remoto.</w:t>
            </w:r>
          </w:p>
        </w:tc>
        <w:tc>
          <w:tcPr>
            <w:tcW w:type="dxa" w:w="4032"/>
            <w:vAlign w:val="top"/>
          </w:tcPr>
          <w:p>
            <w:pPr>
              <w:pStyle w:val="CellSmall"/>
            </w:pPr>
            <w:r/>
            <w:r>
              <w:rPr>
                <w:rFonts w:ascii="Arial" w:hAnsi="Arial" w:eastAsia="Arial"/>
                <w:b w:val="0"/>
                <w:sz w:val="14"/>
              </w:rPr>
              <w:t>No incluye compra, importación, instalación física, racking, cableado eléctrico, cooling, garantías, RMA, soporte Dell/NVIDIA ni administración continua del servidor.</w:t>
            </w:r>
          </w:p>
        </w:tc>
      </w:tr>
      <w:tr>
        <w:tc>
          <w:tcPr>
            <w:tcW w:type="dxa" w:w="1944"/>
            <w:vAlign w:val="top"/>
          </w:tcPr>
          <w:p>
            <w:pPr>
              <w:pStyle w:val="CellSmall"/>
            </w:pPr>
            <w:r/>
            <w:r>
              <w:rPr>
                <w:rFonts w:ascii="Arial" w:hAnsi="Arial" w:eastAsia="Arial"/>
                <w:b w:val="0"/>
                <w:sz w:val="14"/>
              </w:rPr>
              <w:t>Red/Seguridad (VLAN/FW/VPN)</w:t>
            </w:r>
          </w:p>
        </w:tc>
        <w:tc>
          <w:tcPr>
            <w:tcW w:type="dxa" w:w="4896"/>
            <w:vAlign w:val="top"/>
          </w:tcPr>
          <w:p>
            <w:pPr>
              <w:pStyle w:val="CellSmall"/>
            </w:pPr>
            <w:r/>
            <w:r>
              <w:rPr>
                <w:rFonts w:ascii="Arial" w:hAnsi="Arial" w:eastAsia="Arial"/>
                <w:b w:val="0"/>
                <w:sz w:val="14"/>
              </w:rPr>
              <w:t>Definición y validación de los requisitos mínimos de conectividad del piloto: acceso remoto seguro, egress controlado a fuentes externas, comunicación entre servicios internos del piloto y acceso read-only a fuentes CEL cuando aplique.</w:t>
            </w:r>
          </w:p>
        </w:tc>
        <w:tc>
          <w:tcPr>
            <w:tcW w:type="dxa" w:w="4032"/>
            <w:vAlign w:val="top"/>
          </w:tcPr>
          <w:p>
            <w:pPr>
              <w:pStyle w:val="CellSmall"/>
            </w:pPr>
            <w:r/>
            <w:r>
              <w:rPr>
                <w:rFonts w:ascii="Arial" w:hAnsi="Arial" w:eastAsia="Arial"/>
                <w:b w:val="0"/>
                <w:sz w:val="14"/>
              </w:rPr>
              <w:t>No incluye diseño integral de red corporativa, BGP/EVPN, fabric, NAC, WAN, SDN, microsegmentación, SIEM, hardening corporativo completo ni operación de firewall.</w:t>
            </w:r>
          </w:p>
        </w:tc>
      </w:tr>
      <w:tr>
        <w:tc>
          <w:tcPr>
            <w:tcW w:type="dxa" w:w="1944"/>
            <w:vAlign w:val="top"/>
          </w:tcPr>
          <w:p>
            <w:pPr>
              <w:pStyle w:val="CellSmall"/>
            </w:pPr>
            <w:r/>
            <w:r>
              <w:rPr>
                <w:rFonts w:ascii="Arial" w:hAnsi="Arial" w:eastAsia="Arial"/>
                <w:b w:val="0"/>
                <w:sz w:val="14"/>
              </w:rPr>
              <w:t>Stack (Mage, PG/PostGIS, Mongo, Python)</w:t>
            </w:r>
          </w:p>
        </w:tc>
        <w:tc>
          <w:tcPr>
            <w:tcW w:type="dxa" w:w="4896"/>
            <w:vAlign w:val="top"/>
          </w:tcPr>
          <w:p>
            <w:pPr>
              <w:pStyle w:val="CellSmall"/>
            </w:pPr>
            <w:r/>
            <w:r>
              <w:rPr>
                <w:rFonts w:ascii="Arial" w:hAnsi="Arial" w:eastAsia="Arial"/>
                <w:b w:val="0"/>
                <w:sz w:val="14"/>
              </w:rPr>
              <w:t>Instalación/configuración del stack del piloto o acompañamiento técnico documentado para su instalación en el entorno autorizado: Mage como orquestador central, PostgreSQL/PostGIS, MongoDB, Python, librerías IA/GIS, Git y contenedores cuando aplique.</w:t>
            </w:r>
          </w:p>
        </w:tc>
        <w:tc>
          <w:tcPr>
            <w:tcW w:type="dxa" w:w="4032"/>
            <w:vAlign w:val="top"/>
          </w:tcPr>
          <w:p>
            <w:pPr>
              <w:pStyle w:val="CellSmall"/>
            </w:pPr>
            <w:r/>
            <w:r>
              <w:rPr>
                <w:rFonts w:ascii="Arial" w:hAnsi="Arial" w:eastAsia="Arial"/>
                <w:b w:val="0"/>
                <w:sz w:val="14"/>
              </w:rPr>
              <w:t>No incluye plataformas enterprise no pactadas, Kubernetes/OpenShift, AD/LDAP avanzado, herramientas externas de monitoreo, backup corporativo, CI/CD corporativo o migraciones históricas no previstas.</w:t>
            </w:r>
          </w:p>
        </w:tc>
      </w:tr>
      <w:tr>
        <w:tc>
          <w:tcPr>
            <w:tcW w:type="dxa" w:w="1944"/>
            <w:vAlign w:val="top"/>
          </w:tcPr>
          <w:p>
            <w:pPr>
              <w:pStyle w:val="CellSmall"/>
            </w:pPr>
            <w:r/>
            <w:r>
              <w:rPr>
                <w:rFonts w:ascii="Arial" w:hAnsi="Arial" w:eastAsia="Arial"/>
                <w:b w:val="0"/>
                <w:sz w:val="14"/>
              </w:rPr>
              <w:t>Validación/Benchmark GPU/IO/Red</w:t>
            </w:r>
          </w:p>
        </w:tc>
        <w:tc>
          <w:tcPr>
            <w:tcW w:type="dxa" w:w="4896"/>
            <w:vAlign w:val="top"/>
          </w:tcPr>
          <w:p>
            <w:pPr>
              <w:pStyle w:val="CellSmall"/>
            </w:pPr>
            <w:r/>
            <w:r>
              <w:rPr>
                <w:rFonts w:ascii="Arial" w:hAnsi="Arial" w:eastAsia="Arial"/>
                <w:b w:val="0"/>
                <w:sz w:val="14"/>
              </w:rPr>
              <w:t>Ejecución de pruebas técnicas para confirmar que el entorno permite iniciar Fase 1: visibilidad de GPU, drivers, prueba de cómputo, throughput básico de almacenamiento, conectividad red y ejecución de pipeline dummy en Mage.</w:t>
            </w:r>
          </w:p>
        </w:tc>
        <w:tc>
          <w:tcPr>
            <w:tcW w:type="dxa" w:w="4032"/>
            <w:vAlign w:val="top"/>
          </w:tcPr>
          <w:p>
            <w:pPr>
              <w:pStyle w:val="CellSmall"/>
            </w:pPr>
            <w:r/>
            <w:r>
              <w:rPr>
                <w:rFonts w:ascii="Arial" w:hAnsi="Arial" w:eastAsia="Arial"/>
                <w:b w:val="0"/>
                <w:sz w:val="14"/>
              </w:rPr>
              <w:t>La validación certifica readiness funcional para el piloto; no certifica toda la plataforma institucional Dell ni usos ajenos al piloto.</w:t>
            </w:r>
          </w:p>
        </w:tc>
      </w:tr>
    </w:tbl>
    <w:p>
      <w:pPr>
        <w:pStyle w:val="Heading2"/>
      </w:pPr>
      <w:r>
        <w:t>1.2 Ruta de Implementación y Entregable Principal de Fase 0</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944"/>
            <w:vAlign w:val="top"/>
            <w:shd w:fill="1F2937"/>
          </w:tcPr>
          <w:p>
            <w:pPr>
              <w:pStyle w:val="CellSmall"/>
            </w:pPr>
            <w:r/>
            <w:r>
              <w:rPr>
                <w:rFonts w:ascii="Arial" w:hAnsi="Arial" w:eastAsia="Arial"/>
                <w:b/>
                <w:color w:val="FFFFFF"/>
                <w:sz w:val="13"/>
              </w:rPr>
              <w:t>Fase</w:t>
            </w:r>
          </w:p>
        </w:tc>
        <w:tc>
          <w:tcPr>
            <w:tcW w:type="dxa" w:w="1224"/>
            <w:vAlign w:val="top"/>
            <w:shd w:fill="1F2937"/>
          </w:tcPr>
          <w:p>
            <w:pPr>
              <w:pStyle w:val="CellSmall"/>
            </w:pPr>
            <w:r/>
            <w:r>
              <w:rPr>
                <w:rFonts w:ascii="Arial" w:hAnsi="Arial" w:eastAsia="Arial"/>
                <w:b/>
                <w:color w:val="FFFFFF"/>
                <w:sz w:val="13"/>
              </w:rPr>
              <w:t>Duración contractual</w:t>
            </w:r>
          </w:p>
        </w:tc>
        <w:tc>
          <w:tcPr>
            <w:tcW w:type="dxa" w:w="3600"/>
            <w:vAlign w:val="top"/>
            <w:shd w:fill="1F2937"/>
          </w:tcPr>
          <w:p>
            <w:pPr>
              <w:pStyle w:val="CellSmall"/>
            </w:pPr>
            <w:r/>
            <w:r>
              <w:rPr>
                <w:rFonts w:ascii="Arial" w:hAnsi="Arial" w:eastAsia="Arial"/>
                <w:b/>
                <w:color w:val="FFFFFF"/>
                <w:sz w:val="13"/>
              </w:rPr>
              <w:t>Condición de inicio</w:t>
            </w:r>
          </w:p>
        </w:tc>
        <w:tc>
          <w:tcPr>
            <w:tcW w:type="dxa" w:w="2880"/>
            <w:vAlign w:val="top"/>
            <w:shd w:fill="1F2937"/>
          </w:tcPr>
          <w:p>
            <w:pPr>
              <w:pStyle w:val="CellSmall"/>
            </w:pPr>
            <w:r/>
            <w:r>
              <w:rPr>
                <w:rFonts w:ascii="Arial" w:hAnsi="Arial" w:eastAsia="Arial"/>
                <w:b/>
                <w:color w:val="FFFFFF"/>
                <w:sz w:val="13"/>
              </w:rPr>
              <w:t>Tareas clave</w:t>
            </w:r>
          </w:p>
        </w:tc>
        <w:tc>
          <w:tcPr>
            <w:tcW w:type="dxa" w:w="2880"/>
            <w:vAlign w:val="top"/>
            <w:shd w:fill="1F2937"/>
          </w:tcPr>
          <w:p>
            <w:pPr>
              <w:pStyle w:val="CellSmall"/>
            </w:pPr>
            <w:r/>
            <w:r>
              <w:rPr>
                <w:rFonts w:ascii="Arial" w:hAnsi="Arial" w:eastAsia="Arial"/>
                <w:b/>
                <w:color w:val="FFFFFF"/>
                <w:sz w:val="13"/>
              </w:rPr>
              <w:t>Entregable principal</w:t>
            </w:r>
          </w:p>
        </w:tc>
      </w:tr>
      <w:tr>
        <w:tc>
          <w:tcPr>
            <w:tcW w:type="dxa" w:w="1944"/>
            <w:vAlign w:val="top"/>
          </w:tcPr>
          <w:p>
            <w:pPr>
              <w:pStyle w:val="CellSmall"/>
            </w:pPr>
            <w:r/>
            <w:r>
              <w:rPr>
                <w:rFonts w:ascii="Arial" w:hAnsi="Arial" w:eastAsia="Arial"/>
                <w:b w:val="0"/>
                <w:sz w:val="13"/>
              </w:rPr>
              <w:t>0. Configuración de infraestructura y entorno</w:t>
            </w:r>
          </w:p>
        </w:tc>
        <w:tc>
          <w:tcPr>
            <w:tcW w:type="dxa" w:w="1224"/>
            <w:vAlign w:val="top"/>
          </w:tcPr>
          <w:p>
            <w:pPr>
              <w:pStyle w:val="CellSmall"/>
            </w:pPr>
            <w:r/>
            <w:r>
              <w:rPr>
                <w:rFonts w:ascii="Arial" w:hAnsi="Arial" w:eastAsia="Arial"/>
                <w:b w:val="0"/>
                <w:sz w:val="13"/>
              </w:rPr>
              <w:t>4 semanas</w:t>
            </w:r>
          </w:p>
        </w:tc>
        <w:tc>
          <w:tcPr>
            <w:tcW w:type="dxa" w:w="3600"/>
            <w:vAlign w:val="top"/>
          </w:tcPr>
          <w:p>
            <w:pPr>
              <w:pStyle w:val="CellSmall"/>
            </w:pPr>
            <w:r/>
            <w:r>
              <w:rPr>
                <w:rFonts w:ascii="Arial" w:hAnsi="Arial" w:eastAsia="Arial"/>
                <w:b w:val="0"/>
                <w:sz w:val="13"/>
              </w:rPr>
              <w:t>Entrega técnica mínima del entorno por CEL/proveedor: equipos instalados, energizados, accesibles, red básica, credenciales, GPU/driver verificable, storage disponible y responsables designados.</w:t>
            </w:r>
          </w:p>
        </w:tc>
        <w:tc>
          <w:tcPr>
            <w:tcW w:type="dxa" w:w="2880"/>
            <w:vAlign w:val="top"/>
          </w:tcPr>
          <w:p>
            <w:pPr>
              <w:pStyle w:val="CellSmall"/>
            </w:pPr>
            <w:r/>
            <w:r>
              <w:rPr>
                <w:rFonts w:ascii="Arial" w:hAnsi="Arial" w:eastAsia="Arial"/>
                <w:b w:val="0"/>
                <w:sz w:val="13"/>
              </w:rPr>
              <w:t>Validación de servidores, accesos, red, stack Mage/BD/Python, ejecución de pruebas GPU/IO/red y documentación de configuración funcional.</w:t>
            </w:r>
          </w:p>
        </w:tc>
        <w:tc>
          <w:tcPr>
            <w:tcW w:type="dxa" w:w="2880"/>
            <w:vAlign w:val="top"/>
          </w:tcPr>
          <w:p>
            <w:pPr>
              <w:pStyle w:val="CellSmall"/>
            </w:pPr>
            <w:r/>
            <w:r>
              <w:rPr>
                <w:rFonts w:ascii="Arial" w:hAnsi="Arial" w:eastAsia="Arial"/>
                <w:b w:val="0"/>
                <w:sz w:val="13"/>
              </w:rPr>
              <w:t>Certificación de Entorno Operacional del Piloto IA y checklist de readiness firmado/validado.</w:t>
            </w:r>
          </w:p>
        </w:tc>
      </w:tr>
      <w:tr>
        <w:tc>
          <w:tcPr>
            <w:tcW w:type="dxa" w:w="1944"/>
            <w:vAlign w:val="top"/>
          </w:tcPr>
          <w:p>
            <w:pPr>
              <w:pStyle w:val="CellSmall"/>
            </w:pPr>
            <w:r/>
            <w:r>
              <w:rPr>
                <w:rFonts w:ascii="Arial" w:hAnsi="Arial" w:eastAsia="Arial"/>
                <w:b w:val="0"/>
                <w:sz w:val="13"/>
              </w:rPr>
              <w:t>1. Adquisición y preprocesamiento de datos</w:t>
            </w:r>
          </w:p>
        </w:tc>
        <w:tc>
          <w:tcPr>
            <w:tcW w:type="dxa" w:w="1224"/>
            <w:vAlign w:val="top"/>
          </w:tcPr>
          <w:p>
            <w:pPr>
              <w:pStyle w:val="CellSmall"/>
            </w:pPr>
            <w:r/>
            <w:r>
              <w:rPr>
                <w:rFonts w:ascii="Arial" w:hAnsi="Arial" w:eastAsia="Arial"/>
                <w:b w:val="0"/>
                <w:sz w:val="13"/>
              </w:rPr>
              <w:t>5 semanas</w:t>
            </w:r>
          </w:p>
        </w:tc>
        <w:tc>
          <w:tcPr>
            <w:tcW w:type="dxa" w:w="3600"/>
            <w:vAlign w:val="top"/>
          </w:tcPr>
          <w:p>
            <w:pPr>
              <w:pStyle w:val="CellSmall"/>
            </w:pPr>
            <w:r/>
            <w:r>
              <w:rPr>
                <w:rFonts w:ascii="Arial" w:hAnsi="Arial" w:eastAsia="Arial"/>
                <w:b w:val="0"/>
                <w:sz w:val="13"/>
              </w:rPr>
              <w:t>Fase 0 certificada o waiver formal de CEL sobre dependencias pendientes.</w:t>
            </w:r>
          </w:p>
        </w:tc>
        <w:tc>
          <w:tcPr>
            <w:tcW w:type="dxa" w:w="2880"/>
            <w:vAlign w:val="top"/>
          </w:tcPr>
          <w:p>
            <w:pPr>
              <w:pStyle w:val="CellSmall"/>
            </w:pPr>
            <w:r/>
            <w:r>
              <w:rPr>
                <w:rFonts w:ascii="Arial" w:hAnsi="Arial" w:eastAsia="Arial"/>
                <w:b w:val="0"/>
                <w:sz w:val="13"/>
              </w:rPr>
              <w:t>Fuentes, estandarización y control de calidad de datos hidrometeorológicos y geoespaciales.</w:t>
            </w:r>
          </w:p>
        </w:tc>
        <w:tc>
          <w:tcPr>
            <w:tcW w:type="dxa" w:w="2880"/>
            <w:vAlign w:val="top"/>
          </w:tcPr>
          <w:p>
            <w:pPr>
              <w:pStyle w:val="CellSmall"/>
            </w:pPr>
            <w:r/>
            <w:r>
              <w:rPr>
                <w:rFonts w:ascii="Arial" w:hAnsi="Arial" w:eastAsia="Arial"/>
                <w:b w:val="0"/>
                <w:sz w:val="13"/>
              </w:rPr>
              <w:t>Conjunto de datos listo para análisis.</w:t>
            </w:r>
          </w:p>
        </w:tc>
      </w:tr>
      <w:tr>
        <w:tc>
          <w:tcPr>
            <w:tcW w:type="dxa" w:w="1944"/>
            <w:vAlign w:val="top"/>
          </w:tcPr>
          <w:p>
            <w:pPr>
              <w:pStyle w:val="CellSmall"/>
            </w:pPr>
            <w:r/>
            <w:r>
              <w:rPr>
                <w:rFonts w:ascii="Arial" w:hAnsi="Arial" w:eastAsia="Arial"/>
                <w:b w:val="0"/>
                <w:sz w:val="13"/>
              </w:rPr>
              <w:t>2. Configuración y entrenamiento del modelo</w:t>
            </w:r>
          </w:p>
        </w:tc>
        <w:tc>
          <w:tcPr>
            <w:tcW w:type="dxa" w:w="1224"/>
            <w:vAlign w:val="top"/>
          </w:tcPr>
          <w:p>
            <w:pPr>
              <w:pStyle w:val="CellSmall"/>
            </w:pPr>
            <w:r/>
            <w:r>
              <w:rPr>
                <w:rFonts w:ascii="Arial" w:hAnsi="Arial" w:eastAsia="Arial"/>
                <w:b w:val="0"/>
                <w:sz w:val="13"/>
              </w:rPr>
              <w:t>9 semanas</w:t>
            </w:r>
          </w:p>
        </w:tc>
        <w:tc>
          <w:tcPr>
            <w:tcW w:type="dxa" w:w="3600"/>
            <w:vAlign w:val="top"/>
          </w:tcPr>
          <w:p>
            <w:pPr>
              <w:pStyle w:val="CellSmall"/>
            </w:pPr>
            <w:r/>
            <w:r>
              <w:rPr>
                <w:rFonts w:ascii="Arial" w:hAnsi="Arial" w:eastAsia="Arial"/>
                <w:b w:val="0"/>
                <w:sz w:val="13"/>
              </w:rPr>
              <w:t>Dataset base validado y recursos GPU disponibles.</w:t>
            </w:r>
          </w:p>
        </w:tc>
        <w:tc>
          <w:tcPr>
            <w:tcW w:type="dxa" w:w="2880"/>
            <w:vAlign w:val="top"/>
          </w:tcPr>
          <w:p>
            <w:pPr>
              <w:pStyle w:val="CellSmall"/>
            </w:pPr>
            <w:r/>
            <w:r>
              <w:rPr>
                <w:rFonts w:ascii="Arial" w:hAnsi="Arial" w:eastAsia="Arial"/>
                <w:b w:val="0"/>
                <w:sz w:val="13"/>
              </w:rPr>
              <w:t>LSTM, features, entrenamiento, ajuste y validación.</w:t>
            </w:r>
          </w:p>
        </w:tc>
        <w:tc>
          <w:tcPr>
            <w:tcW w:type="dxa" w:w="2880"/>
            <w:vAlign w:val="top"/>
          </w:tcPr>
          <w:p>
            <w:pPr>
              <w:pStyle w:val="CellSmall"/>
            </w:pPr>
            <w:r/>
            <w:r>
              <w:rPr>
                <w:rFonts w:ascii="Arial" w:hAnsi="Arial" w:eastAsia="Arial"/>
                <w:b w:val="0"/>
                <w:sz w:val="13"/>
              </w:rPr>
              <w:t>Modelo validado de pronóstico hidrológico.</w:t>
            </w:r>
          </w:p>
        </w:tc>
      </w:tr>
      <w:tr>
        <w:tc>
          <w:tcPr>
            <w:tcW w:type="dxa" w:w="1944"/>
            <w:vAlign w:val="top"/>
          </w:tcPr>
          <w:p>
            <w:pPr>
              <w:pStyle w:val="CellSmall"/>
            </w:pPr>
            <w:r/>
            <w:r>
              <w:rPr>
                <w:rFonts w:ascii="Arial" w:hAnsi="Arial" w:eastAsia="Arial"/>
                <w:b w:val="0"/>
                <w:sz w:val="13"/>
              </w:rPr>
              <w:t>3. Operacionalización y automatización</w:t>
            </w:r>
          </w:p>
        </w:tc>
        <w:tc>
          <w:tcPr>
            <w:tcW w:type="dxa" w:w="1224"/>
            <w:vAlign w:val="top"/>
          </w:tcPr>
          <w:p>
            <w:pPr>
              <w:pStyle w:val="CellSmall"/>
            </w:pPr>
            <w:r/>
            <w:r>
              <w:rPr>
                <w:rFonts w:ascii="Arial" w:hAnsi="Arial" w:eastAsia="Arial"/>
                <w:b w:val="0"/>
                <w:sz w:val="13"/>
              </w:rPr>
              <w:t>5 semanas</w:t>
            </w:r>
          </w:p>
        </w:tc>
        <w:tc>
          <w:tcPr>
            <w:tcW w:type="dxa" w:w="3600"/>
            <w:vAlign w:val="top"/>
          </w:tcPr>
          <w:p>
            <w:pPr>
              <w:pStyle w:val="CellSmall"/>
            </w:pPr>
            <w:r/>
            <w:r>
              <w:rPr>
                <w:rFonts w:ascii="Arial" w:hAnsi="Arial" w:eastAsia="Arial"/>
                <w:b w:val="0"/>
                <w:sz w:val="13"/>
              </w:rPr>
              <w:t>Modelo validado y definición operativa de umbrales/UI.</w:t>
            </w:r>
          </w:p>
        </w:tc>
        <w:tc>
          <w:tcPr>
            <w:tcW w:type="dxa" w:w="2880"/>
            <w:vAlign w:val="top"/>
          </w:tcPr>
          <w:p>
            <w:pPr>
              <w:pStyle w:val="CellSmall"/>
            </w:pPr>
            <w:r/>
            <w:r>
              <w:rPr>
                <w:rFonts w:ascii="Arial" w:hAnsi="Arial" w:eastAsia="Arial"/>
                <w:b w:val="0"/>
                <w:sz w:val="13"/>
              </w:rPr>
              <w:t>Pipelines, BD, dashboard, alertas e integración operacional.</w:t>
            </w:r>
          </w:p>
        </w:tc>
        <w:tc>
          <w:tcPr>
            <w:tcW w:type="dxa" w:w="2880"/>
            <w:vAlign w:val="top"/>
          </w:tcPr>
          <w:p>
            <w:pPr>
              <w:pStyle w:val="CellSmall"/>
            </w:pPr>
            <w:r/>
            <w:r>
              <w:rPr>
                <w:rFonts w:ascii="Arial" w:hAnsi="Arial" w:eastAsia="Arial"/>
                <w:b w:val="0"/>
                <w:sz w:val="13"/>
              </w:rPr>
              <w:t>Sistema automatizado end-to-end.</w:t>
            </w:r>
          </w:p>
        </w:tc>
      </w:tr>
      <w:tr>
        <w:tc>
          <w:tcPr>
            <w:tcW w:type="dxa" w:w="1944"/>
            <w:vAlign w:val="top"/>
          </w:tcPr>
          <w:p>
            <w:pPr>
              <w:pStyle w:val="CellSmall"/>
            </w:pPr>
            <w:r/>
            <w:r>
              <w:rPr>
                <w:rFonts w:ascii="Arial" w:hAnsi="Arial" w:eastAsia="Arial"/>
                <w:b w:val="0"/>
                <w:sz w:val="13"/>
              </w:rPr>
              <w:t>4. Validación y transferencia</w:t>
            </w:r>
          </w:p>
        </w:tc>
        <w:tc>
          <w:tcPr>
            <w:tcW w:type="dxa" w:w="1224"/>
            <w:vAlign w:val="top"/>
          </w:tcPr>
          <w:p>
            <w:pPr>
              <w:pStyle w:val="CellSmall"/>
            </w:pPr>
            <w:r/>
            <w:r>
              <w:rPr>
                <w:rFonts w:ascii="Arial" w:hAnsi="Arial" w:eastAsia="Arial"/>
                <w:b w:val="0"/>
                <w:sz w:val="13"/>
              </w:rPr>
              <w:t>5 semanas</w:t>
            </w:r>
          </w:p>
        </w:tc>
        <w:tc>
          <w:tcPr>
            <w:tcW w:type="dxa" w:w="3600"/>
            <w:vAlign w:val="top"/>
          </w:tcPr>
          <w:p>
            <w:pPr>
              <w:pStyle w:val="CellSmall"/>
            </w:pPr>
            <w:r/>
            <w:r>
              <w:rPr>
                <w:rFonts w:ascii="Arial" w:hAnsi="Arial" w:eastAsia="Arial"/>
                <w:b w:val="0"/>
                <w:sz w:val="13"/>
              </w:rPr>
              <w:t>Sistema integrado listo para pruebas.</w:t>
            </w:r>
          </w:p>
        </w:tc>
        <w:tc>
          <w:tcPr>
            <w:tcW w:type="dxa" w:w="2880"/>
            <w:vAlign w:val="top"/>
          </w:tcPr>
          <w:p>
            <w:pPr>
              <w:pStyle w:val="CellSmall"/>
            </w:pPr>
            <w:r/>
            <w:r>
              <w:rPr>
                <w:rFonts w:ascii="Arial" w:hAnsi="Arial" w:eastAsia="Arial"/>
                <w:b w:val="0"/>
                <w:sz w:val="13"/>
              </w:rPr>
              <w:t>Pruebas OOS, documentación, POE y talleres.</w:t>
            </w:r>
          </w:p>
        </w:tc>
        <w:tc>
          <w:tcPr>
            <w:tcW w:type="dxa" w:w="2880"/>
            <w:vAlign w:val="top"/>
          </w:tcPr>
          <w:p>
            <w:pPr>
              <w:pStyle w:val="CellSmall"/>
            </w:pPr>
            <w:r/>
            <w:r>
              <w:rPr>
                <w:rFonts w:ascii="Arial" w:hAnsi="Arial" w:eastAsia="Arial"/>
                <w:b w:val="0"/>
                <w:sz w:val="13"/>
              </w:rPr>
              <w:t>Informe de validación piloto, POE y sesiones de transferencia.</w:t>
            </w:r>
          </w:p>
        </w:tc>
      </w:tr>
    </w:tbl>
    <w:p>
      <w:pPr>
        <w:pStyle w:val="Heading2"/>
      </w:pPr>
      <w:r>
        <w:t>1.3 Fase 0 - redacción sustitutiva ampliada</w:t>
      </w:r>
    </w:p>
    <w:p>
      <w:pPr>
        <w:jc w:val="both"/>
      </w:pPr>
      <w:r>
        <w:t>Esta fase inicial y fundamental establece el entorno técnico de ejecución del piloto. Su objetivo no es sustituir a CEL, a su área de Informática, a Martinexsa, a Dell Technologies ni a ningún proveedor de infraestructura en las actividades de adquisición, instalación física, garantía, soporte, operación o administración de la plataforma. Su objetivo es habilitar y validar, dentro del alcance del piloto, que la infraestructura provista por CEL permite ejecutar el stack de datos, IA y automatización requerido por el DSP.</w:t>
      </w:r>
    </w:p>
    <w:p>
      <w:pPr>
        <w:jc w:val="both"/>
      </w:pPr>
      <w:r>
        <w:t>La Consultora ejecutará o acompañará la configuración del stack del piloto en la medida en que reciba acceso técnico suficiente, credenciales, rutas de red, permisos, almacenamiento, drivers, sistema operativo base, políticas de seguridad aplicables y responsable técnico designado por CEL. Las actividades de Fase 0 se documentarán en una Certificación de Entorno Operacional, la cual contendrá: inventario técnico de los recursos usados por el piloto, ubicación de servicios, versiones de software, pruebas de conectividad, pruebas de GPU/IO/red, estado de Mage, bases de datos, repositorio, dependencias abiertas y riesgos pendientes.</w:t>
      </w:r>
    </w:p>
    <w:p>
      <w:pPr>
        <w:jc w:val="both"/>
      </w:pPr>
      <w:r>
        <w:t>La arquitectura física aceptada por CEL, por tratarse de una adquisición posterior y diferenciada, será considerada la fuente de verdad para el hardware efectivamente disponible. Por tanto, la referencia original al Escenario 2 económico de tres nodos se mantiene únicamente como antecedente de dimensionamiento y queda sustituida para fines de ejecución por la arquitectura Dell/Martinexsa entregada a CEL.</w:t>
      </w:r>
    </w:p>
    <w:p>
      <w:pPr>
        <w:pStyle w:val="Heading2"/>
      </w:pPr>
      <w:r>
        <w:t>1.4 Anexo Técnico A - secciones afectadas</w:t>
      </w:r>
    </w:p>
    <w:tbl>
      <w:tblPr>
        <w:tblStyle w:val="TableGrid"/>
        <w:tblW w:type="auto" w:w="0"/>
        <w:jc w:val="center"/>
        <w:tblLook w:firstColumn="1" w:firstRow="1" w:lastColumn="0" w:lastRow="0" w:noHBand="0" w:noVBand="1" w:val="04A0"/>
      </w:tblPr>
      <w:tblGrid>
        <w:gridCol w:w="5112"/>
        <w:gridCol w:w="5112"/>
      </w:tblGrid>
      <w:tr>
        <w:tc>
          <w:tcPr>
            <w:tcW w:type="dxa" w:w="2376"/>
            <w:vAlign w:val="top"/>
            <w:shd w:fill="1F2937"/>
          </w:tcPr>
          <w:p>
            <w:pPr>
              <w:pStyle w:val="CellSmall"/>
            </w:pPr>
            <w:r/>
            <w:r>
              <w:rPr>
                <w:rFonts w:ascii="Arial" w:hAnsi="Arial" w:eastAsia="Arial"/>
                <w:b/>
                <w:color w:val="FFFFFF"/>
                <w:sz w:val="15"/>
              </w:rPr>
              <w:t>Sección</w:t>
            </w:r>
          </w:p>
        </w:tc>
        <w:tc>
          <w:tcPr>
            <w:tcW w:type="dxa" w:w="8280"/>
            <w:vAlign w:val="top"/>
            <w:shd w:fill="1F2937"/>
          </w:tcPr>
          <w:p>
            <w:pPr>
              <w:pStyle w:val="CellSmall"/>
            </w:pPr>
            <w:r/>
            <w:r>
              <w:rPr>
                <w:rFonts w:ascii="Arial" w:hAnsi="Arial" w:eastAsia="Arial"/>
                <w:b/>
                <w:color w:val="FFFFFF"/>
                <w:sz w:val="15"/>
              </w:rPr>
              <w:t>Texto/ajuste sustitutivo</w:t>
            </w:r>
          </w:p>
        </w:tc>
      </w:tr>
      <w:tr>
        <w:tc>
          <w:tcPr>
            <w:tcW w:type="dxa" w:w="2376"/>
            <w:vAlign w:val="top"/>
          </w:tcPr>
          <w:p>
            <w:pPr>
              <w:pStyle w:val="CellSmall"/>
            </w:pPr>
            <w:r/>
            <w:r>
              <w:rPr>
                <w:rFonts w:ascii="Arial" w:hAnsi="Arial" w:eastAsia="Arial"/>
                <w:b w:val="0"/>
                <w:sz w:val="15"/>
              </w:rPr>
              <w:t>A.1 Flujo completo del sistema</w:t>
            </w:r>
          </w:p>
        </w:tc>
        <w:tc>
          <w:tcPr>
            <w:tcW w:type="dxa" w:w="8280"/>
            <w:vAlign w:val="top"/>
          </w:tcPr>
          <w:p>
            <w:pPr>
              <w:pStyle w:val="CellSmall"/>
            </w:pPr>
            <w:r/>
            <w:r>
              <w:rPr>
                <w:rFonts w:ascii="Arial" w:hAnsi="Arial" w:eastAsia="Arial"/>
                <w:b w:val="0"/>
                <w:sz w:val="15"/>
              </w:rPr>
              <w:t>Mantener el flujo end-to-end: adquisición/validación de datos, pronóstico LSTM, modelado de inundación y distribución de alertas. Ajustar el preámbulo de Fase 0 para indicar que la infraestructura será la plataforma provista por CEL/Martinexsa y que la finalización de Fase 0 depende del handoff técnico mínimo.</w:t>
            </w:r>
          </w:p>
        </w:tc>
      </w:tr>
      <w:tr>
        <w:tc>
          <w:tcPr>
            <w:tcW w:type="dxa" w:w="2376"/>
            <w:vAlign w:val="top"/>
          </w:tcPr>
          <w:p>
            <w:pPr>
              <w:pStyle w:val="CellSmall"/>
            </w:pPr>
            <w:r/>
            <w:r>
              <w:rPr>
                <w:rFonts w:ascii="Arial" w:hAnsi="Arial" w:eastAsia="Arial"/>
                <w:b w:val="0"/>
                <w:sz w:val="15"/>
              </w:rPr>
              <w:t>A.3 Preprocesamiento y canalizaciones ETL</w:t>
            </w:r>
          </w:p>
        </w:tc>
        <w:tc>
          <w:tcPr>
            <w:tcW w:type="dxa" w:w="8280"/>
            <w:vAlign w:val="top"/>
          </w:tcPr>
          <w:p>
            <w:pPr>
              <w:pStyle w:val="CellSmall"/>
            </w:pPr>
            <w:r/>
            <w:r>
              <w:rPr>
                <w:rFonts w:ascii="Arial" w:hAnsi="Arial" w:eastAsia="Arial"/>
                <w:b w:val="0"/>
                <w:sz w:val="15"/>
              </w:rPr>
              <w:t>Sustituir cualquier referencia a Pentaho por Mage. Mage será la herramienta central de orquestación, versionamiento operacional, trazabilidad de ejecuciones, logs, retries, manejo de errores y operación de pipelines en Python.</w:t>
            </w:r>
          </w:p>
        </w:tc>
      </w:tr>
      <w:tr>
        <w:tc>
          <w:tcPr>
            <w:tcW w:type="dxa" w:w="2376"/>
            <w:vAlign w:val="top"/>
          </w:tcPr>
          <w:p>
            <w:pPr>
              <w:pStyle w:val="CellSmall"/>
            </w:pPr>
            <w:r/>
            <w:r>
              <w:rPr>
                <w:rFonts w:ascii="Arial" w:hAnsi="Arial" w:eastAsia="Arial"/>
                <w:b w:val="0"/>
                <w:sz w:val="15"/>
              </w:rPr>
              <w:t>A.4.1 Modelo LSTM</w:t>
            </w:r>
          </w:p>
        </w:tc>
        <w:tc>
          <w:tcPr>
            <w:tcW w:type="dxa" w:w="8280"/>
            <w:vAlign w:val="top"/>
          </w:tcPr>
          <w:p>
            <w:pPr>
              <w:pStyle w:val="CellSmall"/>
            </w:pPr>
            <w:r/>
            <w:r>
              <w:rPr>
                <w:rFonts w:ascii="Arial" w:hAnsi="Arial" w:eastAsia="Arial"/>
                <w:b w:val="0"/>
                <w:sz w:val="15"/>
              </w:rPr>
              <w:t>Sustituir menciones cerradas a RTX 4090 por 'GPU NVIDIA instalada en el nodo IA provisto por CEL'. Cuando se cite la propuesta Martinexsa, puede indicarse que la arquitectura aceptada contempla una GPU NVIDIA H100 NVL de 94 GB, sujeta a validación física al momento de entrega.</w:t>
            </w:r>
          </w:p>
        </w:tc>
      </w:tr>
      <w:tr>
        <w:tc>
          <w:tcPr>
            <w:tcW w:type="dxa" w:w="2376"/>
            <w:vAlign w:val="top"/>
          </w:tcPr>
          <w:p>
            <w:pPr>
              <w:pStyle w:val="CellSmall"/>
            </w:pPr>
            <w:r/>
            <w:r>
              <w:rPr>
                <w:rFonts w:ascii="Arial" w:hAnsi="Arial" w:eastAsia="Arial"/>
                <w:b w:val="0"/>
                <w:sz w:val="15"/>
              </w:rPr>
              <w:t>A.6 Infraestructura técnica</w:t>
            </w:r>
          </w:p>
        </w:tc>
        <w:tc>
          <w:tcPr>
            <w:tcW w:type="dxa" w:w="8280"/>
            <w:vAlign w:val="top"/>
          </w:tcPr>
          <w:p>
            <w:pPr>
              <w:pStyle w:val="CellSmall"/>
            </w:pPr>
            <w:r/>
            <w:r>
              <w:rPr>
                <w:rFonts w:ascii="Arial" w:hAnsi="Arial" w:eastAsia="Arial"/>
                <w:b w:val="0"/>
                <w:sz w:val="15"/>
              </w:rPr>
              <w:t>Reemplazar la arquitectura recomendada de tres nodos económicos por la arquitectura Dell/Martinexsa: servidor ML/IA Dell PowerEdge R770, servidor de virtualización PowerEdge R770, servidor NAS/File Server PowerEdge R570, switch Dell PowerSwitch S5224F-ON 25/100GbE y estaciones ejecutivas/de gestión. Aclarar que componentes institucionales adicionales no expanden el scope del piloto.</w:t>
            </w:r>
          </w:p>
        </w:tc>
      </w:tr>
      <w:tr>
        <w:tc>
          <w:tcPr>
            <w:tcW w:type="dxa" w:w="2376"/>
            <w:vAlign w:val="top"/>
          </w:tcPr>
          <w:p>
            <w:pPr>
              <w:pStyle w:val="CellSmall"/>
            </w:pPr>
            <w:r/>
            <w:r>
              <w:rPr>
                <w:rFonts w:ascii="Arial" w:hAnsi="Arial" w:eastAsia="Arial"/>
                <w:b w:val="0"/>
                <w:sz w:val="15"/>
              </w:rPr>
              <w:t>A.7 Automatización y operación diaria</w:t>
            </w:r>
          </w:p>
        </w:tc>
        <w:tc>
          <w:tcPr>
            <w:tcW w:type="dxa" w:w="8280"/>
            <w:vAlign w:val="top"/>
          </w:tcPr>
          <w:p>
            <w:pPr>
              <w:pStyle w:val="CellSmall"/>
            </w:pPr>
            <w:r/>
            <w:r>
              <w:rPr>
                <w:rFonts w:ascii="Arial" w:hAnsi="Arial" w:eastAsia="Arial"/>
                <w:b w:val="0"/>
                <w:sz w:val="15"/>
              </w:rPr>
              <w:t>Ratificar que las ejecuciones diarias, dependencias, estados, retries, logs y notificaciones técnicas de pipeline se gestionarán desde Mage. No incorporar Grafana como requisito ni dependencia del piloto.</w:t>
            </w:r>
          </w:p>
        </w:tc>
      </w:tr>
      <w:tr>
        <w:tc>
          <w:tcPr>
            <w:tcW w:type="dxa" w:w="2376"/>
            <w:vAlign w:val="top"/>
          </w:tcPr>
          <w:p>
            <w:pPr>
              <w:pStyle w:val="CellSmall"/>
            </w:pPr>
            <w:r/>
            <w:r>
              <w:rPr>
                <w:rFonts w:ascii="Arial" w:hAnsi="Arial" w:eastAsia="Arial"/>
                <w:b w:val="0"/>
                <w:sz w:val="15"/>
              </w:rPr>
              <w:t>A.8 Visualización y alertas</w:t>
            </w:r>
          </w:p>
        </w:tc>
        <w:tc>
          <w:tcPr>
            <w:tcW w:type="dxa" w:w="8280"/>
            <w:vAlign w:val="top"/>
          </w:tcPr>
          <w:p>
            <w:pPr>
              <w:pStyle w:val="CellSmall"/>
            </w:pPr>
            <w:r/>
            <w:r>
              <w:rPr>
                <w:rFonts w:ascii="Arial" w:hAnsi="Arial" w:eastAsia="Arial"/>
                <w:b w:val="0"/>
                <w:sz w:val="15"/>
              </w:rPr>
              <w:t>Mantener dashboard/web app y alertas email/SMS. Aclarar que el dashboard operativo del sistema hidrológico no equivale a monitoreo corporativo de infraestructura Dell, SIEM, observabilidad data center ni Grafana.</w:t>
            </w:r>
          </w:p>
        </w:tc>
      </w:tr>
      <w:tr>
        <w:tc>
          <w:tcPr>
            <w:tcW w:type="dxa" w:w="2376"/>
            <w:vAlign w:val="top"/>
          </w:tcPr>
          <w:p>
            <w:pPr>
              <w:pStyle w:val="CellSmall"/>
            </w:pPr>
            <w:r/>
            <w:r>
              <w:rPr>
                <w:rFonts w:ascii="Arial" w:hAnsi="Arial" w:eastAsia="Arial"/>
                <w:b w:val="0"/>
                <w:sz w:val="15"/>
              </w:rPr>
              <w:t>A.10 Recursos humanos y RACI</w:t>
            </w:r>
          </w:p>
        </w:tc>
        <w:tc>
          <w:tcPr>
            <w:tcW w:type="dxa" w:w="8280"/>
            <w:vAlign w:val="top"/>
          </w:tcPr>
          <w:p>
            <w:pPr>
              <w:pStyle w:val="CellSmall"/>
            </w:pPr>
            <w:r/>
            <w:r>
              <w:rPr>
                <w:rFonts w:ascii="Arial" w:hAnsi="Arial" w:eastAsia="Arial"/>
                <w:b w:val="0"/>
                <w:sz w:val="15"/>
              </w:rPr>
              <w:t>Actualizar el RACI para reflejar que CEL/TI/proveedor son responsables de la instalación física, red base, soporte, garantías, administración de infraestructura y entrega técnica mínima. La Consultora es responsable del diseño técnico del piloto, stack de IA/datos, documentación, desarrollo, validación funcional y transferencia dentro del DSP.</w:t>
            </w:r>
          </w:p>
        </w:tc>
      </w:tr>
    </w:tbl>
    <w:p>
      <w:pPr>
        <w:pStyle w:val="Heading2"/>
      </w:pPr>
      <w:r>
        <w:t>1.5 Anexo Técnico B - Infraestructura Local Provista por CEL/Martinexsa</w:t>
      </w:r>
    </w:p>
    <w:p>
      <w:pPr>
        <w:jc w:val="both"/>
      </w:pPr>
      <w:r>
        <w:rPr>
          <w:b/>
        </w:rPr>
        <w:t>Objetivo actualizado:</w:t>
      </w:r>
      <w:r>
        <w:t xml:space="preserve"> formalizar que la infraestructura local para el AI Silo del piloto se ejecutará sobre la plataforma que CEL adquiera y ponga a disposición, manteniendo los principios de soberanía, seguridad, separación de cargas, escalabilidad y operación on-premise, pero reemplazando el BOM físico original por el BOM efectivo de CEL.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top"/>
            <w:shd w:fill="1F2937"/>
          </w:tcPr>
          <w:p>
            <w:pPr>
              <w:pStyle w:val="CellSmall"/>
            </w:pPr>
            <w:r/>
            <w:r>
              <w:rPr>
                <w:rFonts w:ascii="Arial" w:hAnsi="Arial" w:eastAsia="Arial"/>
                <w:b/>
                <w:color w:val="FFFFFF"/>
                <w:sz w:val="13"/>
              </w:rPr>
              <w:t>Capa / componente</w:t>
            </w:r>
          </w:p>
        </w:tc>
        <w:tc>
          <w:tcPr>
            <w:tcW w:type="dxa" w:w="3240"/>
            <w:vAlign w:val="top"/>
            <w:shd w:fill="1F2937"/>
          </w:tcPr>
          <w:p>
            <w:pPr>
              <w:pStyle w:val="CellSmall"/>
            </w:pPr>
            <w:r/>
            <w:r>
              <w:rPr>
                <w:rFonts w:ascii="Arial" w:hAnsi="Arial" w:eastAsia="Arial"/>
                <w:b/>
                <w:color w:val="FFFFFF"/>
                <w:sz w:val="13"/>
              </w:rPr>
              <w:t>Elemento provisto según arquitectura aceptada</w:t>
            </w:r>
          </w:p>
        </w:tc>
        <w:tc>
          <w:tcPr>
            <w:tcW w:type="dxa" w:w="3456"/>
            <w:vAlign w:val="top"/>
            <w:shd w:fill="1F2937"/>
          </w:tcPr>
          <w:p>
            <w:pPr>
              <w:pStyle w:val="CellSmall"/>
            </w:pPr>
            <w:r/>
            <w:r>
              <w:rPr>
                <w:rFonts w:ascii="Arial" w:hAnsi="Arial" w:eastAsia="Arial"/>
                <w:b/>
                <w:color w:val="FFFFFF"/>
                <w:sz w:val="13"/>
              </w:rPr>
              <w:t>Rol para el piloto</w:t>
            </w:r>
          </w:p>
        </w:tc>
        <w:tc>
          <w:tcPr>
            <w:tcW w:type="dxa" w:w="2592"/>
            <w:vAlign w:val="top"/>
            <w:shd w:fill="1F2937"/>
          </w:tcPr>
          <w:p>
            <w:pPr>
              <w:pStyle w:val="CellSmall"/>
            </w:pPr>
            <w:r/>
            <w:r>
              <w:rPr>
                <w:rFonts w:ascii="Arial" w:hAnsi="Arial" w:eastAsia="Arial"/>
                <w:b/>
                <w:color w:val="FFFFFF"/>
                <w:sz w:val="13"/>
              </w:rPr>
              <w:t>Responsabilidad primaria</w:t>
            </w:r>
          </w:p>
        </w:tc>
      </w:tr>
      <w:tr>
        <w:tc>
          <w:tcPr>
            <w:tcW w:type="dxa" w:w="1872"/>
            <w:vAlign w:val="top"/>
          </w:tcPr>
          <w:p>
            <w:pPr>
              <w:pStyle w:val="CellSmall"/>
            </w:pPr>
            <w:r/>
            <w:r>
              <w:rPr>
                <w:rFonts w:ascii="Arial" w:hAnsi="Arial" w:eastAsia="Arial"/>
                <w:b w:val="0"/>
                <w:sz w:val="13"/>
              </w:rPr>
              <w:t>Procesamiento IA</w:t>
            </w:r>
          </w:p>
        </w:tc>
        <w:tc>
          <w:tcPr>
            <w:tcW w:type="dxa" w:w="3240"/>
            <w:vAlign w:val="top"/>
          </w:tcPr>
          <w:p>
            <w:pPr>
              <w:pStyle w:val="CellSmall"/>
            </w:pPr>
            <w:r/>
            <w:r>
              <w:rPr>
                <w:rFonts w:ascii="Arial" w:hAnsi="Arial" w:eastAsia="Arial"/>
                <w:b w:val="0"/>
                <w:sz w:val="13"/>
              </w:rPr>
              <w:t>Dell PowerEdge R770 - Servidor ML/IA, con GPU NVIDIA de alto rendimiento según entrega final; la propuesta aceptada contempla H100 NVL 94 GB.</w:t>
            </w:r>
          </w:p>
        </w:tc>
        <w:tc>
          <w:tcPr>
            <w:tcW w:type="dxa" w:w="3456"/>
            <w:vAlign w:val="top"/>
          </w:tcPr>
          <w:p>
            <w:pPr>
              <w:pStyle w:val="CellSmall"/>
            </w:pPr>
            <w:r/>
            <w:r>
              <w:rPr>
                <w:rFonts w:ascii="Arial" w:hAnsi="Arial" w:eastAsia="Arial"/>
                <w:b w:val="0"/>
                <w:sz w:val="13"/>
              </w:rPr>
              <w:t>Entrenamiento, inferencia, experimentación, cómputo acelerado y procesamiento intensivo asociado al modelo hidrológico.</w:t>
            </w:r>
          </w:p>
        </w:tc>
        <w:tc>
          <w:tcPr>
            <w:tcW w:type="dxa" w:w="2592"/>
            <w:vAlign w:val="top"/>
          </w:tcPr>
          <w:p>
            <w:pPr>
              <w:pStyle w:val="CellSmall"/>
            </w:pPr>
            <w:r/>
            <w:r>
              <w:rPr>
                <w:rFonts w:ascii="Arial" w:hAnsi="Arial" w:eastAsia="Arial"/>
                <w:b w:val="0"/>
                <w:sz w:val="13"/>
              </w:rPr>
              <w:t>CEL/proveedor: entrega, soporte y plataforma base. Consultora: uso funcional, stack del piloto y validación.</w:t>
            </w:r>
          </w:p>
        </w:tc>
      </w:tr>
      <w:tr>
        <w:tc>
          <w:tcPr>
            <w:tcW w:type="dxa" w:w="1872"/>
            <w:vAlign w:val="top"/>
          </w:tcPr>
          <w:p>
            <w:pPr>
              <w:pStyle w:val="CellSmall"/>
            </w:pPr>
            <w:r/>
            <w:r>
              <w:rPr>
                <w:rFonts w:ascii="Arial" w:hAnsi="Arial" w:eastAsia="Arial"/>
                <w:b w:val="0"/>
                <w:sz w:val="13"/>
              </w:rPr>
              <w:t>Virtualización institucional</w:t>
            </w:r>
          </w:p>
        </w:tc>
        <w:tc>
          <w:tcPr>
            <w:tcW w:type="dxa" w:w="3240"/>
            <w:vAlign w:val="top"/>
          </w:tcPr>
          <w:p>
            <w:pPr>
              <w:pStyle w:val="CellSmall"/>
            </w:pPr>
            <w:r/>
            <w:r>
              <w:rPr>
                <w:rFonts w:ascii="Arial" w:hAnsi="Arial" w:eastAsia="Arial"/>
                <w:b w:val="0"/>
                <w:sz w:val="13"/>
              </w:rPr>
              <w:t>Dell PowerEdge R770 - servidor de virtualización.</w:t>
            </w:r>
          </w:p>
        </w:tc>
        <w:tc>
          <w:tcPr>
            <w:tcW w:type="dxa" w:w="3456"/>
            <w:vAlign w:val="top"/>
          </w:tcPr>
          <w:p>
            <w:pPr>
              <w:pStyle w:val="CellSmall"/>
            </w:pPr>
            <w:r/>
            <w:r>
              <w:rPr>
                <w:rFonts w:ascii="Arial" w:hAnsi="Arial" w:eastAsia="Arial"/>
                <w:b w:val="0"/>
                <w:sz w:val="13"/>
              </w:rPr>
              <w:t>Puede alojar servicios institucionales o componentes de integración si CEL lo define; no es automáticamente parte core del piloto salvo asignación formal.</w:t>
            </w:r>
          </w:p>
        </w:tc>
        <w:tc>
          <w:tcPr>
            <w:tcW w:type="dxa" w:w="2592"/>
            <w:vAlign w:val="top"/>
          </w:tcPr>
          <w:p>
            <w:pPr>
              <w:pStyle w:val="CellSmall"/>
            </w:pPr>
            <w:r/>
            <w:r>
              <w:rPr>
                <w:rFonts w:ascii="Arial" w:hAnsi="Arial" w:eastAsia="Arial"/>
                <w:b w:val="0"/>
                <w:sz w:val="13"/>
              </w:rPr>
              <w:t>CEL/TI/proveedor.</w:t>
            </w:r>
          </w:p>
        </w:tc>
      </w:tr>
      <w:tr>
        <w:tc>
          <w:tcPr>
            <w:tcW w:type="dxa" w:w="1872"/>
            <w:vAlign w:val="top"/>
          </w:tcPr>
          <w:p>
            <w:pPr>
              <w:pStyle w:val="CellSmall"/>
            </w:pPr>
            <w:r/>
            <w:r>
              <w:rPr>
                <w:rFonts w:ascii="Arial" w:hAnsi="Arial" w:eastAsia="Arial"/>
                <w:b w:val="0"/>
                <w:sz w:val="13"/>
              </w:rPr>
              <w:t>Almacenamiento NAS/File Server</w:t>
            </w:r>
          </w:p>
        </w:tc>
        <w:tc>
          <w:tcPr>
            <w:tcW w:type="dxa" w:w="3240"/>
            <w:vAlign w:val="top"/>
          </w:tcPr>
          <w:p>
            <w:pPr>
              <w:pStyle w:val="CellSmall"/>
            </w:pPr>
            <w:r/>
            <w:r>
              <w:rPr>
                <w:rFonts w:ascii="Arial" w:hAnsi="Arial" w:eastAsia="Arial"/>
                <w:b w:val="0"/>
                <w:sz w:val="13"/>
              </w:rPr>
              <w:t>Dell PowerEdge R570 con Windows Server 2025 Standard, almacenamiento RAID 6 y servicios SMB/NFS.</w:t>
            </w:r>
          </w:p>
        </w:tc>
        <w:tc>
          <w:tcPr>
            <w:tcW w:type="dxa" w:w="3456"/>
            <w:vAlign w:val="top"/>
          </w:tcPr>
          <w:p>
            <w:pPr>
              <w:pStyle w:val="CellSmall"/>
            </w:pPr>
            <w:r/>
            <w:r>
              <w:rPr>
                <w:rFonts w:ascii="Arial" w:hAnsi="Arial" w:eastAsia="Arial"/>
                <w:b w:val="0"/>
                <w:sz w:val="13"/>
              </w:rPr>
              <w:t>Repositorio de datasets, artefactos, archivos compartidos, históricos y soporte de almacenamiento para el entorno IA.</w:t>
            </w:r>
          </w:p>
        </w:tc>
        <w:tc>
          <w:tcPr>
            <w:tcW w:type="dxa" w:w="2592"/>
            <w:vAlign w:val="top"/>
          </w:tcPr>
          <w:p>
            <w:pPr>
              <w:pStyle w:val="CellSmall"/>
            </w:pPr>
            <w:r/>
            <w:r>
              <w:rPr>
                <w:rFonts w:ascii="Arial" w:hAnsi="Arial" w:eastAsia="Arial"/>
                <w:b w:val="0"/>
                <w:sz w:val="13"/>
              </w:rPr>
              <w:t>CEL/proveedor para instalación/administración; Consultora consume rutas/permisos autorizados.</w:t>
            </w:r>
          </w:p>
        </w:tc>
      </w:tr>
      <w:tr>
        <w:tc>
          <w:tcPr>
            <w:tcW w:type="dxa" w:w="1872"/>
            <w:vAlign w:val="top"/>
          </w:tcPr>
          <w:p>
            <w:pPr>
              <w:pStyle w:val="CellSmall"/>
            </w:pPr>
            <w:r/>
            <w:r>
              <w:rPr>
                <w:rFonts w:ascii="Arial" w:hAnsi="Arial" w:eastAsia="Arial"/>
                <w:b w:val="0"/>
                <w:sz w:val="13"/>
              </w:rPr>
              <w:t>Conectividad Data Center</w:t>
            </w:r>
          </w:p>
        </w:tc>
        <w:tc>
          <w:tcPr>
            <w:tcW w:type="dxa" w:w="3240"/>
            <w:vAlign w:val="top"/>
          </w:tcPr>
          <w:p>
            <w:pPr>
              <w:pStyle w:val="CellSmall"/>
            </w:pPr>
            <w:r/>
            <w:r>
              <w:rPr>
                <w:rFonts w:ascii="Arial" w:hAnsi="Arial" w:eastAsia="Arial"/>
                <w:b w:val="0"/>
                <w:sz w:val="13"/>
              </w:rPr>
              <w:t>Dell PowerSwitch S5224F-ON con puertos 25GbE/100GbE y SmartFabric OS10.</w:t>
            </w:r>
          </w:p>
        </w:tc>
        <w:tc>
          <w:tcPr>
            <w:tcW w:type="dxa" w:w="3456"/>
            <w:vAlign w:val="top"/>
          </w:tcPr>
          <w:p>
            <w:pPr>
              <w:pStyle w:val="CellSmall"/>
            </w:pPr>
            <w:r/>
            <w:r>
              <w:rPr>
                <w:rFonts w:ascii="Arial" w:hAnsi="Arial" w:eastAsia="Arial"/>
                <w:b w:val="0"/>
                <w:sz w:val="13"/>
              </w:rPr>
              <w:t>Conectividad de alta velocidad entre servidores, NAS y red de datos del piloto.</w:t>
            </w:r>
          </w:p>
        </w:tc>
        <w:tc>
          <w:tcPr>
            <w:tcW w:type="dxa" w:w="2592"/>
            <w:vAlign w:val="top"/>
          </w:tcPr>
          <w:p>
            <w:pPr>
              <w:pStyle w:val="CellSmall"/>
            </w:pPr>
            <w:r/>
            <w:r>
              <w:rPr>
                <w:rFonts w:ascii="Arial" w:hAnsi="Arial" w:eastAsia="Arial"/>
                <w:b w:val="0"/>
                <w:sz w:val="13"/>
              </w:rPr>
              <w:t>CEL/TI/proveedor.</w:t>
            </w:r>
          </w:p>
        </w:tc>
      </w:tr>
      <w:tr>
        <w:tc>
          <w:tcPr>
            <w:tcW w:type="dxa" w:w="1872"/>
            <w:vAlign w:val="top"/>
          </w:tcPr>
          <w:p>
            <w:pPr>
              <w:pStyle w:val="CellSmall"/>
            </w:pPr>
            <w:r/>
            <w:r>
              <w:rPr>
                <w:rFonts w:ascii="Arial" w:hAnsi="Arial" w:eastAsia="Arial"/>
                <w:b w:val="0"/>
                <w:sz w:val="13"/>
              </w:rPr>
              <w:t>Gestión/productividad</w:t>
            </w:r>
          </w:p>
        </w:tc>
        <w:tc>
          <w:tcPr>
            <w:tcW w:type="dxa" w:w="3240"/>
            <w:vAlign w:val="top"/>
          </w:tcPr>
          <w:p>
            <w:pPr>
              <w:pStyle w:val="CellSmall"/>
            </w:pPr>
            <w:r/>
            <w:r>
              <w:rPr>
                <w:rFonts w:ascii="Arial" w:hAnsi="Arial" w:eastAsia="Arial"/>
                <w:b w:val="0"/>
                <w:sz w:val="13"/>
              </w:rPr>
              <w:t>2 estaciones Dell Pro Max 16 Plus con docking, monitores 4K y periféricos.</w:t>
            </w:r>
          </w:p>
        </w:tc>
        <w:tc>
          <w:tcPr>
            <w:tcW w:type="dxa" w:w="3456"/>
            <w:vAlign w:val="top"/>
          </w:tcPr>
          <w:p>
            <w:pPr>
              <w:pStyle w:val="CellSmall"/>
            </w:pPr>
            <w:r/>
            <w:r>
              <w:rPr>
                <w:rFonts w:ascii="Arial" w:hAnsi="Arial" w:eastAsia="Arial"/>
                <w:b w:val="0"/>
                <w:sz w:val="13"/>
              </w:rPr>
              <w:t>Gestión, análisis técnico, visualización avanzada o estación de usuario, según CEL determine.</w:t>
            </w:r>
          </w:p>
        </w:tc>
        <w:tc>
          <w:tcPr>
            <w:tcW w:type="dxa" w:w="2592"/>
            <w:vAlign w:val="top"/>
          </w:tcPr>
          <w:p>
            <w:pPr>
              <w:pStyle w:val="CellSmall"/>
            </w:pPr>
            <w:r/>
            <w:r>
              <w:rPr>
                <w:rFonts w:ascii="Arial" w:hAnsi="Arial" w:eastAsia="Arial"/>
                <w:b w:val="0"/>
                <w:sz w:val="13"/>
              </w:rPr>
              <w:t>CEL. No constituye obligación de configuración aplicativa por la Consultora salvo solicitud formal dentro del piloto.</w:t>
            </w:r>
          </w:p>
        </w:tc>
      </w:tr>
    </w:tbl>
    <w:p>
      <w:pPr>
        <w:pStyle w:val="Heading2"/>
      </w:pPr>
      <w:r>
        <w:t>1.6 Anexo Técnico C - BOM actualizado</w:t>
      </w:r>
    </w:p>
    <w:p>
      <w:pPr>
        <w:jc w:val="both"/>
      </w:pPr>
      <w:r>
        <w:rPr>
          <w:b/>
        </w:rPr>
        <w:t xml:space="preserve">El BOM actualizado debe tratarse como BOM de infraestructura provista por CEL, no como presupuesto, adquisición ni obligación económica de la Consultora. </w:t>
      </w:r>
      <w:r>
        <w:t>La Consultora no garantiza precio, disponibilidad, SLA, garantía, soporte, licenciamiento ni configuración enterprise de componentes adquiridos por CEL, salvo la validación funcional del entorno requerido para el piloto.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vAlign w:val="top"/>
            <w:shd w:fill="1F2937"/>
          </w:tcPr>
          <w:p>
            <w:pPr>
              <w:pStyle w:val="CellSmall"/>
            </w:pPr>
            <w:r/>
            <w:r>
              <w:rPr>
                <w:rFonts w:ascii="Arial" w:hAnsi="Arial" w:eastAsia="Arial"/>
                <w:b/>
                <w:color w:val="FFFFFF"/>
                <w:sz w:val="14"/>
              </w:rPr>
              <w:t>Bloque</w:t>
            </w:r>
          </w:p>
        </w:tc>
        <w:tc>
          <w:tcPr>
            <w:tcW w:type="dxa" w:w="4320"/>
            <w:vAlign w:val="top"/>
            <w:shd w:fill="1F2937"/>
          </w:tcPr>
          <w:p>
            <w:pPr>
              <w:pStyle w:val="CellSmall"/>
            </w:pPr>
            <w:r/>
            <w:r>
              <w:rPr>
                <w:rFonts w:ascii="Arial" w:hAnsi="Arial" w:eastAsia="Arial"/>
                <w:b/>
                <w:color w:val="FFFFFF"/>
                <w:sz w:val="14"/>
              </w:rPr>
              <w:t>BOM actualizado / fuente de verdad física</w:t>
            </w:r>
          </w:p>
        </w:tc>
        <w:tc>
          <w:tcPr>
            <w:tcW w:type="dxa" w:w="2880"/>
            <w:vAlign w:val="top"/>
            <w:shd w:fill="1F2937"/>
          </w:tcPr>
          <w:p>
            <w:pPr>
              <w:pStyle w:val="CellSmall"/>
            </w:pPr>
            <w:r/>
            <w:r>
              <w:rPr>
                <w:rFonts w:ascii="Arial" w:hAnsi="Arial" w:eastAsia="Arial"/>
                <w:b/>
                <w:color w:val="FFFFFF"/>
                <w:sz w:val="14"/>
              </w:rPr>
              <w:t>Uso esperado en piloto</w:t>
            </w:r>
          </w:p>
        </w:tc>
        <w:tc>
          <w:tcPr>
            <w:tcW w:type="dxa" w:w="2736"/>
            <w:vAlign w:val="top"/>
            <w:shd w:fill="1F2937"/>
          </w:tcPr>
          <w:p>
            <w:pPr>
              <w:pStyle w:val="CellSmall"/>
            </w:pPr>
            <w:r/>
            <w:r>
              <w:rPr>
                <w:rFonts w:ascii="Arial" w:hAnsi="Arial" w:eastAsia="Arial"/>
                <w:b/>
                <w:color w:val="FFFFFF"/>
                <w:sz w:val="14"/>
              </w:rPr>
              <w:t>Nota de alcance</w:t>
            </w:r>
          </w:p>
        </w:tc>
      </w:tr>
      <w:tr>
        <w:tc>
          <w:tcPr>
            <w:tcW w:type="dxa" w:w="1584"/>
            <w:vAlign w:val="top"/>
          </w:tcPr>
          <w:p>
            <w:pPr>
              <w:pStyle w:val="CellSmall"/>
            </w:pPr>
            <w:r/>
            <w:r>
              <w:rPr>
                <w:rFonts w:ascii="Arial" w:hAnsi="Arial" w:eastAsia="Arial"/>
                <w:b w:val="0"/>
                <w:sz w:val="14"/>
              </w:rPr>
              <w:t>Servidor ML/IA</w:t>
            </w:r>
          </w:p>
        </w:tc>
        <w:tc>
          <w:tcPr>
            <w:tcW w:type="dxa" w:w="4320"/>
            <w:vAlign w:val="top"/>
          </w:tcPr>
          <w:p>
            <w:pPr>
              <w:pStyle w:val="CellSmall"/>
            </w:pPr>
            <w:r/>
            <w:r>
              <w:rPr>
                <w:rFonts w:ascii="Arial" w:hAnsi="Arial" w:eastAsia="Arial"/>
                <w:b w:val="0"/>
                <w:sz w:val="14"/>
              </w:rPr>
              <w:t>Dell PowerEdge R770, CPU dual Intel Xeon 6 Performance, memoria DDR5, GPU NVIDIA según entrega final, NVMe/SSD, iDRAC Enterprise, NVIDIA AI Enterprise/soporte según oferta.</w:t>
            </w:r>
          </w:p>
        </w:tc>
        <w:tc>
          <w:tcPr>
            <w:tcW w:type="dxa" w:w="2880"/>
            <w:vAlign w:val="top"/>
          </w:tcPr>
          <w:p>
            <w:pPr>
              <w:pStyle w:val="CellSmall"/>
            </w:pPr>
            <w:r/>
            <w:r>
              <w:rPr>
                <w:rFonts w:ascii="Arial" w:hAnsi="Arial" w:eastAsia="Arial"/>
                <w:b w:val="0"/>
                <w:sz w:val="14"/>
              </w:rPr>
              <w:t>Cómputo acelerado para entrenamiento e inferencia.</w:t>
            </w:r>
          </w:p>
        </w:tc>
        <w:tc>
          <w:tcPr>
            <w:tcW w:type="dxa" w:w="2736"/>
            <w:vAlign w:val="top"/>
          </w:tcPr>
          <w:p>
            <w:pPr>
              <w:pStyle w:val="CellSmall"/>
            </w:pPr>
            <w:r/>
            <w:r>
              <w:rPr>
                <w:rFonts w:ascii="Arial" w:hAnsi="Arial" w:eastAsia="Arial"/>
                <w:b w:val="0"/>
                <w:sz w:val="14"/>
              </w:rPr>
              <w:t>La validación se hará contra hardware instalado, no contra supuestos anteriores RTX.</w:t>
            </w:r>
          </w:p>
        </w:tc>
      </w:tr>
      <w:tr>
        <w:tc>
          <w:tcPr>
            <w:tcW w:type="dxa" w:w="1584"/>
            <w:vAlign w:val="top"/>
          </w:tcPr>
          <w:p>
            <w:pPr>
              <w:pStyle w:val="CellSmall"/>
            </w:pPr>
            <w:r/>
            <w:r>
              <w:rPr>
                <w:rFonts w:ascii="Arial" w:hAnsi="Arial" w:eastAsia="Arial"/>
                <w:b w:val="0"/>
                <w:sz w:val="14"/>
              </w:rPr>
              <w:t>Servidor virtualización</w:t>
            </w:r>
          </w:p>
        </w:tc>
        <w:tc>
          <w:tcPr>
            <w:tcW w:type="dxa" w:w="4320"/>
            <w:vAlign w:val="top"/>
          </w:tcPr>
          <w:p>
            <w:pPr>
              <w:pStyle w:val="CellSmall"/>
            </w:pPr>
            <w:r/>
            <w:r>
              <w:rPr>
                <w:rFonts w:ascii="Arial" w:hAnsi="Arial" w:eastAsia="Arial"/>
                <w:b w:val="0"/>
                <w:sz w:val="14"/>
              </w:rPr>
              <w:t>Dell PowerEdge R770 sin GPU dedicada para virtualización/servicios institucionales.</w:t>
            </w:r>
          </w:p>
        </w:tc>
        <w:tc>
          <w:tcPr>
            <w:tcW w:type="dxa" w:w="2880"/>
            <w:vAlign w:val="top"/>
          </w:tcPr>
          <w:p>
            <w:pPr>
              <w:pStyle w:val="CellSmall"/>
            </w:pPr>
            <w:r/>
            <w:r>
              <w:rPr>
                <w:rFonts w:ascii="Arial" w:hAnsi="Arial" w:eastAsia="Arial"/>
                <w:b w:val="0"/>
                <w:sz w:val="14"/>
              </w:rPr>
              <w:t>Solo si CEL asigna servicios del piloto a esta capa.</w:t>
            </w:r>
          </w:p>
        </w:tc>
        <w:tc>
          <w:tcPr>
            <w:tcW w:type="dxa" w:w="2736"/>
            <w:vAlign w:val="top"/>
          </w:tcPr>
          <w:p>
            <w:pPr>
              <w:pStyle w:val="CellSmall"/>
            </w:pPr>
            <w:r/>
            <w:r>
              <w:rPr>
                <w:rFonts w:ascii="Arial" w:hAnsi="Arial" w:eastAsia="Arial"/>
                <w:b w:val="0"/>
                <w:sz w:val="14"/>
              </w:rPr>
              <w:t>Virtualización/hypervisor/HA/DR no son responsabilidad de Consultora salvo adenda.</w:t>
            </w:r>
          </w:p>
        </w:tc>
      </w:tr>
      <w:tr>
        <w:tc>
          <w:tcPr>
            <w:tcW w:type="dxa" w:w="1584"/>
            <w:vAlign w:val="top"/>
          </w:tcPr>
          <w:p>
            <w:pPr>
              <w:pStyle w:val="CellSmall"/>
            </w:pPr>
            <w:r/>
            <w:r>
              <w:rPr>
                <w:rFonts w:ascii="Arial" w:hAnsi="Arial" w:eastAsia="Arial"/>
                <w:b w:val="0"/>
                <w:sz w:val="14"/>
              </w:rPr>
              <w:t>NAS/File Server</w:t>
            </w:r>
          </w:p>
        </w:tc>
        <w:tc>
          <w:tcPr>
            <w:tcW w:type="dxa" w:w="4320"/>
            <w:vAlign w:val="top"/>
          </w:tcPr>
          <w:p>
            <w:pPr>
              <w:pStyle w:val="CellSmall"/>
            </w:pPr>
            <w:r/>
            <w:r>
              <w:rPr>
                <w:rFonts w:ascii="Arial" w:hAnsi="Arial" w:eastAsia="Arial"/>
                <w:b w:val="0"/>
                <w:sz w:val="14"/>
              </w:rPr>
              <w:t>Dell PowerEdge R570, Windows Server 2025 Standard, RAID 6, SMB/NFS.</w:t>
            </w:r>
          </w:p>
        </w:tc>
        <w:tc>
          <w:tcPr>
            <w:tcW w:type="dxa" w:w="2880"/>
            <w:vAlign w:val="top"/>
          </w:tcPr>
          <w:p>
            <w:pPr>
              <w:pStyle w:val="CellSmall"/>
            </w:pPr>
            <w:r/>
            <w:r>
              <w:rPr>
                <w:rFonts w:ascii="Arial" w:hAnsi="Arial" w:eastAsia="Arial"/>
                <w:b w:val="0"/>
                <w:sz w:val="14"/>
              </w:rPr>
              <w:t>Datasets, archivos, artefactos y respaldo/almacenamiento del piloto según permisos.</w:t>
            </w:r>
          </w:p>
        </w:tc>
        <w:tc>
          <w:tcPr>
            <w:tcW w:type="dxa" w:w="2736"/>
            <w:vAlign w:val="top"/>
          </w:tcPr>
          <w:p>
            <w:pPr>
              <w:pStyle w:val="CellSmall"/>
            </w:pPr>
            <w:r/>
            <w:r>
              <w:rPr>
                <w:rFonts w:ascii="Arial" w:hAnsi="Arial" w:eastAsia="Arial"/>
                <w:b w:val="0"/>
                <w:sz w:val="14"/>
              </w:rPr>
              <w:t>Herramientas de backup, migraciones históricas y AD/GPO quedan fuera salvo alcance formal.</w:t>
            </w:r>
          </w:p>
        </w:tc>
      </w:tr>
      <w:tr>
        <w:tc>
          <w:tcPr>
            <w:tcW w:type="dxa" w:w="1584"/>
            <w:vAlign w:val="top"/>
          </w:tcPr>
          <w:p>
            <w:pPr>
              <w:pStyle w:val="CellSmall"/>
            </w:pPr>
            <w:r/>
            <w:r>
              <w:rPr>
                <w:rFonts w:ascii="Arial" w:hAnsi="Arial" w:eastAsia="Arial"/>
                <w:b w:val="0"/>
                <w:sz w:val="14"/>
              </w:rPr>
              <w:t>Switch</w:t>
            </w:r>
          </w:p>
        </w:tc>
        <w:tc>
          <w:tcPr>
            <w:tcW w:type="dxa" w:w="4320"/>
            <w:vAlign w:val="top"/>
          </w:tcPr>
          <w:p>
            <w:pPr>
              <w:pStyle w:val="CellSmall"/>
            </w:pPr>
            <w:r/>
            <w:r>
              <w:rPr>
                <w:rFonts w:ascii="Arial" w:hAnsi="Arial" w:eastAsia="Arial"/>
                <w:b w:val="0"/>
                <w:sz w:val="14"/>
              </w:rPr>
              <w:t>Dell PowerSwitch S5224F-ON, 25/100GbE.</w:t>
            </w:r>
          </w:p>
        </w:tc>
        <w:tc>
          <w:tcPr>
            <w:tcW w:type="dxa" w:w="2880"/>
            <w:vAlign w:val="top"/>
          </w:tcPr>
          <w:p>
            <w:pPr>
              <w:pStyle w:val="CellSmall"/>
            </w:pPr>
            <w:r/>
            <w:r>
              <w:rPr>
                <w:rFonts w:ascii="Arial" w:hAnsi="Arial" w:eastAsia="Arial"/>
                <w:b w:val="0"/>
                <w:sz w:val="14"/>
              </w:rPr>
              <w:t>Interconexión de alto desempeño.</w:t>
            </w:r>
          </w:p>
        </w:tc>
        <w:tc>
          <w:tcPr>
            <w:tcW w:type="dxa" w:w="2736"/>
            <w:vAlign w:val="top"/>
          </w:tcPr>
          <w:p>
            <w:pPr>
              <w:pStyle w:val="CellSmall"/>
            </w:pPr>
            <w:r/>
            <w:r>
              <w:rPr>
                <w:rFonts w:ascii="Arial" w:hAnsi="Arial" w:eastAsia="Arial"/>
                <w:b w:val="0"/>
                <w:sz w:val="14"/>
              </w:rPr>
              <w:t>Routing avanzado, BGP/EVPN, NAC, performance certification y monitoreo continuo son de CEL/proveedor.</w:t>
            </w:r>
          </w:p>
        </w:tc>
      </w:tr>
      <w:tr>
        <w:tc>
          <w:tcPr>
            <w:tcW w:type="dxa" w:w="1584"/>
            <w:vAlign w:val="top"/>
          </w:tcPr>
          <w:p>
            <w:pPr>
              <w:pStyle w:val="CellSmall"/>
            </w:pPr>
            <w:r/>
            <w:r>
              <w:rPr>
                <w:rFonts w:ascii="Arial" w:hAnsi="Arial" w:eastAsia="Arial"/>
                <w:b w:val="0"/>
                <w:sz w:val="14"/>
              </w:rPr>
              <w:t>Estaciones</w:t>
            </w:r>
          </w:p>
        </w:tc>
        <w:tc>
          <w:tcPr>
            <w:tcW w:type="dxa" w:w="4320"/>
            <w:vAlign w:val="top"/>
          </w:tcPr>
          <w:p>
            <w:pPr>
              <w:pStyle w:val="CellSmall"/>
            </w:pPr>
            <w:r/>
            <w:r>
              <w:rPr>
                <w:rFonts w:ascii="Arial" w:hAnsi="Arial" w:eastAsia="Arial"/>
                <w:b w:val="0"/>
                <w:sz w:val="14"/>
              </w:rPr>
              <w:t>Dell Pro Max 16 Plus + docking + monitores/periféricos.</w:t>
            </w:r>
          </w:p>
        </w:tc>
        <w:tc>
          <w:tcPr>
            <w:tcW w:type="dxa" w:w="2880"/>
            <w:vAlign w:val="top"/>
          </w:tcPr>
          <w:p>
            <w:pPr>
              <w:pStyle w:val="CellSmall"/>
            </w:pPr>
            <w:r/>
            <w:r>
              <w:rPr>
                <w:rFonts w:ascii="Arial" w:hAnsi="Arial" w:eastAsia="Arial"/>
                <w:b w:val="0"/>
                <w:sz w:val="14"/>
              </w:rPr>
              <w:t>Gestión y visualización por usuarios designados.</w:t>
            </w:r>
          </w:p>
        </w:tc>
        <w:tc>
          <w:tcPr>
            <w:tcW w:type="dxa" w:w="2736"/>
            <w:vAlign w:val="top"/>
          </w:tcPr>
          <w:p>
            <w:pPr>
              <w:pStyle w:val="CellSmall"/>
            </w:pPr>
            <w:r/>
            <w:r>
              <w:rPr>
                <w:rFonts w:ascii="Arial" w:hAnsi="Arial" w:eastAsia="Arial"/>
                <w:b w:val="0"/>
                <w:sz w:val="14"/>
              </w:rPr>
              <w:t>No amplía scope de capacitación/configuración de equipos finales.</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1F2937"/>
          </w:tcPr>
          <w:p>
            <w:pPr>
              <w:pStyle w:val="CellSmall"/>
            </w:pPr>
            <w:r/>
            <w:r>
              <w:rPr>
                <w:rFonts w:ascii="Arial" w:hAnsi="Arial" w:eastAsia="Arial"/>
                <w:b/>
                <w:color w:val="FFFFFF"/>
                <w:sz w:val="14"/>
              </w:rPr>
              <w:t>Capa software</w:t>
            </w:r>
          </w:p>
        </w:tc>
        <w:tc>
          <w:tcPr>
            <w:tcW w:type="dxa" w:w="7200"/>
            <w:vAlign w:val="top"/>
            <w:shd w:fill="1F2937"/>
          </w:tcPr>
          <w:p>
            <w:pPr>
              <w:pStyle w:val="CellSmall"/>
            </w:pPr>
            <w:r/>
            <w:r>
              <w:rPr>
                <w:rFonts w:ascii="Arial" w:hAnsi="Arial" w:eastAsia="Arial"/>
                <w:b/>
                <w:color w:val="FFFFFF"/>
                <w:sz w:val="14"/>
              </w:rPr>
              <w:t>Herramientas / criterio actualizado</w:t>
            </w:r>
          </w:p>
        </w:tc>
        <w:tc>
          <w:tcPr>
            <w:tcW w:type="dxa" w:w="1872"/>
            <w:vAlign w:val="top"/>
            <w:shd w:fill="1F2937"/>
          </w:tcPr>
          <w:p>
            <w:pPr>
              <w:pStyle w:val="CellSmall"/>
            </w:pPr>
            <w:r/>
            <w:r>
              <w:rPr>
                <w:rFonts w:ascii="Arial" w:hAnsi="Arial" w:eastAsia="Arial"/>
                <w:b/>
                <w:color w:val="FFFFFF"/>
                <w:sz w:val="14"/>
              </w:rPr>
              <w:t>Estado</w:t>
            </w:r>
          </w:p>
        </w:tc>
      </w:tr>
      <w:tr>
        <w:tc>
          <w:tcPr>
            <w:tcW w:type="dxa" w:w="2016"/>
            <w:vAlign w:val="top"/>
          </w:tcPr>
          <w:p>
            <w:pPr>
              <w:pStyle w:val="CellSmall"/>
            </w:pPr>
            <w:r/>
            <w:r>
              <w:rPr>
                <w:rFonts w:ascii="Arial" w:hAnsi="Arial" w:eastAsia="Arial"/>
                <w:b w:val="0"/>
                <w:sz w:val="14"/>
              </w:rPr>
              <w:t>Orquestación</w:t>
            </w:r>
          </w:p>
        </w:tc>
        <w:tc>
          <w:tcPr>
            <w:tcW w:type="dxa" w:w="7200"/>
            <w:vAlign w:val="top"/>
          </w:tcPr>
          <w:p>
            <w:pPr>
              <w:pStyle w:val="CellSmall"/>
            </w:pPr>
            <w:r/>
            <w:r>
              <w:rPr>
                <w:rFonts w:ascii="Arial" w:hAnsi="Arial" w:eastAsia="Arial"/>
                <w:b w:val="0"/>
                <w:sz w:val="14"/>
              </w:rPr>
              <w:t>Mage como capa central de pipelines, logs, retries, estados, ejecución programada, monitoreo operacional de flujos y documentación de procesos.</w:t>
            </w:r>
          </w:p>
        </w:tc>
        <w:tc>
          <w:tcPr>
            <w:tcW w:type="dxa" w:w="1872"/>
            <w:vAlign w:val="top"/>
          </w:tcPr>
          <w:p>
            <w:pPr>
              <w:pStyle w:val="CellSmall"/>
            </w:pPr>
            <w:r/>
            <w:r>
              <w:rPr>
                <w:rFonts w:ascii="Arial" w:hAnsi="Arial" w:eastAsia="Arial"/>
                <w:b w:val="0"/>
                <w:sz w:val="14"/>
              </w:rPr>
              <w:t>In-scope del piloto.</w:t>
            </w:r>
          </w:p>
        </w:tc>
      </w:tr>
      <w:tr>
        <w:tc>
          <w:tcPr>
            <w:tcW w:type="dxa" w:w="2016"/>
            <w:vAlign w:val="top"/>
          </w:tcPr>
          <w:p>
            <w:pPr>
              <w:pStyle w:val="CellSmall"/>
            </w:pPr>
            <w:r/>
            <w:r>
              <w:rPr>
                <w:rFonts w:ascii="Arial" w:hAnsi="Arial" w:eastAsia="Arial"/>
                <w:b w:val="0"/>
                <w:sz w:val="14"/>
              </w:rPr>
              <w:t>Bases de datos</w:t>
            </w:r>
          </w:p>
        </w:tc>
        <w:tc>
          <w:tcPr>
            <w:tcW w:type="dxa" w:w="7200"/>
            <w:vAlign w:val="top"/>
          </w:tcPr>
          <w:p>
            <w:pPr>
              <w:pStyle w:val="CellSmall"/>
            </w:pPr>
            <w:r/>
            <w:r>
              <w:rPr>
                <w:rFonts w:ascii="Arial" w:hAnsi="Arial" w:eastAsia="Arial"/>
                <w:b w:val="0"/>
                <w:sz w:val="14"/>
              </w:rPr>
              <w:t>PostgreSQL/PostGIS para histórico/geoespacial; MongoDB para datos operativos/tiempo real, según arquitectura lógica del piloto.</w:t>
            </w:r>
          </w:p>
        </w:tc>
        <w:tc>
          <w:tcPr>
            <w:tcW w:type="dxa" w:w="1872"/>
            <w:vAlign w:val="top"/>
          </w:tcPr>
          <w:p>
            <w:pPr>
              <w:pStyle w:val="CellSmall"/>
            </w:pPr>
            <w:r/>
            <w:r>
              <w:rPr>
                <w:rFonts w:ascii="Arial" w:hAnsi="Arial" w:eastAsia="Arial"/>
                <w:b w:val="0"/>
                <w:sz w:val="14"/>
              </w:rPr>
              <w:t>In-scope funcional; ubicación exacta a definir por CEL.</w:t>
            </w:r>
          </w:p>
        </w:tc>
      </w:tr>
      <w:tr>
        <w:tc>
          <w:tcPr>
            <w:tcW w:type="dxa" w:w="2016"/>
            <w:vAlign w:val="top"/>
          </w:tcPr>
          <w:p>
            <w:pPr>
              <w:pStyle w:val="CellSmall"/>
            </w:pPr>
            <w:r/>
            <w:r>
              <w:rPr>
                <w:rFonts w:ascii="Arial" w:hAnsi="Arial" w:eastAsia="Arial"/>
                <w:b w:val="0"/>
                <w:sz w:val="14"/>
              </w:rPr>
              <w:t>Lenguaje/librerías</w:t>
            </w:r>
          </w:p>
        </w:tc>
        <w:tc>
          <w:tcPr>
            <w:tcW w:type="dxa" w:w="7200"/>
            <w:vAlign w:val="top"/>
          </w:tcPr>
          <w:p>
            <w:pPr>
              <w:pStyle w:val="CellSmall"/>
            </w:pPr>
            <w:r/>
            <w:r>
              <w:rPr>
                <w:rFonts w:ascii="Arial" w:hAnsi="Arial" w:eastAsia="Arial"/>
                <w:b w:val="0"/>
                <w:sz w:val="14"/>
              </w:rPr>
              <w:t>Python, PyTorch, NeuralHydrology, NumPy, Pandas, GeoPandas, Rasterio/GDAL, Scikit-learn, Optuna u otras librerías open-source necesarias.</w:t>
            </w:r>
          </w:p>
        </w:tc>
        <w:tc>
          <w:tcPr>
            <w:tcW w:type="dxa" w:w="1872"/>
            <w:vAlign w:val="top"/>
          </w:tcPr>
          <w:p>
            <w:pPr>
              <w:pStyle w:val="CellSmall"/>
            </w:pPr>
            <w:r/>
            <w:r>
              <w:rPr>
                <w:rFonts w:ascii="Arial" w:hAnsi="Arial" w:eastAsia="Arial"/>
                <w:b w:val="0"/>
                <w:sz w:val="14"/>
              </w:rPr>
              <w:t>In-scope.</w:t>
            </w:r>
          </w:p>
        </w:tc>
      </w:tr>
      <w:tr>
        <w:tc>
          <w:tcPr>
            <w:tcW w:type="dxa" w:w="2016"/>
            <w:vAlign w:val="top"/>
          </w:tcPr>
          <w:p>
            <w:pPr>
              <w:pStyle w:val="CellSmall"/>
            </w:pPr>
            <w:r/>
            <w:r>
              <w:rPr>
                <w:rFonts w:ascii="Arial" w:hAnsi="Arial" w:eastAsia="Arial"/>
                <w:b w:val="0"/>
                <w:sz w:val="14"/>
              </w:rPr>
              <w:t>Contenedores</w:t>
            </w:r>
          </w:p>
        </w:tc>
        <w:tc>
          <w:tcPr>
            <w:tcW w:type="dxa" w:w="7200"/>
            <w:vAlign w:val="top"/>
          </w:tcPr>
          <w:p>
            <w:pPr>
              <w:pStyle w:val="CellSmall"/>
            </w:pPr>
            <w:r/>
            <w:r>
              <w:rPr>
                <w:rFonts w:ascii="Arial" w:hAnsi="Arial" w:eastAsia="Arial"/>
                <w:b w:val="0"/>
                <w:sz w:val="14"/>
              </w:rPr>
              <w:t>Docker/Docker Compose si el entorno base provisto lo permite y CEL lo autoriza.</w:t>
            </w:r>
          </w:p>
        </w:tc>
        <w:tc>
          <w:tcPr>
            <w:tcW w:type="dxa" w:w="1872"/>
            <w:vAlign w:val="top"/>
          </w:tcPr>
          <w:p>
            <w:pPr>
              <w:pStyle w:val="CellSmall"/>
            </w:pPr>
            <w:r/>
            <w:r>
              <w:rPr>
                <w:rFonts w:ascii="Arial" w:hAnsi="Arial" w:eastAsia="Arial"/>
                <w:b w:val="0"/>
                <w:sz w:val="14"/>
              </w:rPr>
              <w:t>In-scope limitado al piloto.</w:t>
            </w:r>
          </w:p>
        </w:tc>
      </w:tr>
      <w:tr>
        <w:tc>
          <w:tcPr>
            <w:tcW w:type="dxa" w:w="2016"/>
            <w:vAlign w:val="top"/>
          </w:tcPr>
          <w:p>
            <w:pPr>
              <w:pStyle w:val="CellSmall"/>
            </w:pPr>
            <w:r/>
            <w:r>
              <w:rPr>
                <w:rFonts w:ascii="Arial" w:hAnsi="Arial" w:eastAsia="Arial"/>
                <w:b w:val="0"/>
                <w:sz w:val="14"/>
              </w:rPr>
              <w:t>Dashboard</w:t>
            </w:r>
          </w:p>
        </w:tc>
        <w:tc>
          <w:tcPr>
            <w:tcW w:type="dxa" w:w="7200"/>
            <w:vAlign w:val="top"/>
          </w:tcPr>
          <w:p>
            <w:pPr>
              <w:pStyle w:val="CellSmall"/>
            </w:pPr>
            <w:r/>
            <w:r>
              <w:rPr>
                <w:rFonts w:ascii="Arial" w:hAnsi="Arial" w:eastAsia="Arial"/>
                <w:b w:val="0"/>
                <w:sz w:val="14"/>
              </w:rPr>
              <w:t>Node.js/React, Leaflet/Mapbox/OpenStreetMap según decisión UI/IT. No Grafana como dependencia del piloto.</w:t>
            </w:r>
          </w:p>
        </w:tc>
        <w:tc>
          <w:tcPr>
            <w:tcW w:type="dxa" w:w="1872"/>
            <w:vAlign w:val="top"/>
          </w:tcPr>
          <w:p>
            <w:pPr>
              <w:pStyle w:val="CellSmall"/>
            </w:pPr>
            <w:r/>
            <w:r>
              <w:rPr>
                <w:rFonts w:ascii="Arial" w:hAnsi="Arial" w:eastAsia="Arial"/>
                <w:b w:val="0"/>
                <w:sz w:val="14"/>
              </w:rPr>
              <w:t>In-scope para visualización hidrológica.</w:t>
            </w:r>
          </w:p>
        </w:tc>
      </w:tr>
      <w:tr>
        <w:tc>
          <w:tcPr>
            <w:tcW w:type="dxa" w:w="2016"/>
            <w:vAlign w:val="top"/>
          </w:tcPr>
          <w:p>
            <w:pPr>
              <w:pStyle w:val="CellSmall"/>
            </w:pPr>
            <w:r/>
            <w:r>
              <w:rPr>
                <w:rFonts w:ascii="Arial" w:hAnsi="Arial" w:eastAsia="Arial"/>
                <w:b w:val="0"/>
                <w:sz w:val="14"/>
              </w:rPr>
              <w:t>Sistema operativo</w:t>
            </w:r>
          </w:p>
        </w:tc>
        <w:tc>
          <w:tcPr>
            <w:tcW w:type="dxa" w:w="7200"/>
            <w:vAlign w:val="top"/>
          </w:tcPr>
          <w:p>
            <w:pPr>
              <w:pStyle w:val="CellSmall"/>
            </w:pPr>
            <w:r/>
            <w:r>
              <w:rPr>
                <w:rFonts w:ascii="Arial" w:hAnsi="Arial" w:eastAsia="Arial"/>
                <w:b w:val="0"/>
                <w:sz w:val="14"/>
              </w:rPr>
              <w:t>Ubuntu Server 24.04 LTS en servidor ML/IA según oferta; Windows Server 2025 Standard en NAS según oferta.</w:t>
            </w:r>
          </w:p>
        </w:tc>
        <w:tc>
          <w:tcPr>
            <w:tcW w:type="dxa" w:w="1872"/>
            <w:vAlign w:val="top"/>
          </w:tcPr>
          <w:p>
            <w:pPr>
              <w:pStyle w:val="CellSmall"/>
            </w:pPr>
            <w:r/>
            <w:r>
              <w:rPr>
                <w:rFonts w:ascii="Arial" w:hAnsi="Arial" w:eastAsia="Arial"/>
                <w:b w:val="0"/>
                <w:sz w:val="14"/>
              </w:rPr>
              <w:t>Base provista por proveedor/CEL; Consultora valida y consume.</w:t>
            </w:r>
          </w:p>
        </w:tc>
      </w:tr>
      <w:tr>
        <w:tc>
          <w:tcPr>
            <w:tcW w:type="dxa" w:w="2016"/>
            <w:vAlign w:val="top"/>
          </w:tcPr>
          <w:p>
            <w:pPr>
              <w:pStyle w:val="CellSmall"/>
            </w:pPr>
            <w:r/>
            <w:r>
              <w:rPr>
                <w:rFonts w:ascii="Arial" w:hAnsi="Arial" w:eastAsia="Arial"/>
                <w:b w:val="0"/>
                <w:sz w:val="14"/>
              </w:rPr>
              <w:t>NVIDIA</w:t>
            </w:r>
          </w:p>
        </w:tc>
        <w:tc>
          <w:tcPr>
            <w:tcW w:type="dxa" w:w="7200"/>
            <w:vAlign w:val="top"/>
          </w:tcPr>
          <w:p>
            <w:pPr>
              <w:pStyle w:val="CellSmall"/>
            </w:pPr>
            <w:r/>
            <w:r>
              <w:rPr>
                <w:rFonts w:ascii="Arial" w:hAnsi="Arial" w:eastAsia="Arial"/>
                <w:b w:val="0"/>
                <w:sz w:val="14"/>
              </w:rPr>
              <w:t>Drivers, CUDA, contenedores o NVIDIA AI Enterprise según disponibilidad del entorno y licencias de CEL.</w:t>
            </w:r>
          </w:p>
        </w:tc>
        <w:tc>
          <w:tcPr>
            <w:tcW w:type="dxa" w:w="1872"/>
            <w:vAlign w:val="top"/>
          </w:tcPr>
          <w:p>
            <w:pPr>
              <w:pStyle w:val="CellSmall"/>
            </w:pPr>
            <w:r/>
            <w:r>
              <w:rPr>
                <w:rFonts w:ascii="Arial" w:hAnsi="Arial" w:eastAsia="Arial"/>
                <w:b w:val="0"/>
                <w:sz w:val="14"/>
              </w:rPr>
              <w:t>CEL/proveedor provee; Consultora valida funcionalidad para piloto.</w:t>
            </w:r>
          </w:p>
        </w:tc>
      </w:tr>
      <w:tr>
        <w:tc>
          <w:tcPr>
            <w:tcW w:type="dxa" w:w="2016"/>
            <w:vAlign w:val="top"/>
          </w:tcPr>
          <w:p>
            <w:pPr>
              <w:pStyle w:val="CellSmall"/>
            </w:pPr>
            <w:r/>
            <w:r>
              <w:rPr>
                <w:rFonts w:ascii="Arial" w:hAnsi="Arial" w:eastAsia="Arial"/>
                <w:b w:val="0"/>
                <w:sz w:val="14"/>
              </w:rPr>
              <w:t>Fuera</w:t>
            </w:r>
          </w:p>
        </w:tc>
        <w:tc>
          <w:tcPr>
            <w:tcW w:type="dxa" w:w="7200"/>
            <w:vAlign w:val="top"/>
          </w:tcPr>
          <w:p>
            <w:pPr>
              <w:pStyle w:val="CellSmall"/>
            </w:pPr>
            <w:r/>
            <w:r>
              <w:rPr>
                <w:rFonts w:ascii="Arial" w:hAnsi="Arial" w:eastAsia="Arial"/>
                <w:b w:val="0"/>
                <w:sz w:val="14"/>
              </w:rPr>
              <w:t>Grafana, Pentaho, Kubernetes/OpenShift, SIEM, AD/LDAP avanzado, hardening CIS completo, HA/DR, monitoreo 24/7, herramientas corporativas de backup, microsegmentación, BGP/EVPN.</w:t>
            </w:r>
          </w:p>
        </w:tc>
        <w:tc>
          <w:tcPr>
            <w:tcW w:type="dxa" w:w="1872"/>
            <w:vAlign w:val="top"/>
          </w:tcPr>
          <w:p>
            <w:pPr>
              <w:pStyle w:val="CellSmall"/>
            </w:pPr>
            <w:r/>
            <w:r>
              <w:rPr>
                <w:rFonts w:ascii="Arial" w:hAnsi="Arial" w:eastAsia="Arial"/>
                <w:b w:val="0"/>
                <w:sz w:val="14"/>
              </w:rPr>
              <w:t>Fuera de alcance salvo adenda.</w:t>
            </w:r>
          </w:p>
        </w:tc>
      </w:tr>
    </w:tbl>
    <w:p>
      <w:pPr>
        <w:pStyle w:val="Heading2"/>
      </w:pPr>
      <w:r>
        <w:t>1.7 Anexo Técnico D - Riesgos actualizados y mitigación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vAlign w:val="top"/>
            <w:shd w:fill="1F2937"/>
          </w:tcPr>
          <w:p>
            <w:pPr>
              <w:pStyle w:val="CellSmall"/>
            </w:pPr>
            <w:r/>
            <w:r>
              <w:rPr>
                <w:rFonts w:ascii="Arial" w:hAnsi="Arial" w:eastAsia="Arial"/>
                <w:b/>
                <w:color w:val="FFFFFF"/>
                <w:sz w:val="13"/>
              </w:rPr>
              <w:t>Riesgo</w:t>
            </w:r>
          </w:p>
        </w:tc>
        <w:tc>
          <w:tcPr>
            <w:tcW w:type="dxa" w:w="3888"/>
            <w:vAlign w:val="top"/>
            <w:shd w:fill="1F2937"/>
          </w:tcPr>
          <w:p>
            <w:pPr>
              <w:pStyle w:val="CellSmall"/>
            </w:pPr>
            <w:r/>
            <w:r>
              <w:rPr>
                <w:rFonts w:ascii="Arial" w:hAnsi="Arial" w:eastAsia="Arial"/>
                <w:b/>
                <w:color w:val="FFFFFF"/>
                <w:sz w:val="13"/>
              </w:rPr>
              <w:t>Descripción</w:t>
            </w:r>
          </w:p>
        </w:tc>
        <w:tc>
          <w:tcPr>
            <w:tcW w:type="dxa" w:w="1080"/>
            <w:vAlign w:val="top"/>
            <w:shd w:fill="1F2937"/>
          </w:tcPr>
          <w:p>
            <w:pPr>
              <w:pStyle w:val="CellSmall"/>
            </w:pPr>
            <w:r/>
            <w:r>
              <w:rPr>
                <w:rFonts w:ascii="Arial" w:hAnsi="Arial" w:eastAsia="Arial"/>
                <w:b/>
                <w:color w:val="FFFFFF"/>
                <w:sz w:val="13"/>
              </w:rPr>
              <w:t>Impacto</w:t>
            </w:r>
          </w:p>
        </w:tc>
        <w:tc>
          <w:tcPr>
            <w:tcW w:type="dxa" w:w="4608"/>
            <w:vAlign w:val="top"/>
            <w:shd w:fill="1F2937"/>
          </w:tcPr>
          <w:p>
            <w:pPr>
              <w:pStyle w:val="CellSmall"/>
            </w:pPr>
            <w:r/>
            <w:r>
              <w:rPr>
                <w:rFonts w:ascii="Arial" w:hAnsi="Arial" w:eastAsia="Arial"/>
                <w:b/>
                <w:color w:val="FFFFFF"/>
                <w:sz w:val="13"/>
              </w:rPr>
              <w:t>Mitigación / decisión requerida</w:t>
            </w:r>
          </w:p>
        </w:tc>
      </w:tr>
      <w:tr>
        <w:tc>
          <w:tcPr>
            <w:tcW w:type="dxa" w:w="1944"/>
            <w:vAlign w:val="top"/>
          </w:tcPr>
          <w:p>
            <w:pPr>
              <w:pStyle w:val="CellSmall"/>
            </w:pPr>
            <w:r/>
            <w:r>
              <w:rPr>
                <w:rFonts w:ascii="Arial" w:hAnsi="Arial" w:eastAsia="Arial"/>
                <w:b w:val="0"/>
                <w:sz w:val="13"/>
              </w:rPr>
              <w:t>Handoff incompleto</w:t>
            </w:r>
          </w:p>
        </w:tc>
        <w:tc>
          <w:tcPr>
            <w:tcW w:type="dxa" w:w="3888"/>
            <w:vAlign w:val="top"/>
          </w:tcPr>
          <w:p>
            <w:pPr>
              <w:pStyle w:val="CellSmall"/>
            </w:pPr>
            <w:r/>
            <w:r>
              <w:rPr>
                <w:rFonts w:ascii="Arial" w:hAnsi="Arial" w:eastAsia="Arial"/>
                <w:b w:val="0"/>
                <w:sz w:val="13"/>
              </w:rPr>
              <w:t>Equipos adquiridos pero no listos técnica u operativamente para que la Consultora ejecute Fase 0.</w:t>
            </w:r>
          </w:p>
        </w:tc>
        <w:tc>
          <w:tcPr>
            <w:tcW w:type="dxa" w:w="1080"/>
            <w:vAlign w:val="top"/>
          </w:tcPr>
          <w:p>
            <w:pPr>
              <w:pStyle w:val="CellSmall"/>
            </w:pPr>
            <w:r/>
            <w:r>
              <w:rPr>
                <w:rFonts w:ascii="Arial" w:hAnsi="Arial" w:eastAsia="Arial"/>
                <w:b w:val="0"/>
                <w:sz w:val="13"/>
              </w:rPr>
              <w:t>Alto</w:t>
            </w:r>
          </w:p>
        </w:tc>
        <w:tc>
          <w:tcPr>
            <w:tcW w:type="dxa" w:w="4608"/>
            <w:vAlign w:val="top"/>
          </w:tcPr>
          <w:p>
            <w:pPr>
              <w:pStyle w:val="CellSmall"/>
            </w:pPr>
            <w:r/>
            <w:r>
              <w:rPr>
                <w:rFonts w:ascii="Arial" w:hAnsi="Arial" w:eastAsia="Arial"/>
                <w:b w:val="0"/>
                <w:sz w:val="13"/>
              </w:rPr>
              <w:t>Establecer checklist de handoff mínimo y no computar Fase 0 hasta que se cumpla o CEL emita waiver formal.</w:t>
            </w:r>
          </w:p>
        </w:tc>
      </w:tr>
      <w:tr>
        <w:tc>
          <w:tcPr>
            <w:tcW w:type="dxa" w:w="1944"/>
            <w:vAlign w:val="top"/>
          </w:tcPr>
          <w:p>
            <w:pPr>
              <w:pStyle w:val="CellSmall"/>
            </w:pPr>
            <w:r/>
            <w:r>
              <w:rPr>
                <w:rFonts w:ascii="Arial" w:hAnsi="Arial" w:eastAsia="Arial"/>
                <w:b w:val="0"/>
                <w:sz w:val="13"/>
              </w:rPr>
              <w:t>Divergencia DSP vs adquisición</w:t>
            </w:r>
          </w:p>
        </w:tc>
        <w:tc>
          <w:tcPr>
            <w:tcW w:type="dxa" w:w="3888"/>
            <w:vAlign w:val="top"/>
          </w:tcPr>
          <w:p>
            <w:pPr>
              <w:pStyle w:val="CellSmall"/>
            </w:pPr>
            <w:r/>
            <w:r>
              <w:rPr>
                <w:rFonts w:ascii="Arial" w:hAnsi="Arial" w:eastAsia="Arial"/>
                <w:b w:val="0"/>
                <w:sz w:val="13"/>
              </w:rPr>
              <w:t>El DSP contiene BOM y arquitectura física ya superados por la compra final.</w:t>
            </w:r>
          </w:p>
        </w:tc>
        <w:tc>
          <w:tcPr>
            <w:tcW w:type="dxa" w:w="1080"/>
            <w:vAlign w:val="top"/>
          </w:tcPr>
          <w:p>
            <w:pPr>
              <w:pStyle w:val="CellSmall"/>
            </w:pPr>
            <w:r/>
            <w:r>
              <w:rPr>
                <w:rFonts w:ascii="Arial" w:hAnsi="Arial" w:eastAsia="Arial"/>
                <w:b w:val="0"/>
                <w:sz w:val="13"/>
              </w:rPr>
              <w:t>Alto</w:t>
            </w:r>
          </w:p>
        </w:tc>
        <w:tc>
          <w:tcPr>
            <w:tcW w:type="dxa" w:w="4608"/>
            <w:vAlign w:val="top"/>
          </w:tcPr>
          <w:p>
            <w:pPr>
              <w:pStyle w:val="CellSmall"/>
            </w:pPr>
            <w:r/>
            <w:r>
              <w:rPr>
                <w:rFonts w:ascii="Arial" w:hAnsi="Arial" w:eastAsia="Arial"/>
                <w:b w:val="0"/>
                <w:sz w:val="13"/>
              </w:rPr>
              <w:t>Aprobar este anexo como adenda técnica/nota aclaratoria que sustituye referencias deprecated.</w:t>
            </w:r>
          </w:p>
        </w:tc>
      </w:tr>
      <w:tr>
        <w:tc>
          <w:tcPr>
            <w:tcW w:type="dxa" w:w="1944"/>
            <w:vAlign w:val="top"/>
          </w:tcPr>
          <w:p>
            <w:pPr>
              <w:pStyle w:val="CellSmall"/>
            </w:pPr>
            <w:r/>
            <w:r>
              <w:rPr>
                <w:rFonts w:ascii="Arial" w:hAnsi="Arial" w:eastAsia="Arial"/>
                <w:b w:val="0"/>
                <w:sz w:val="13"/>
              </w:rPr>
              <w:t>Ubicación de Mage/BD no definida</w:t>
            </w:r>
          </w:p>
        </w:tc>
        <w:tc>
          <w:tcPr>
            <w:tcW w:type="dxa" w:w="3888"/>
            <w:vAlign w:val="top"/>
          </w:tcPr>
          <w:p>
            <w:pPr>
              <w:pStyle w:val="CellSmall"/>
            </w:pPr>
            <w:r/>
            <w:r>
              <w:rPr>
                <w:rFonts w:ascii="Arial" w:hAnsi="Arial" w:eastAsia="Arial"/>
                <w:b w:val="0"/>
                <w:sz w:val="13"/>
              </w:rPr>
              <w:t>La arquitectura Dell incluye varias capas; aún debe decidirse dónde alojar Mage, PostgreSQL/PostGIS y MongoDB.</w:t>
            </w:r>
          </w:p>
        </w:tc>
        <w:tc>
          <w:tcPr>
            <w:tcW w:type="dxa" w:w="1080"/>
            <w:vAlign w:val="top"/>
          </w:tcPr>
          <w:p>
            <w:pPr>
              <w:pStyle w:val="CellSmall"/>
            </w:pPr>
            <w:r/>
            <w:r>
              <w:rPr>
                <w:rFonts w:ascii="Arial" w:hAnsi="Arial" w:eastAsia="Arial"/>
                <w:b w:val="0"/>
                <w:sz w:val="13"/>
              </w:rPr>
              <w:t>Medio</w:t>
            </w:r>
          </w:p>
        </w:tc>
        <w:tc>
          <w:tcPr>
            <w:tcW w:type="dxa" w:w="4608"/>
            <w:vAlign w:val="top"/>
          </w:tcPr>
          <w:p>
            <w:pPr>
              <w:pStyle w:val="CellSmall"/>
            </w:pPr>
            <w:r/>
            <w:r>
              <w:rPr>
                <w:rFonts w:ascii="Arial" w:hAnsi="Arial" w:eastAsia="Arial"/>
                <w:b w:val="0"/>
                <w:sz w:val="13"/>
              </w:rPr>
              <w:t>CEL/TI debe confirmar host, ruta, permisos y política de servicios antes del despliegue.</w:t>
            </w:r>
          </w:p>
        </w:tc>
      </w:tr>
      <w:tr>
        <w:tc>
          <w:tcPr>
            <w:tcW w:type="dxa" w:w="1944"/>
            <w:vAlign w:val="top"/>
          </w:tcPr>
          <w:p>
            <w:pPr>
              <w:pStyle w:val="CellSmall"/>
            </w:pPr>
            <w:r/>
            <w:r>
              <w:rPr>
                <w:rFonts w:ascii="Arial" w:hAnsi="Arial" w:eastAsia="Arial"/>
                <w:b w:val="0"/>
                <w:sz w:val="13"/>
              </w:rPr>
              <w:t>GPU/driver/NVIDIA stack</w:t>
            </w:r>
          </w:p>
        </w:tc>
        <w:tc>
          <w:tcPr>
            <w:tcW w:type="dxa" w:w="3888"/>
            <w:vAlign w:val="top"/>
          </w:tcPr>
          <w:p>
            <w:pPr>
              <w:pStyle w:val="CellSmall"/>
            </w:pPr>
            <w:r/>
            <w:r>
              <w:rPr>
                <w:rFonts w:ascii="Arial" w:hAnsi="Arial" w:eastAsia="Arial"/>
                <w:b w:val="0"/>
                <w:sz w:val="13"/>
              </w:rPr>
              <w:t>La propuesta contempla GPU empresarial; la funcionalidad depende de drivers, CUDA, permisos y licencias.</w:t>
            </w:r>
          </w:p>
        </w:tc>
        <w:tc>
          <w:tcPr>
            <w:tcW w:type="dxa" w:w="1080"/>
            <w:vAlign w:val="top"/>
          </w:tcPr>
          <w:p>
            <w:pPr>
              <w:pStyle w:val="CellSmall"/>
            </w:pPr>
            <w:r/>
            <w:r>
              <w:rPr>
                <w:rFonts w:ascii="Arial" w:hAnsi="Arial" w:eastAsia="Arial"/>
                <w:b w:val="0"/>
                <w:sz w:val="13"/>
              </w:rPr>
              <w:t>Medio-Alto</w:t>
            </w:r>
          </w:p>
        </w:tc>
        <w:tc>
          <w:tcPr>
            <w:tcW w:type="dxa" w:w="4608"/>
            <w:vAlign w:val="top"/>
          </w:tcPr>
          <w:p>
            <w:pPr>
              <w:pStyle w:val="CellSmall"/>
            </w:pPr>
            <w:r/>
            <w:r>
              <w:rPr>
                <w:rFonts w:ascii="Arial" w:hAnsi="Arial" w:eastAsia="Arial"/>
                <w:b w:val="0"/>
                <w:sz w:val="13"/>
              </w:rPr>
              <w:t>Proveedor/CEL deben entregar GPU visible, drivers funcionales y acceso para benchmark; Consultora valida para piloto.</w:t>
            </w:r>
          </w:p>
        </w:tc>
      </w:tr>
      <w:tr>
        <w:tc>
          <w:tcPr>
            <w:tcW w:type="dxa" w:w="1944"/>
            <w:vAlign w:val="top"/>
          </w:tcPr>
          <w:p>
            <w:pPr>
              <w:pStyle w:val="CellSmall"/>
            </w:pPr>
            <w:r/>
            <w:r>
              <w:rPr>
                <w:rFonts w:ascii="Arial" w:hAnsi="Arial" w:eastAsia="Arial"/>
                <w:b w:val="0"/>
                <w:sz w:val="13"/>
              </w:rPr>
              <w:t>Acceso remoto/VPN</w:t>
            </w:r>
          </w:p>
        </w:tc>
        <w:tc>
          <w:tcPr>
            <w:tcW w:type="dxa" w:w="3888"/>
            <w:vAlign w:val="top"/>
          </w:tcPr>
          <w:p>
            <w:pPr>
              <w:pStyle w:val="CellSmall"/>
            </w:pPr>
            <w:r/>
            <w:r>
              <w:rPr>
                <w:rFonts w:ascii="Arial" w:hAnsi="Arial" w:eastAsia="Arial"/>
                <w:b w:val="0"/>
                <w:sz w:val="13"/>
              </w:rPr>
              <w:t>Sin acceso seguro y estable, la Consultora no puede configurar ni validar el entorno.</w:t>
            </w:r>
          </w:p>
        </w:tc>
        <w:tc>
          <w:tcPr>
            <w:tcW w:type="dxa" w:w="1080"/>
            <w:vAlign w:val="top"/>
          </w:tcPr>
          <w:p>
            <w:pPr>
              <w:pStyle w:val="CellSmall"/>
            </w:pPr>
            <w:r/>
            <w:r>
              <w:rPr>
                <w:rFonts w:ascii="Arial" w:hAnsi="Arial" w:eastAsia="Arial"/>
                <w:b w:val="0"/>
                <w:sz w:val="13"/>
              </w:rPr>
              <w:t>Alto</w:t>
            </w:r>
          </w:p>
        </w:tc>
        <w:tc>
          <w:tcPr>
            <w:tcW w:type="dxa" w:w="4608"/>
            <w:vAlign w:val="top"/>
          </w:tcPr>
          <w:p>
            <w:pPr>
              <w:pStyle w:val="CellSmall"/>
            </w:pPr>
            <w:r/>
            <w:r>
              <w:rPr>
                <w:rFonts w:ascii="Arial" w:hAnsi="Arial" w:eastAsia="Arial"/>
                <w:b w:val="0"/>
                <w:sz w:val="13"/>
              </w:rPr>
              <w:t>VPN/bastion/credenciales y reglas de acceso como gate de inicio.</w:t>
            </w:r>
          </w:p>
        </w:tc>
      </w:tr>
      <w:tr>
        <w:tc>
          <w:tcPr>
            <w:tcW w:type="dxa" w:w="1944"/>
            <w:vAlign w:val="top"/>
          </w:tcPr>
          <w:p>
            <w:pPr>
              <w:pStyle w:val="CellSmall"/>
            </w:pPr>
            <w:r/>
            <w:r>
              <w:rPr>
                <w:rFonts w:ascii="Arial" w:hAnsi="Arial" w:eastAsia="Arial"/>
                <w:b w:val="0"/>
                <w:sz w:val="13"/>
              </w:rPr>
              <w:t>Backups/retención</w:t>
            </w:r>
          </w:p>
        </w:tc>
        <w:tc>
          <w:tcPr>
            <w:tcW w:type="dxa" w:w="3888"/>
            <w:vAlign w:val="top"/>
          </w:tcPr>
          <w:p>
            <w:pPr>
              <w:pStyle w:val="CellSmall"/>
            </w:pPr>
            <w:r/>
            <w:r>
              <w:rPr>
                <w:rFonts w:ascii="Arial" w:hAnsi="Arial" w:eastAsia="Arial"/>
                <w:b w:val="0"/>
                <w:sz w:val="13"/>
              </w:rPr>
              <w:t>NAS y almacenamiento existen, pero política de backup/restauración puede no estar definida.</w:t>
            </w:r>
          </w:p>
        </w:tc>
        <w:tc>
          <w:tcPr>
            <w:tcW w:type="dxa" w:w="1080"/>
            <w:vAlign w:val="top"/>
          </w:tcPr>
          <w:p>
            <w:pPr>
              <w:pStyle w:val="CellSmall"/>
            </w:pPr>
            <w:r/>
            <w:r>
              <w:rPr>
                <w:rFonts w:ascii="Arial" w:hAnsi="Arial" w:eastAsia="Arial"/>
                <w:b w:val="0"/>
                <w:sz w:val="13"/>
              </w:rPr>
              <w:t>Medio</w:t>
            </w:r>
          </w:p>
        </w:tc>
        <w:tc>
          <w:tcPr>
            <w:tcW w:type="dxa" w:w="4608"/>
            <w:vAlign w:val="top"/>
          </w:tcPr>
          <w:p>
            <w:pPr>
              <w:pStyle w:val="CellSmall"/>
            </w:pPr>
            <w:r/>
            <w:r>
              <w:rPr>
                <w:rFonts w:ascii="Arial" w:hAnsi="Arial" w:eastAsia="Arial"/>
                <w:b w:val="0"/>
                <w:sz w:val="13"/>
              </w:rPr>
              <w:t>CEL debe definir RPO/RTO y responsable; Consultora documenta respaldo mínimo del piloto si es autorizado.</w:t>
            </w:r>
          </w:p>
        </w:tc>
      </w:tr>
      <w:tr>
        <w:tc>
          <w:tcPr>
            <w:tcW w:type="dxa" w:w="1944"/>
            <w:vAlign w:val="top"/>
          </w:tcPr>
          <w:p>
            <w:pPr>
              <w:pStyle w:val="CellSmall"/>
            </w:pPr>
            <w:r/>
            <w:r>
              <w:rPr>
                <w:rFonts w:ascii="Arial" w:hAnsi="Arial" w:eastAsia="Arial"/>
                <w:b w:val="0"/>
                <w:sz w:val="13"/>
              </w:rPr>
              <w:t>Scope creep infraestructura</w:t>
            </w:r>
          </w:p>
        </w:tc>
        <w:tc>
          <w:tcPr>
            <w:tcW w:type="dxa" w:w="3888"/>
            <w:vAlign w:val="top"/>
          </w:tcPr>
          <w:p>
            <w:pPr>
              <w:pStyle w:val="CellSmall"/>
            </w:pPr>
            <w:r/>
            <w:r>
              <w:rPr>
                <w:rFonts w:ascii="Arial" w:hAnsi="Arial" w:eastAsia="Arial"/>
                <w:b w:val="0"/>
                <w:sz w:val="13"/>
              </w:rPr>
              <w:t>Componentes empresariales adicionales podrían pretender imputarse a la Consultora.</w:t>
            </w:r>
          </w:p>
        </w:tc>
        <w:tc>
          <w:tcPr>
            <w:tcW w:type="dxa" w:w="1080"/>
            <w:vAlign w:val="top"/>
          </w:tcPr>
          <w:p>
            <w:pPr>
              <w:pStyle w:val="CellSmall"/>
            </w:pPr>
            <w:r/>
            <w:r>
              <w:rPr>
                <w:rFonts w:ascii="Arial" w:hAnsi="Arial" w:eastAsia="Arial"/>
                <w:b w:val="0"/>
                <w:sz w:val="13"/>
              </w:rPr>
              <w:t>Alto</w:t>
            </w:r>
          </w:p>
        </w:tc>
        <w:tc>
          <w:tcPr>
            <w:tcW w:type="dxa" w:w="4608"/>
            <w:vAlign w:val="top"/>
          </w:tcPr>
          <w:p>
            <w:pPr>
              <w:pStyle w:val="CellSmall"/>
            </w:pPr>
            <w:r/>
            <w:r>
              <w:rPr>
                <w:rFonts w:ascii="Arial" w:hAnsi="Arial" w:eastAsia="Arial"/>
                <w:b w:val="0"/>
                <w:sz w:val="13"/>
              </w:rPr>
              <w:t>Cláusula expresa de no ampliación de alcance; cambios solo vía modificación contractual.</w:t>
            </w:r>
          </w:p>
        </w:tc>
      </w:tr>
      <w:tr>
        <w:tc>
          <w:tcPr>
            <w:tcW w:type="dxa" w:w="1944"/>
            <w:vAlign w:val="top"/>
          </w:tcPr>
          <w:p>
            <w:pPr>
              <w:pStyle w:val="CellSmall"/>
            </w:pPr>
            <w:r/>
            <w:r>
              <w:rPr>
                <w:rFonts w:ascii="Arial" w:hAnsi="Arial" w:eastAsia="Arial"/>
                <w:b w:val="0"/>
                <w:sz w:val="13"/>
              </w:rPr>
              <w:t>Exclusiones del proveedor</w:t>
            </w:r>
          </w:p>
        </w:tc>
        <w:tc>
          <w:tcPr>
            <w:tcW w:type="dxa" w:w="3888"/>
            <w:vAlign w:val="top"/>
          </w:tcPr>
          <w:p>
            <w:pPr>
              <w:pStyle w:val="CellSmall"/>
            </w:pPr>
            <w:r/>
            <w:r>
              <w:rPr>
                <w:rFonts w:ascii="Arial" w:hAnsi="Arial" w:eastAsia="Arial"/>
                <w:b w:val="0"/>
                <w:sz w:val="13"/>
              </w:rPr>
              <w:t>Martinexsa excluye varias actividades avanzadas; no deben trasladarse tácitamente a la Consultora.</w:t>
            </w:r>
          </w:p>
        </w:tc>
        <w:tc>
          <w:tcPr>
            <w:tcW w:type="dxa" w:w="1080"/>
            <w:vAlign w:val="top"/>
          </w:tcPr>
          <w:p>
            <w:pPr>
              <w:pStyle w:val="CellSmall"/>
            </w:pPr>
            <w:r/>
            <w:r>
              <w:rPr>
                <w:rFonts w:ascii="Arial" w:hAnsi="Arial" w:eastAsia="Arial"/>
                <w:b w:val="0"/>
                <w:sz w:val="13"/>
              </w:rPr>
              <w:t>Alto</w:t>
            </w:r>
          </w:p>
        </w:tc>
        <w:tc>
          <w:tcPr>
            <w:tcW w:type="dxa" w:w="4608"/>
            <w:vAlign w:val="top"/>
          </w:tcPr>
          <w:p>
            <w:pPr>
              <w:pStyle w:val="CellSmall"/>
            </w:pPr>
            <w:r/>
            <w:r>
              <w:rPr>
                <w:rFonts w:ascii="Arial" w:hAnsi="Arial" w:eastAsia="Arial"/>
                <w:b w:val="0"/>
                <w:sz w:val="13"/>
              </w:rPr>
              <w:t>Registrar exclusiones y asignar owners CEL/proveedor o adenda separada.</w:t>
            </w:r>
          </w:p>
        </w:tc>
      </w:tr>
      <w:tr>
        <w:tc>
          <w:tcPr>
            <w:tcW w:type="dxa" w:w="1944"/>
            <w:vAlign w:val="top"/>
          </w:tcPr>
          <w:p>
            <w:pPr>
              <w:pStyle w:val="CellSmall"/>
            </w:pPr>
            <w:r/>
            <w:r>
              <w:rPr>
                <w:rFonts w:ascii="Arial" w:hAnsi="Arial" w:eastAsia="Arial"/>
                <w:b w:val="0"/>
                <w:sz w:val="13"/>
              </w:rPr>
              <w:t>Monitoreo institucional</w:t>
            </w:r>
          </w:p>
        </w:tc>
        <w:tc>
          <w:tcPr>
            <w:tcW w:type="dxa" w:w="3888"/>
            <w:vAlign w:val="top"/>
          </w:tcPr>
          <w:p>
            <w:pPr>
              <w:pStyle w:val="CellSmall"/>
            </w:pPr>
            <w:r/>
            <w:r>
              <w:rPr>
                <w:rFonts w:ascii="Arial" w:hAnsi="Arial" w:eastAsia="Arial"/>
                <w:b w:val="0"/>
                <w:sz w:val="13"/>
              </w:rPr>
              <w:t>Mage monitorea pipelines, no sustituye SIEM/observabilidad data center/operación 24x7.</w:t>
            </w:r>
          </w:p>
        </w:tc>
        <w:tc>
          <w:tcPr>
            <w:tcW w:type="dxa" w:w="1080"/>
            <w:vAlign w:val="top"/>
          </w:tcPr>
          <w:p>
            <w:pPr>
              <w:pStyle w:val="CellSmall"/>
            </w:pPr>
            <w:r/>
            <w:r>
              <w:rPr>
                <w:rFonts w:ascii="Arial" w:hAnsi="Arial" w:eastAsia="Arial"/>
                <w:b w:val="0"/>
                <w:sz w:val="13"/>
              </w:rPr>
              <w:t>Medio</w:t>
            </w:r>
          </w:p>
        </w:tc>
        <w:tc>
          <w:tcPr>
            <w:tcW w:type="dxa" w:w="4608"/>
            <w:vAlign w:val="top"/>
          </w:tcPr>
          <w:p>
            <w:pPr>
              <w:pStyle w:val="CellSmall"/>
            </w:pPr>
            <w:r/>
            <w:r>
              <w:rPr>
                <w:rFonts w:ascii="Arial" w:hAnsi="Arial" w:eastAsia="Arial"/>
                <w:b w:val="0"/>
                <w:sz w:val="13"/>
              </w:rPr>
              <w:t>Separar monitoreo operacional del piloto vs monitoreo corporativo de infraestructura.</w:t>
            </w:r>
          </w:p>
        </w:tc>
      </w:tr>
      <w:tr>
        <w:tc>
          <w:tcPr>
            <w:tcW w:type="dxa" w:w="1944"/>
            <w:vAlign w:val="top"/>
          </w:tcPr>
          <w:p>
            <w:pPr>
              <w:pStyle w:val="CellSmall"/>
            </w:pPr>
            <w:r/>
            <w:r>
              <w:rPr>
                <w:rFonts w:ascii="Arial" w:hAnsi="Arial" w:eastAsia="Arial"/>
                <w:b w:val="0"/>
                <w:sz w:val="13"/>
              </w:rPr>
              <w:t>Atrasos de adquisición</w:t>
            </w:r>
          </w:p>
        </w:tc>
        <w:tc>
          <w:tcPr>
            <w:tcW w:type="dxa" w:w="3888"/>
            <w:vAlign w:val="top"/>
          </w:tcPr>
          <w:p>
            <w:pPr>
              <w:pStyle w:val="CellSmall"/>
            </w:pPr>
            <w:r/>
            <w:r>
              <w:rPr>
                <w:rFonts w:ascii="Arial" w:hAnsi="Arial" w:eastAsia="Arial"/>
                <w:b w:val="0"/>
                <w:sz w:val="13"/>
              </w:rPr>
              <w:t>Procurement, importación, instalación física o soporte proveedor retrasan el entorno.</w:t>
            </w:r>
          </w:p>
        </w:tc>
        <w:tc>
          <w:tcPr>
            <w:tcW w:type="dxa" w:w="1080"/>
            <w:vAlign w:val="top"/>
          </w:tcPr>
          <w:p>
            <w:pPr>
              <w:pStyle w:val="CellSmall"/>
            </w:pPr>
            <w:r/>
            <w:r>
              <w:rPr>
                <w:rFonts w:ascii="Arial" w:hAnsi="Arial" w:eastAsia="Arial"/>
                <w:b w:val="0"/>
                <w:sz w:val="13"/>
              </w:rPr>
              <w:t>Alto</w:t>
            </w:r>
          </w:p>
        </w:tc>
        <w:tc>
          <w:tcPr>
            <w:tcW w:type="dxa" w:w="4608"/>
            <w:vAlign w:val="top"/>
          </w:tcPr>
          <w:p>
            <w:pPr>
              <w:pStyle w:val="CellSmall"/>
            </w:pPr>
            <w:r/>
            <w:r>
              <w:rPr>
                <w:rFonts w:ascii="Arial" w:hAnsi="Arial" w:eastAsia="Arial"/>
                <w:b w:val="0"/>
                <w:sz w:val="13"/>
              </w:rPr>
              <w:t>Cronograma del piloto se ajusta por dependencias del Contratante/proveedor.</w:t>
            </w:r>
          </w:p>
        </w:tc>
      </w:tr>
    </w:tbl>
    <w:p>
      <w:r>
        <w:br w:type="page"/>
      </w:r>
    </w:p>
    <w:p>
      <w:pPr>
        <w:pStyle w:val="Heading1"/>
      </w:pPr>
      <w:r>
        <w:t>PARTE II. Matriz de cambios: antes / deprecated / reemplazo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656"/>
            <w:vAlign w:val="top"/>
            <w:shd w:fill="1F2937"/>
          </w:tcPr>
          <w:p>
            <w:pPr>
              <w:pStyle w:val="CellSmall"/>
            </w:pPr>
            <w:r/>
            <w:r>
              <w:rPr>
                <w:rFonts w:ascii="Arial" w:hAnsi="Arial" w:eastAsia="Arial"/>
                <w:b/>
                <w:color w:val="FFFFFF"/>
                <w:sz w:val="13"/>
              </w:rPr>
              <w:t>Elemento</w:t>
            </w:r>
          </w:p>
        </w:tc>
        <w:tc>
          <w:tcPr>
            <w:tcW w:type="dxa" w:w="2880"/>
            <w:vAlign w:val="top"/>
            <w:shd w:fill="1F2937"/>
          </w:tcPr>
          <w:p>
            <w:pPr>
              <w:pStyle w:val="CellSmall"/>
            </w:pPr>
            <w:r/>
            <w:r>
              <w:rPr>
                <w:rFonts w:ascii="Arial" w:hAnsi="Arial" w:eastAsia="Arial"/>
                <w:b/>
                <w:color w:val="FFFFFF"/>
                <w:sz w:val="13"/>
              </w:rPr>
              <w:t>Antes / documento original</w:t>
            </w:r>
          </w:p>
        </w:tc>
        <w:tc>
          <w:tcPr>
            <w:tcW w:type="dxa" w:w="1872"/>
            <w:vAlign w:val="top"/>
            <w:shd w:fill="1F2937"/>
          </w:tcPr>
          <w:p>
            <w:pPr>
              <w:pStyle w:val="CellSmall"/>
            </w:pPr>
            <w:r/>
            <w:r>
              <w:rPr>
                <w:rFonts w:ascii="Arial" w:hAnsi="Arial" w:eastAsia="Arial"/>
                <w:b/>
                <w:color w:val="FFFFFF"/>
                <w:sz w:val="13"/>
              </w:rPr>
              <w:t>Estado</w:t>
            </w:r>
          </w:p>
        </w:tc>
        <w:tc>
          <w:tcPr>
            <w:tcW w:type="dxa" w:w="3600"/>
            <w:vAlign w:val="top"/>
            <w:shd w:fill="1F2937"/>
          </w:tcPr>
          <w:p>
            <w:pPr>
              <w:pStyle w:val="CellSmall"/>
            </w:pPr>
            <w:r/>
            <w:r>
              <w:rPr>
                <w:rFonts w:ascii="Arial" w:hAnsi="Arial" w:eastAsia="Arial"/>
                <w:b/>
                <w:color w:val="FFFFFF"/>
                <w:sz w:val="13"/>
              </w:rPr>
              <w:t>Reemplazo actualizado</w:t>
            </w:r>
          </w:p>
        </w:tc>
        <w:tc>
          <w:tcPr>
            <w:tcW w:type="dxa" w:w="2448"/>
            <w:vAlign w:val="top"/>
            <w:shd w:fill="1F2937"/>
          </w:tcPr>
          <w:p>
            <w:pPr>
              <w:pStyle w:val="CellSmall"/>
            </w:pPr>
            <w:r/>
            <w:r>
              <w:rPr>
                <w:rFonts w:ascii="Arial" w:hAnsi="Arial" w:eastAsia="Arial"/>
                <w:b/>
                <w:color w:val="FFFFFF"/>
                <w:sz w:val="13"/>
              </w:rPr>
              <w:t>Efecto</w:t>
            </w:r>
          </w:p>
        </w:tc>
      </w:tr>
      <w:tr>
        <w:tc>
          <w:tcPr>
            <w:tcW w:type="dxa" w:w="1656"/>
            <w:vAlign w:val="top"/>
          </w:tcPr>
          <w:p>
            <w:pPr>
              <w:pStyle w:val="CellSmall"/>
            </w:pPr>
            <w:r/>
            <w:r>
              <w:rPr>
                <w:rFonts w:ascii="Arial" w:hAnsi="Arial" w:eastAsia="Arial"/>
                <w:b w:val="0"/>
                <w:sz w:val="13"/>
              </w:rPr>
              <w:t>Arquitectura física</w:t>
            </w:r>
          </w:p>
        </w:tc>
        <w:tc>
          <w:tcPr>
            <w:tcW w:type="dxa" w:w="2880"/>
            <w:vAlign w:val="top"/>
          </w:tcPr>
          <w:p>
            <w:pPr>
              <w:pStyle w:val="CellSmall"/>
            </w:pPr>
            <w:r/>
            <w:r>
              <w:rPr>
                <w:rFonts w:ascii="Arial" w:hAnsi="Arial" w:eastAsia="Arial"/>
                <w:b w:val="0"/>
                <w:sz w:val="13"/>
              </w:rPr>
              <w:t>3 nodos económicos: ML/Compute, Datos &amp; ETL, Backup NAS.</w:t>
            </w:r>
          </w:p>
        </w:tc>
        <w:tc>
          <w:tcPr>
            <w:tcW w:type="dxa" w:w="1872"/>
            <w:vAlign w:val="top"/>
          </w:tcPr>
          <w:p>
            <w:pPr>
              <w:pStyle w:val="CellSmall"/>
            </w:pPr>
            <w:r/>
            <w:r>
              <w:rPr>
                <w:rFonts w:ascii="Arial" w:hAnsi="Arial" w:eastAsia="Arial"/>
                <w:b w:val="0"/>
                <w:sz w:val="13"/>
              </w:rPr>
              <w:t>Deprecated como infraestructura física de ejecución.</w:t>
            </w:r>
          </w:p>
        </w:tc>
        <w:tc>
          <w:tcPr>
            <w:tcW w:type="dxa" w:w="3600"/>
            <w:vAlign w:val="top"/>
          </w:tcPr>
          <w:p>
            <w:pPr>
              <w:pStyle w:val="CellSmall"/>
            </w:pPr>
            <w:r/>
            <w:r>
              <w:rPr>
                <w:rFonts w:ascii="Arial" w:hAnsi="Arial" w:eastAsia="Arial"/>
                <w:b w:val="0"/>
                <w:sz w:val="13"/>
              </w:rPr>
              <w:t>Arquitectura Dell/Martinexsa provista por CEL: R770 IA, R770 virtualización, R570 NAS/File Server, S5224F-ON, estaciones.</w:t>
            </w:r>
          </w:p>
        </w:tc>
        <w:tc>
          <w:tcPr>
            <w:tcW w:type="dxa" w:w="2448"/>
            <w:vAlign w:val="top"/>
          </w:tcPr>
          <w:p>
            <w:pPr>
              <w:pStyle w:val="CellSmall"/>
            </w:pPr>
            <w:r/>
            <w:r>
              <w:rPr>
                <w:rFonts w:ascii="Arial" w:hAnsi="Arial" w:eastAsia="Arial"/>
                <w:b w:val="0"/>
                <w:sz w:val="13"/>
              </w:rPr>
              <w:t>No altera entregables; cambia plataforma física.</w:t>
            </w:r>
          </w:p>
        </w:tc>
      </w:tr>
      <w:tr>
        <w:tc>
          <w:tcPr>
            <w:tcW w:type="dxa" w:w="1656"/>
            <w:vAlign w:val="top"/>
          </w:tcPr>
          <w:p>
            <w:pPr>
              <w:pStyle w:val="CellSmall"/>
            </w:pPr>
            <w:r/>
            <w:r>
              <w:rPr>
                <w:rFonts w:ascii="Arial" w:hAnsi="Arial" w:eastAsia="Arial"/>
                <w:b w:val="0"/>
                <w:sz w:val="13"/>
              </w:rPr>
              <w:t>GPU</w:t>
            </w:r>
          </w:p>
        </w:tc>
        <w:tc>
          <w:tcPr>
            <w:tcW w:type="dxa" w:w="2880"/>
            <w:vAlign w:val="top"/>
          </w:tcPr>
          <w:p>
            <w:pPr>
              <w:pStyle w:val="CellSmall"/>
            </w:pPr>
            <w:r/>
            <w:r>
              <w:rPr>
                <w:rFonts w:ascii="Arial" w:hAnsi="Arial" w:eastAsia="Arial"/>
                <w:b w:val="0"/>
                <w:sz w:val="13"/>
              </w:rPr>
              <w:t>NVIDIA RTX 4090 24 GB; en algunos cálculos aparece RTX 4080.</w:t>
            </w:r>
          </w:p>
        </w:tc>
        <w:tc>
          <w:tcPr>
            <w:tcW w:type="dxa" w:w="1872"/>
            <w:vAlign w:val="top"/>
          </w:tcPr>
          <w:p>
            <w:pPr>
              <w:pStyle w:val="CellSmall"/>
            </w:pPr>
            <w:r/>
            <w:r>
              <w:rPr>
                <w:rFonts w:ascii="Arial" w:hAnsi="Arial" w:eastAsia="Arial"/>
                <w:b w:val="0"/>
                <w:sz w:val="13"/>
              </w:rPr>
              <w:t>Inconsistente y superado por adquisición final.</w:t>
            </w:r>
          </w:p>
        </w:tc>
        <w:tc>
          <w:tcPr>
            <w:tcW w:type="dxa" w:w="3600"/>
            <w:vAlign w:val="top"/>
          </w:tcPr>
          <w:p>
            <w:pPr>
              <w:pStyle w:val="CellSmall"/>
            </w:pPr>
            <w:r/>
            <w:r>
              <w:rPr>
                <w:rFonts w:ascii="Arial" w:hAnsi="Arial" w:eastAsia="Arial"/>
                <w:b w:val="0"/>
                <w:sz w:val="13"/>
              </w:rPr>
              <w:t>GPU NVIDIA instalada en nodo IA; propuesta aceptada contempla NVIDIA H100 NVL 94 GB, sujeta a validación física.</w:t>
            </w:r>
          </w:p>
        </w:tc>
        <w:tc>
          <w:tcPr>
            <w:tcW w:type="dxa" w:w="2448"/>
            <w:vAlign w:val="top"/>
          </w:tcPr>
          <w:p>
            <w:pPr>
              <w:pStyle w:val="CellSmall"/>
            </w:pPr>
            <w:r/>
            <w:r>
              <w:rPr>
                <w:rFonts w:ascii="Arial" w:hAnsi="Arial" w:eastAsia="Arial"/>
                <w:b w:val="0"/>
                <w:sz w:val="13"/>
              </w:rPr>
              <w:t>No fijar promesa a GPU no instalada; benchmarks contra equipo real.</w:t>
            </w:r>
          </w:p>
        </w:tc>
      </w:tr>
      <w:tr>
        <w:tc>
          <w:tcPr>
            <w:tcW w:type="dxa" w:w="1656"/>
            <w:vAlign w:val="top"/>
          </w:tcPr>
          <w:p>
            <w:pPr>
              <w:pStyle w:val="CellSmall"/>
            </w:pPr>
            <w:r/>
            <w:r>
              <w:rPr>
                <w:rFonts w:ascii="Arial" w:hAnsi="Arial" w:eastAsia="Arial"/>
                <w:b w:val="0"/>
                <w:sz w:val="13"/>
              </w:rPr>
              <w:t>Datos &amp; ETL</w:t>
            </w:r>
          </w:p>
        </w:tc>
        <w:tc>
          <w:tcPr>
            <w:tcW w:type="dxa" w:w="2880"/>
            <w:vAlign w:val="top"/>
          </w:tcPr>
          <w:p>
            <w:pPr>
              <w:pStyle w:val="CellSmall"/>
            </w:pPr>
            <w:r/>
            <w:r>
              <w:rPr>
                <w:rFonts w:ascii="Arial" w:hAnsi="Arial" w:eastAsia="Arial"/>
                <w:b w:val="0"/>
                <w:sz w:val="13"/>
              </w:rPr>
              <w:t>Servidor dedicado con Mage/PostgreSQL/Mongo; algunas secciones dicen Pentaho/Grafana.</w:t>
            </w:r>
          </w:p>
        </w:tc>
        <w:tc>
          <w:tcPr>
            <w:tcW w:type="dxa" w:w="1872"/>
            <w:vAlign w:val="top"/>
          </w:tcPr>
          <w:p>
            <w:pPr>
              <w:pStyle w:val="CellSmall"/>
            </w:pPr>
            <w:r/>
            <w:r>
              <w:rPr>
                <w:rFonts w:ascii="Arial" w:hAnsi="Arial" w:eastAsia="Arial"/>
                <w:b w:val="0"/>
                <w:sz w:val="13"/>
              </w:rPr>
              <w:t>Pentaho y Grafana quedan eliminados del piloto.</w:t>
            </w:r>
          </w:p>
        </w:tc>
        <w:tc>
          <w:tcPr>
            <w:tcW w:type="dxa" w:w="3600"/>
            <w:vAlign w:val="top"/>
          </w:tcPr>
          <w:p>
            <w:pPr>
              <w:pStyle w:val="CellSmall"/>
            </w:pPr>
            <w:r/>
            <w:r>
              <w:rPr>
                <w:rFonts w:ascii="Arial" w:hAnsi="Arial" w:eastAsia="Arial"/>
                <w:b w:val="0"/>
                <w:sz w:val="13"/>
              </w:rPr>
              <w:t>Mage es capa única de orquestación/observabilidad de pipelines; DBs en ubicación que CEL/TI confirme.</w:t>
            </w:r>
          </w:p>
        </w:tc>
        <w:tc>
          <w:tcPr>
            <w:tcW w:type="dxa" w:w="2448"/>
            <w:vAlign w:val="top"/>
          </w:tcPr>
          <w:p>
            <w:pPr>
              <w:pStyle w:val="CellSmall"/>
            </w:pPr>
            <w:r/>
            <w:r>
              <w:rPr>
                <w:rFonts w:ascii="Arial" w:hAnsi="Arial" w:eastAsia="Arial"/>
                <w:b w:val="0"/>
                <w:sz w:val="13"/>
              </w:rPr>
              <w:t>Reduce ambigüedad operativa.</w:t>
            </w:r>
          </w:p>
        </w:tc>
      </w:tr>
      <w:tr>
        <w:tc>
          <w:tcPr>
            <w:tcW w:type="dxa" w:w="1656"/>
            <w:vAlign w:val="top"/>
          </w:tcPr>
          <w:p>
            <w:pPr>
              <w:pStyle w:val="CellSmall"/>
            </w:pPr>
            <w:r/>
            <w:r>
              <w:rPr>
                <w:rFonts w:ascii="Arial" w:hAnsi="Arial" w:eastAsia="Arial"/>
                <w:b w:val="0"/>
                <w:sz w:val="13"/>
              </w:rPr>
              <w:t>Backup/NAS</w:t>
            </w:r>
          </w:p>
        </w:tc>
        <w:tc>
          <w:tcPr>
            <w:tcW w:type="dxa" w:w="2880"/>
            <w:vAlign w:val="top"/>
          </w:tcPr>
          <w:p>
            <w:pPr>
              <w:pStyle w:val="CellSmall"/>
            </w:pPr>
            <w:r/>
            <w:r>
              <w:rPr>
                <w:rFonts w:ascii="Arial" w:hAnsi="Arial" w:eastAsia="Arial"/>
                <w:b w:val="0"/>
                <w:sz w:val="13"/>
              </w:rPr>
              <w:t>NAS con ZFS/OpenZFS, RAID-6, snapshots nocturnos.</w:t>
            </w:r>
          </w:p>
        </w:tc>
        <w:tc>
          <w:tcPr>
            <w:tcW w:type="dxa" w:w="1872"/>
            <w:vAlign w:val="top"/>
          </w:tcPr>
          <w:p>
            <w:pPr>
              <w:pStyle w:val="CellSmall"/>
            </w:pPr>
            <w:r/>
            <w:r>
              <w:rPr>
                <w:rFonts w:ascii="Arial" w:hAnsi="Arial" w:eastAsia="Arial"/>
                <w:b w:val="0"/>
                <w:sz w:val="13"/>
              </w:rPr>
              <w:t>Superado si la plataforma final usa Windows Server/SMB/NFS.</w:t>
            </w:r>
          </w:p>
        </w:tc>
        <w:tc>
          <w:tcPr>
            <w:tcW w:type="dxa" w:w="3600"/>
            <w:vAlign w:val="top"/>
          </w:tcPr>
          <w:p>
            <w:pPr>
              <w:pStyle w:val="CellSmall"/>
            </w:pPr>
            <w:r/>
            <w:r>
              <w:rPr>
                <w:rFonts w:ascii="Arial" w:hAnsi="Arial" w:eastAsia="Arial"/>
                <w:b w:val="0"/>
                <w:sz w:val="13"/>
              </w:rPr>
              <w:t>NAS/File Server Dell PowerEdge R570 con Windows Server 2025 Standard, RAID 6, SMB/NFS según oferta.</w:t>
            </w:r>
          </w:p>
        </w:tc>
        <w:tc>
          <w:tcPr>
            <w:tcW w:type="dxa" w:w="2448"/>
            <w:vAlign w:val="top"/>
          </w:tcPr>
          <w:p>
            <w:pPr>
              <w:pStyle w:val="CellSmall"/>
            </w:pPr>
            <w:r/>
            <w:r>
              <w:rPr>
                <w:rFonts w:ascii="Arial" w:hAnsi="Arial" w:eastAsia="Arial"/>
                <w:b w:val="0"/>
                <w:sz w:val="13"/>
              </w:rPr>
              <w:t>Backups corporativos no son responsabilidad implícita de Consultora.</w:t>
            </w:r>
          </w:p>
        </w:tc>
      </w:tr>
      <w:tr>
        <w:tc>
          <w:tcPr>
            <w:tcW w:type="dxa" w:w="1656"/>
            <w:vAlign w:val="top"/>
          </w:tcPr>
          <w:p>
            <w:pPr>
              <w:pStyle w:val="CellSmall"/>
            </w:pPr>
            <w:r/>
            <w:r>
              <w:rPr>
                <w:rFonts w:ascii="Arial" w:hAnsi="Arial" w:eastAsia="Arial"/>
                <w:b w:val="0"/>
                <w:sz w:val="13"/>
              </w:rPr>
              <w:t>Red</w:t>
            </w:r>
          </w:p>
        </w:tc>
        <w:tc>
          <w:tcPr>
            <w:tcW w:type="dxa" w:w="2880"/>
            <w:vAlign w:val="top"/>
          </w:tcPr>
          <w:p>
            <w:pPr>
              <w:pStyle w:val="CellSmall"/>
            </w:pPr>
            <w:r/>
            <w:r>
              <w:rPr>
                <w:rFonts w:ascii="Arial" w:hAnsi="Arial" w:eastAsia="Arial"/>
                <w:b w:val="0"/>
                <w:sz w:val="13"/>
              </w:rPr>
              <w:t>Switch 10GbE y VLAN aislada.</w:t>
            </w:r>
          </w:p>
        </w:tc>
        <w:tc>
          <w:tcPr>
            <w:tcW w:type="dxa" w:w="1872"/>
            <w:vAlign w:val="top"/>
          </w:tcPr>
          <w:p>
            <w:pPr>
              <w:pStyle w:val="CellSmall"/>
            </w:pPr>
            <w:r/>
            <w:r>
              <w:rPr>
                <w:rFonts w:ascii="Arial" w:hAnsi="Arial" w:eastAsia="Arial"/>
                <w:b w:val="0"/>
                <w:sz w:val="13"/>
              </w:rPr>
              <w:t>Superado físicamente por switch 25/100GbE.</w:t>
            </w:r>
          </w:p>
        </w:tc>
        <w:tc>
          <w:tcPr>
            <w:tcW w:type="dxa" w:w="3600"/>
            <w:vAlign w:val="top"/>
          </w:tcPr>
          <w:p>
            <w:pPr>
              <w:pStyle w:val="CellSmall"/>
            </w:pPr>
            <w:r/>
            <w:r>
              <w:rPr>
                <w:rFonts w:ascii="Arial" w:hAnsi="Arial" w:eastAsia="Arial"/>
                <w:b w:val="0"/>
                <w:sz w:val="13"/>
              </w:rPr>
              <w:t>Dell PowerSwitch S5224F-ON 25/100GbE; CEL/TI/proveedor configuran red base.</w:t>
            </w:r>
          </w:p>
        </w:tc>
        <w:tc>
          <w:tcPr>
            <w:tcW w:type="dxa" w:w="2448"/>
            <w:vAlign w:val="top"/>
          </w:tcPr>
          <w:p>
            <w:pPr>
              <w:pStyle w:val="CellSmall"/>
            </w:pPr>
            <w:r/>
            <w:r>
              <w:rPr>
                <w:rFonts w:ascii="Arial" w:hAnsi="Arial" w:eastAsia="Arial"/>
                <w:b w:val="0"/>
                <w:sz w:val="13"/>
              </w:rPr>
              <w:t>La Consultora define requisitos y valida conectividad del piloto.</w:t>
            </w:r>
          </w:p>
        </w:tc>
      </w:tr>
      <w:tr>
        <w:tc>
          <w:tcPr>
            <w:tcW w:type="dxa" w:w="1656"/>
            <w:vAlign w:val="top"/>
          </w:tcPr>
          <w:p>
            <w:pPr>
              <w:pStyle w:val="CellSmall"/>
            </w:pPr>
            <w:r/>
            <w:r>
              <w:rPr>
                <w:rFonts w:ascii="Arial" w:hAnsi="Arial" w:eastAsia="Arial"/>
                <w:b w:val="0"/>
                <w:sz w:val="13"/>
              </w:rPr>
              <w:t>CAPEX/OPEX</w:t>
            </w:r>
          </w:p>
        </w:tc>
        <w:tc>
          <w:tcPr>
            <w:tcW w:type="dxa" w:w="2880"/>
            <w:vAlign w:val="top"/>
          </w:tcPr>
          <w:p>
            <w:pPr>
              <w:pStyle w:val="CellSmall"/>
            </w:pPr>
            <w:r/>
            <w:r>
              <w:rPr>
                <w:rFonts w:ascii="Arial" w:hAnsi="Arial" w:eastAsia="Arial"/>
                <w:b w:val="0"/>
                <w:sz w:val="13"/>
              </w:rPr>
              <w:t>US$15,600 CAPEX + OPEX estimado por arquitectura original.</w:t>
            </w:r>
          </w:p>
        </w:tc>
        <w:tc>
          <w:tcPr>
            <w:tcW w:type="dxa" w:w="1872"/>
            <w:vAlign w:val="top"/>
          </w:tcPr>
          <w:p>
            <w:pPr>
              <w:pStyle w:val="CellSmall"/>
            </w:pPr>
            <w:r/>
            <w:r>
              <w:rPr>
                <w:rFonts w:ascii="Arial" w:hAnsi="Arial" w:eastAsia="Arial"/>
                <w:b w:val="0"/>
                <w:sz w:val="13"/>
              </w:rPr>
              <w:t>No vigente para compra final CEL.</w:t>
            </w:r>
          </w:p>
        </w:tc>
        <w:tc>
          <w:tcPr>
            <w:tcW w:type="dxa" w:w="3600"/>
            <w:vAlign w:val="top"/>
          </w:tcPr>
          <w:p>
            <w:pPr>
              <w:pStyle w:val="CellSmall"/>
            </w:pPr>
            <w:r/>
            <w:r>
              <w:rPr>
                <w:rFonts w:ascii="Arial" w:hAnsi="Arial" w:eastAsia="Arial"/>
                <w:b w:val="0"/>
                <w:sz w:val="13"/>
              </w:rPr>
              <w:t>El costo real pertenece al proceso de adquisición CEL/Martinexsa; no debe figurar como presupuesto de Consultora.</w:t>
            </w:r>
          </w:p>
        </w:tc>
        <w:tc>
          <w:tcPr>
            <w:tcW w:type="dxa" w:w="2448"/>
            <w:vAlign w:val="top"/>
          </w:tcPr>
          <w:p>
            <w:pPr>
              <w:pStyle w:val="CellSmall"/>
            </w:pPr>
            <w:r/>
            <w:r>
              <w:rPr>
                <w:rFonts w:ascii="Arial" w:hAnsi="Arial" w:eastAsia="Arial"/>
                <w:b w:val="0"/>
                <w:sz w:val="13"/>
              </w:rPr>
              <w:t>Evita confusión financiera.</w:t>
            </w:r>
          </w:p>
        </w:tc>
      </w:tr>
      <w:tr>
        <w:tc>
          <w:tcPr>
            <w:tcW w:type="dxa" w:w="1656"/>
            <w:vAlign w:val="top"/>
          </w:tcPr>
          <w:p>
            <w:pPr>
              <w:pStyle w:val="CellSmall"/>
            </w:pPr>
            <w:r/>
            <w:r>
              <w:rPr>
                <w:rFonts w:ascii="Arial" w:hAnsi="Arial" w:eastAsia="Arial"/>
                <w:b w:val="0"/>
                <w:sz w:val="13"/>
              </w:rPr>
              <w:t>UPS/rack/cooling</w:t>
            </w:r>
          </w:p>
        </w:tc>
        <w:tc>
          <w:tcPr>
            <w:tcW w:type="dxa" w:w="2880"/>
            <w:vAlign w:val="top"/>
          </w:tcPr>
          <w:p>
            <w:pPr>
              <w:pStyle w:val="CellSmall"/>
            </w:pPr>
            <w:r/>
            <w:r>
              <w:rPr>
                <w:rFonts w:ascii="Arial" w:hAnsi="Arial" w:eastAsia="Arial"/>
                <w:b w:val="0"/>
                <w:sz w:val="13"/>
              </w:rPr>
              <w:t>UPS 3 kVA, rack 2U/4U según BOM original.</w:t>
            </w:r>
          </w:p>
        </w:tc>
        <w:tc>
          <w:tcPr>
            <w:tcW w:type="dxa" w:w="1872"/>
            <w:vAlign w:val="top"/>
          </w:tcPr>
          <w:p>
            <w:pPr>
              <w:pStyle w:val="CellSmall"/>
            </w:pPr>
            <w:r/>
            <w:r>
              <w:rPr>
                <w:rFonts w:ascii="Arial" w:hAnsi="Arial" w:eastAsia="Arial"/>
                <w:b w:val="0"/>
                <w:sz w:val="13"/>
              </w:rPr>
              <w:t>No usar como fuente de verdad física final.</w:t>
            </w:r>
          </w:p>
        </w:tc>
        <w:tc>
          <w:tcPr>
            <w:tcW w:type="dxa" w:w="3600"/>
            <w:vAlign w:val="top"/>
          </w:tcPr>
          <w:p>
            <w:pPr>
              <w:pStyle w:val="CellSmall"/>
            </w:pPr>
            <w:r/>
            <w:r>
              <w:rPr>
                <w:rFonts w:ascii="Arial" w:hAnsi="Arial" w:eastAsia="Arial"/>
                <w:b w:val="0"/>
                <w:sz w:val="13"/>
              </w:rPr>
              <w:t>Infraestructura física, energía, rack, cooling y garantías son de CEL/proveedor.</w:t>
            </w:r>
          </w:p>
        </w:tc>
        <w:tc>
          <w:tcPr>
            <w:tcW w:type="dxa" w:w="2448"/>
            <w:vAlign w:val="top"/>
          </w:tcPr>
          <w:p>
            <w:pPr>
              <w:pStyle w:val="CellSmall"/>
            </w:pPr>
            <w:r/>
            <w:r>
              <w:rPr>
                <w:rFonts w:ascii="Arial" w:hAnsi="Arial" w:eastAsia="Arial"/>
                <w:b w:val="0"/>
                <w:sz w:val="13"/>
              </w:rPr>
              <w:t>No imputar a Consultora.</w:t>
            </w:r>
          </w:p>
        </w:tc>
      </w:tr>
      <w:tr>
        <w:tc>
          <w:tcPr>
            <w:tcW w:type="dxa" w:w="1656"/>
            <w:vAlign w:val="top"/>
          </w:tcPr>
          <w:p>
            <w:pPr>
              <w:pStyle w:val="CellSmall"/>
            </w:pPr>
            <w:r/>
            <w:r>
              <w:rPr>
                <w:rFonts w:ascii="Arial" w:hAnsi="Arial" w:eastAsia="Arial"/>
                <w:b w:val="0"/>
                <w:sz w:val="13"/>
              </w:rPr>
              <w:t>Fase 0</w:t>
            </w:r>
          </w:p>
        </w:tc>
        <w:tc>
          <w:tcPr>
            <w:tcW w:type="dxa" w:w="2880"/>
            <w:vAlign w:val="top"/>
          </w:tcPr>
          <w:p>
            <w:pPr>
              <w:pStyle w:val="CellSmall"/>
            </w:pPr>
            <w:r/>
            <w:r>
              <w:rPr>
                <w:rFonts w:ascii="Arial" w:hAnsi="Arial" w:eastAsia="Arial"/>
                <w:b w:val="0"/>
                <w:sz w:val="13"/>
              </w:rPr>
              <w:t>Implementar/configurar/validar infraestructura y stack.</w:t>
            </w:r>
          </w:p>
        </w:tc>
        <w:tc>
          <w:tcPr>
            <w:tcW w:type="dxa" w:w="1872"/>
            <w:vAlign w:val="top"/>
          </w:tcPr>
          <w:p>
            <w:pPr>
              <w:pStyle w:val="CellSmall"/>
            </w:pPr>
            <w:r/>
            <w:r>
              <w:rPr>
                <w:rFonts w:ascii="Arial" w:hAnsi="Arial" w:eastAsia="Arial"/>
                <w:b w:val="0"/>
                <w:sz w:val="13"/>
              </w:rPr>
              <w:t>Debe interpretarse con RACI y nueva adquisición.</w:t>
            </w:r>
          </w:p>
        </w:tc>
        <w:tc>
          <w:tcPr>
            <w:tcW w:type="dxa" w:w="3600"/>
            <w:vAlign w:val="top"/>
          </w:tcPr>
          <w:p>
            <w:pPr>
              <w:pStyle w:val="CellSmall"/>
            </w:pPr>
            <w:r/>
            <w:r>
              <w:rPr>
                <w:rFonts w:ascii="Arial" w:hAnsi="Arial" w:eastAsia="Arial"/>
                <w:b w:val="0"/>
                <w:sz w:val="13"/>
              </w:rPr>
              <w:t>Validar y configurar el entorno del piloto sobre infraestructura provista; no adquirir ni operar data center.</w:t>
            </w:r>
          </w:p>
        </w:tc>
        <w:tc>
          <w:tcPr>
            <w:tcW w:type="dxa" w:w="2448"/>
            <w:vAlign w:val="top"/>
          </w:tcPr>
          <w:p>
            <w:pPr>
              <w:pStyle w:val="CellSmall"/>
            </w:pPr>
            <w:r/>
            <w:r>
              <w:rPr>
                <w:rFonts w:ascii="Arial" w:hAnsi="Arial" w:eastAsia="Arial"/>
                <w:b w:val="0"/>
                <w:sz w:val="13"/>
              </w:rPr>
              <w:t>Mantiene scope contractual.</w:t>
            </w:r>
          </w:p>
        </w:tc>
      </w:tr>
      <w:tr>
        <w:tc>
          <w:tcPr>
            <w:tcW w:type="dxa" w:w="1656"/>
            <w:vAlign w:val="top"/>
          </w:tcPr>
          <w:p>
            <w:pPr>
              <w:pStyle w:val="CellSmall"/>
            </w:pPr>
            <w:r/>
            <w:r>
              <w:rPr>
                <w:rFonts w:ascii="Arial" w:hAnsi="Arial" w:eastAsia="Arial"/>
                <w:b w:val="0"/>
                <w:sz w:val="13"/>
              </w:rPr>
              <w:t>RACI</w:t>
            </w:r>
          </w:p>
        </w:tc>
        <w:tc>
          <w:tcPr>
            <w:tcW w:type="dxa" w:w="2880"/>
            <w:vAlign w:val="top"/>
          </w:tcPr>
          <w:p>
            <w:pPr>
              <w:pStyle w:val="CellSmall"/>
            </w:pPr>
            <w:r/>
            <w:r>
              <w:rPr>
                <w:rFonts w:ascii="Arial" w:hAnsi="Arial" w:eastAsia="Arial"/>
                <w:b w:val="0"/>
                <w:sz w:val="13"/>
              </w:rPr>
              <w:t>Consultora diseña/guía; CEL ejecuta infraestructura.</w:t>
            </w:r>
          </w:p>
        </w:tc>
        <w:tc>
          <w:tcPr>
            <w:tcW w:type="dxa" w:w="1872"/>
            <w:vAlign w:val="top"/>
          </w:tcPr>
          <w:p>
            <w:pPr>
              <w:pStyle w:val="CellSmall"/>
            </w:pPr>
            <w:r/>
            <w:r>
              <w:rPr>
                <w:rFonts w:ascii="Arial" w:hAnsi="Arial" w:eastAsia="Arial"/>
                <w:b w:val="0"/>
                <w:sz w:val="13"/>
              </w:rPr>
              <w:t>Debe reforzarse por nueva compra.</w:t>
            </w:r>
          </w:p>
        </w:tc>
        <w:tc>
          <w:tcPr>
            <w:tcW w:type="dxa" w:w="3600"/>
            <w:vAlign w:val="top"/>
          </w:tcPr>
          <w:p>
            <w:pPr>
              <w:pStyle w:val="CellSmall"/>
            </w:pPr>
            <w:r/>
            <w:r>
              <w:rPr>
                <w:rFonts w:ascii="Arial" w:hAnsi="Arial" w:eastAsia="Arial"/>
                <w:b w:val="0"/>
                <w:sz w:val="13"/>
              </w:rPr>
              <w:t>CEL/TI/proveedor responsables de instalación física, soporte, red base y entrega técnica; Consultora responsable del piloto.</w:t>
            </w:r>
          </w:p>
        </w:tc>
        <w:tc>
          <w:tcPr>
            <w:tcW w:type="dxa" w:w="2448"/>
            <w:vAlign w:val="top"/>
          </w:tcPr>
          <w:p>
            <w:pPr>
              <w:pStyle w:val="CellSmall"/>
            </w:pPr>
            <w:r/>
            <w:r>
              <w:rPr>
                <w:rFonts w:ascii="Arial" w:hAnsi="Arial" w:eastAsia="Arial"/>
                <w:b w:val="0"/>
                <w:sz w:val="13"/>
              </w:rPr>
              <w:t>Demarcación clara.</w:t>
            </w:r>
          </w:p>
        </w:tc>
      </w:tr>
      <w:tr>
        <w:tc>
          <w:tcPr>
            <w:tcW w:type="dxa" w:w="1656"/>
            <w:vAlign w:val="top"/>
          </w:tcPr>
          <w:p>
            <w:pPr>
              <w:pStyle w:val="CellSmall"/>
            </w:pPr>
            <w:r/>
            <w:r>
              <w:rPr>
                <w:rFonts w:ascii="Arial" w:hAnsi="Arial" w:eastAsia="Arial"/>
                <w:b w:val="0"/>
                <w:sz w:val="13"/>
              </w:rPr>
              <w:t>Grafana</w:t>
            </w:r>
          </w:p>
        </w:tc>
        <w:tc>
          <w:tcPr>
            <w:tcW w:type="dxa" w:w="2880"/>
            <w:vAlign w:val="top"/>
          </w:tcPr>
          <w:p>
            <w:pPr>
              <w:pStyle w:val="CellSmall"/>
            </w:pPr>
            <w:r/>
            <w:r>
              <w:rPr>
                <w:rFonts w:ascii="Arial" w:hAnsi="Arial" w:eastAsia="Arial"/>
                <w:b w:val="0"/>
                <w:sz w:val="13"/>
              </w:rPr>
              <w:t>Aparece como monitoreo en BOM/anexo original.</w:t>
            </w:r>
          </w:p>
        </w:tc>
        <w:tc>
          <w:tcPr>
            <w:tcW w:type="dxa" w:w="1872"/>
            <w:vAlign w:val="top"/>
          </w:tcPr>
          <w:p>
            <w:pPr>
              <w:pStyle w:val="CellSmall"/>
            </w:pPr>
            <w:r/>
            <w:r>
              <w:rPr>
                <w:rFonts w:ascii="Arial" w:hAnsi="Arial" w:eastAsia="Arial"/>
                <w:b w:val="0"/>
                <w:sz w:val="13"/>
              </w:rPr>
              <w:t>Eliminar para piloto.</w:t>
            </w:r>
          </w:p>
        </w:tc>
        <w:tc>
          <w:tcPr>
            <w:tcW w:type="dxa" w:w="3600"/>
            <w:vAlign w:val="top"/>
          </w:tcPr>
          <w:p>
            <w:pPr>
              <w:pStyle w:val="CellSmall"/>
            </w:pPr>
            <w:r/>
            <w:r>
              <w:rPr>
                <w:rFonts w:ascii="Arial" w:hAnsi="Arial" w:eastAsia="Arial"/>
                <w:b w:val="0"/>
                <w:sz w:val="13"/>
              </w:rPr>
              <w:t>Mage cubre observabilidad operacional de pipelines. Monitoreo corporativo queda fuera.</w:t>
            </w:r>
          </w:p>
        </w:tc>
        <w:tc>
          <w:tcPr>
            <w:tcW w:type="dxa" w:w="2448"/>
            <w:vAlign w:val="top"/>
          </w:tcPr>
          <w:p>
            <w:pPr>
              <w:pStyle w:val="CellSmall"/>
            </w:pPr>
            <w:r/>
            <w:r>
              <w:rPr>
                <w:rFonts w:ascii="Arial" w:hAnsi="Arial" w:eastAsia="Arial"/>
                <w:b w:val="0"/>
                <w:sz w:val="13"/>
              </w:rPr>
              <w:t>Evita dependencia innecesaria.</w:t>
            </w:r>
          </w:p>
        </w:tc>
      </w:tr>
      <w:tr>
        <w:tc>
          <w:tcPr>
            <w:tcW w:type="dxa" w:w="1656"/>
            <w:vAlign w:val="top"/>
          </w:tcPr>
          <w:p>
            <w:pPr>
              <w:pStyle w:val="CellSmall"/>
            </w:pPr>
            <w:r/>
            <w:r>
              <w:rPr>
                <w:rFonts w:ascii="Arial" w:hAnsi="Arial" w:eastAsia="Arial"/>
                <w:b w:val="0"/>
                <w:sz w:val="13"/>
              </w:rPr>
              <w:t>Pentaho</w:t>
            </w:r>
          </w:p>
        </w:tc>
        <w:tc>
          <w:tcPr>
            <w:tcW w:type="dxa" w:w="2880"/>
            <w:vAlign w:val="top"/>
          </w:tcPr>
          <w:p>
            <w:pPr>
              <w:pStyle w:val="CellSmall"/>
            </w:pPr>
            <w:r/>
            <w:r>
              <w:rPr>
                <w:rFonts w:ascii="Arial" w:hAnsi="Arial" w:eastAsia="Arial"/>
                <w:b w:val="0"/>
                <w:sz w:val="13"/>
              </w:rPr>
              <w:t>Aparece en Anexo B original.</w:t>
            </w:r>
          </w:p>
        </w:tc>
        <w:tc>
          <w:tcPr>
            <w:tcW w:type="dxa" w:w="1872"/>
            <w:vAlign w:val="top"/>
          </w:tcPr>
          <w:p>
            <w:pPr>
              <w:pStyle w:val="CellSmall"/>
            </w:pPr>
            <w:r/>
            <w:r>
              <w:rPr>
                <w:rFonts w:ascii="Arial" w:hAnsi="Arial" w:eastAsia="Arial"/>
                <w:b w:val="0"/>
                <w:sz w:val="13"/>
              </w:rPr>
              <w:t>Eliminar.</w:t>
            </w:r>
          </w:p>
        </w:tc>
        <w:tc>
          <w:tcPr>
            <w:tcW w:type="dxa" w:w="3600"/>
            <w:vAlign w:val="top"/>
          </w:tcPr>
          <w:p>
            <w:pPr>
              <w:pStyle w:val="CellSmall"/>
            </w:pPr>
            <w:r/>
            <w:r>
              <w:rPr>
                <w:rFonts w:ascii="Arial" w:hAnsi="Arial" w:eastAsia="Arial"/>
                <w:b w:val="0"/>
                <w:sz w:val="13"/>
              </w:rPr>
              <w:t>Mage reemplaza Pentaho para todos los flujos ETL/ELT del piloto.</w:t>
            </w:r>
          </w:p>
        </w:tc>
        <w:tc>
          <w:tcPr>
            <w:tcW w:type="dxa" w:w="2448"/>
            <w:vAlign w:val="top"/>
          </w:tcPr>
          <w:p>
            <w:pPr>
              <w:pStyle w:val="CellSmall"/>
            </w:pPr>
            <w:r/>
            <w:r>
              <w:rPr>
                <w:rFonts w:ascii="Arial" w:hAnsi="Arial" w:eastAsia="Arial"/>
                <w:b w:val="0"/>
                <w:sz w:val="13"/>
              </w:rPr>
              <w:t>Consistencia técnica.</w:t>
            </w:r>
          </w:p>
        </w:tc>
      </w:tr>
    </w:tbl>
    <w:p>
      <w:r>
        <w:br w:type="page"/>
      </w:r>
    </w:p>
    <w:p>
      <w:pPr>
        <w:pStyle w:val="Heading1"/>
      </w:pPr>
      <w:r>
        <w:t>PARTE III. Delimitación contractual de alcance</w:t>
      </w:r>
    </w:p>
    <w:p>
      <w:pPr>
        <w:jc w:val="both"/>
      </w:pPr>
      <w:r>
        <w:rPr>
          <w:b/>
        </w:rPr>
        <w:t xml:space="preserve">Principio rector: </w:t>
      </w:r>
      <w:r>
        <w:t>la Consultora está obligada a ejecutar los servicios especializados pactados para el piloto de pronóstico hidrológico basado en IA conforme al DSP, sus entregables, cronograma y RACI. La infraestructura que CEL adquiera posteriormente se incorpora como entorno habilitante del piloto, no como ampliación tácita del alcance de consultoría.</w:t>
      </w:r>
    </w:p>
    <w:p>
      <w:pPr>
        <w:pStyle w:val="Heading2"/>
      </w:pPr>
      <w:r>
        <w:t>3.1 En alcance de la Consultora</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1F2937"/>
          </w:tcPr>
          <w:p>
            <w:pPr>
              <w:pStyle w:val="CellSmall"/>
            </w:pPr>
            <w:r/>
            <w:r>
              <w:rPr>
                <w:rFonts w:ascii="Arial" w:hAnsi="Arial" w:eastAsia="Arial"/>
                <w:b/>
                <w:color w:val="FFFFFF"/>
                <w:sz w:val="14"/>
              </w:rPr>
              <w:t>Bloque</w:t>
            </w:r>
          </w:p>
        </w:tc>
        <w:tc>
          <w:tcPr>
            <w:tcW w:type="dxa" w:w="8352"/>
            <w:vAlign w:val="top"/>
            <w:shd w:fill="1F2937"/>
          </w:tcPr>
          <w:p>
            <w:pPr>
              <w:pStyle w:val="CellSmall"/>
            </w:pPr>
            <w:r/>
            <w:r>
              <w:rPr>
                <w:rFonts w:ascii="Arial" w:hAnsi="Arial" w:eastAsia="Arial"/>
                <w:b/>
                <w:color w:val="FFFFFF"/>
                <w:sz w:val="14"/>
              </w:rPr>
              <w:t>Incluido</w:t>
            </w:r>
          </w:p>
        </w:tc>
      </w:tr>
      <w:tr>
        <w:tc>
          <w:tcPr>
            <w:tcW w:type="dxa" w:w="2448"/>
            <w:vAlign w:val="top"/>
          </w:tcPr>
          <w:p>
            <w:pPr>
              <w:pStyle w:val="CellSmall"/>
            </w:pPr>
            <w:r/>
            <w:r>
              <w:rPr>
                <w:rFonts w:ascii="Arial" w:hAnsi="Arial" w:eastAsia="Arial"/>
                <w:b w:val="0"/>
                <w:sz w:val="14"/>
              </w:rPr>
              <w:t>Diseño técnico del piloto</w:t>
            </w:r>
          </w:p>
        </w:tc>
        <w:tc>
          <w:tcPr>
            <w:tcW w:type="dxa" w:w="8352"/>
            <w:vAlign w:val="top"/>
          </w:tcPr>
          <w:p>
            <w:pPr>
              <w:pStyle w:val="CellSmall"/>
            </w:pPr>
            <w:r/>
            <w:r>
              <w:rPr>
                <w:rFonts w:ascii="Arial" w:hAnsi="Arial" w:eastAsia="Arial"/>
                <w:b w:val="0"/>
                <w:sz w:val="14"/>
              </w:rPr>
              <w:t>Arquitectura lógica del sistema IA, flujos de datos, modelo LSTM/inundación, DBs lógicas, APIs, dashboard y automatización.</w:t>
            </w:r>
          </w:p>
        </w:tc>
      </w:tr>
      <w:tr>
        <w:tc>
          <w:tcPr>
            <w:tcW w:type="dxa" w:w="2448"/>
            <w:vAlign w:val="top"/>
          </w:tcPr>
          <w:p>
            <w:pPr>
              <w:pStyle w:val="CellSmall"/>
            </w:pPr>
            <w:r/>
            <w:r>
              <w:rPr>
                <w:rFonts w:ascii="Arial" w:hAnsi="Arial" w:eastAsia="Arial"/>
                <w:b w:val="0"/>
                <w:sz w:val="14"/>
              </w:rPr>
              <w:t>Stack de datos/IA</w:t>
            </w:r>
          </w:p>
        </w:tc>
        <w:tc>
          <w:tcPr>
            <w:tcW w:type="dxa" w:w="8352"/>
            <w:vAlign w:val="top"/>
          </w:tcPr>
          <w:p>
            <w:pPr>
              <w:pStyle w:val="CellSmall"/>
            </w:pPr>
            <w:r/>
            <w:r>
              <w:rPr>
                <w:rFonts w:ascii="Arial" w:hAnsi="Arial" w:eastAsia="Arial"/>
                <w:b w:val="0"/>
                <w:sz w:val="14"/>
              </w:rPr>
              <w:t>Mage, Python, librerías IA/GIS, PostgreSQL/PostGIS, MongoDB, Git y entornos necesarios para el piloto, dentro de permisos otorgados.</w:t>
            </w:r>
          </w:p>
        </w:tc>
      </w:tr>
      <w:tr>
        <w:tc>
          <w:tcPr>
            <w:tcW w:type="dxa" w:w="2448"/>
            <w:vAlign w:val="top"/>
          </w:tcPr>
          <w:p>
            <w:pPr>
              <w:pStyle w:val="CellSmall"/>
            </w:pPr>
            <w:r/>
            <w:r>
              <w:rPr>
                <w:rFonts w:ascii="Arial" w:hAnsi="Arial" w:eastAsia="Arial"/>
                <w:b w:val="0"/>
                <w:sz w:val="14"/>
              </w:rPr>
              <w:t>Pipelines</w:t>
            </w:r>
          </w:p>
        </w:tc>
        <w:tc>
          <w:tcPr>
            <w:tcW w:type="dxa" w:w="8352"/>
            <w:vAlign w:val="top"/>
          </w:tcPr>
          <w:p>
            <w:pPr>
              <w:pStyle w:val="CellSmall"/>
            </w:pPr>
            <w:r/>
            <w:r>
              <w:rPr>
                <w:rFonts w:ascii="Arial" w:hAnsi="Arial" w:eastAsia="Arial"/>
                <w:b w:val="0"/>
                <w:sz w:val="14"/>
              </w:rPr>
              <w:t>Desarrollo, pruebas, documentación y transferencia de pipelines en Mage/Python para ingesta, QC, procesamiento, predicción y actualización de resultados.</w:t>
            </w:r>
          </w:p>
        </w:tc>
      </w:tr>
      <w:tr>
        <w:tc>
          <w:tcPr>
            <w:tcW w:type="dxa" w:w="2448"/>
            <w:vAlign w:val="top"/>
          </w:tcPr>
          <w:p>
            <w:pPr>
              <w:pStyle w:val="CellSmall"/>
            </w:pPr>
            <w:r/>
            <w:r>
              <w:rPr>
                <w:rFonts w:ascii="Arial" w:hAnsi="Arial" w:eastAsia="Arial"/>
                <w:b w:val="0"/>
                <w:sz w:val="14"/>
              </w:rPr>
              <w:t>Validación funcional</w:t>
            </w:r>
          </w:p>
        </w:tc>
        <w:tc>
          <w:tcPr>
            <w:tcW w:type="dxa" w:w="8352"/>
            <w:vAlign w:val="top"/>
          </w:tcPr>
          <w:p>
            <w:pPr>
              <w:pStyle w:val="CellSmall"/>
            </w:pPr>
            <w:r/>
            <w:r>
              <w:rPr>
                <w:rFonts w:ascii="Arial" w:hAnsi="Arial" w:eastAsia="Arial"/>
                <w:b w:val="0"/>
                <w:sz w:val="14"/>
              </w:rPr>
              <w:t>Benchmarks y pruebas para confirmar que GPU, almacenamiento, red y stack son suficientes para iniciar y ejecutar el piloto.</w:t>
            </w:r>
          </w:p>
        </w:tc>
      </w:tr>
      <w:tr>
        <w:tc>
          <w:tcPr>
            <w:tcW w:type="dxa" w:w="2448"/>
            <w:vAlign w:val="top"/>
          </w:tcPr>
          <w:p>
            <w:pPr>
              <w:pStyle w:val="CellSmall"/>
            </w:pPr>
            <w:r/>
            <w:r>
              <w:rPr>
                <w:rFonts w:ascii="Arial" w:hAnsi="Arial" w:eastAsia="Arial"/>
                <w:b w:val="0"/>
                <w:sz w:val="14"/>
              </w:rPr>
              <w:t>Modelo</w:t>
            </w:r>
          </w:p>
        </w:tc>
        <w:tc>
          <w:tcPr>
            <w:tcW w:type="dxa" w:w="8352"/>
            <w:vAlign w:val="top"/>
          </w:tcPr>
          <w:p>
            <w:pPr>
              <w:pStyle w:val="CellSmall"/>
            </w:pPr>
            <w:r/>
            <w:r>
              <w:rPr>
                <w:rFonts w:ascii="Arial" w:hAnsi="Arial" w:eastAsia="Arial"/>
                <w:b w:val="0"/>
                <w:sz w:val="14"/>
              </w:rPr>
              <w:t>Implementación, entrenamiento, validación, métricas, interpretación y documentación del modelo hidrológico y componentes geoespaciales.</w:t>
            </w:r>
          </w:p>
        </w:tc>
      </w:tr>
      <w:tr>
        <w:tc>
          <w:tcPr>
            <w:tcW w:type="dxa" w:w="2448"/>
            <w:vAlign w:val="top"/>
          </w:tcPr>
          <w:p>
            <w:pPr>
              <w:pStyle w:val="CellSmall"/>
            </w:pPr>
            <w:r/>
            <w:r>
              <w:rPr>
                <w:rFonts w:ascii="Arial" w:hAnsi="Arial" w:eastAsia="Arial"/>
                <w:b w:val="0"/>
                <w:sz w:val="14"/>
              </w:rPr>
              <w:t>Dashboard y alertas</w:t>
            </w:r>
          </w:p>
        </w:tc>
        <w:tc>
          <w:tcPr>
            <w:tcW w:type="dxa" w:w="8352"/>
            <w:vAlign w:val="top"/>
          </w:tcPr>
          <w:p>
            <w:pPr>
              <w:pStyle w:val="CellSmall"/>
            </w:pPr>
            <w:r/>
            <w:r>
              <w:rPr>
                <w:rFonts w:ascii="Arial" w:hAnsi="Arial" w:eastAsia="Arial"/>
                <w:b w:val="0"/>
                <w:sz w:val="14"/>
              </w:rPr>
              <w:t>Diseño/implementación del dashboard de resultados y lógica de alertas del piloto, no monitoreo corporativo de infraestructura.</w:t>
            </w:r>
          </w:p>
        </w:tc>
      </w:tr>
      <w:tr>
        <w:tc>
          <w:tcPr>
            <w:tcW w:type="dxa" w:w="2448"/>
            <w:vAlign w:val="top"/>
          </w:tcPr>
          <w:p>
            <w:pPr>
              <w:pStyle w:val="CellSmall"/>
            </w:pPr>
            <w:r/>
            <w:r>
              <w:rPr>
                <w:rFonts w:ascii="Arial" w:hAnsi="Arial" w:eastAsia="Arial"/>
                <w:b w:val="0"/>
                <w:sz w:val="14"/>
              </w:rPr>
              <w:t>Documentación</w:t>
            </w:r>
          </w:p>
        </w:tc>
        <w:tc>
          <w:tcPr>
            <w:tcW w:type="dxa" w:w="8352"/>
            <w:vAlign w:val="top"/>
          </w:tcPr>
          <w:p>
            <w:pPr>
              <w:pStyle w:val="CellSmall"/>
            </w:pPr>
            <w:r/>
            <w:r>
              <w:rPr>
                <w:rFonts w:ascii="Arial" w:hAnsi="Arial" w:eastAsia="Arial"/>
                <w:b w:val="0"/>
                <w:sz w:val="14"/>
              </w:rPr>
              <w:t>Certificación de Entorno Operacional, documentación técnica, POE, informe de validación, manuales y transferencia de conocimiento.</w:t>
            </w:r>
          </w:p>
        </w:tc>
      </w:tr>
      <w:tr>
        <w:tc>
          <w:tcPr>
            <w:tcW w:type="dxa" w:w="2448"/>
            <w:vAlign w:val="top"/>
          </w:tcPr>
          <w:p>
            <w:pPr>
              <w:pStyle w:val="CellSmall"/>
            </w:pPr>
            <w:r/>
            <w:r>
              <w:rPr>
                <w:rFonts w:ascii="Arial" w:hAnsi="Arial" w:eastAsia="Arial"/>
                <w:b w:val="0"/>
                <w:sz w:val="14"/>
              </w:rPr>
              <w:t>Coordinación técnica</w:t>
            </w:r>
          </w:p>
        </w:tc>
        <w:tc>
          <w:tcPr>
            <w:tcW w:type="dxa" w:w="8352"/>
            <w:vAlign w:val="top"/>
          </w:tcPr>
          <w:p>
            <w:pPr>
              <w:pStyle w:val="CellSmall"/>
            </w:pPr>
            <w:r/>
            <w:r>
              <w:rPr>
                <w:rFonts w:ascii="Arial" w:hAnsi="Arial" w:eastAsia="Arial"/>
                <w:b w:val="0"/>
                <w:sz w:val="14"/>
              </w:rPr>
              <w:t>Sesiones de alineación con CEL/TI/proveedor para requisitos funcionales del piloto y resolución de dependencias técnicas.</w:t>
            </w:r>
          </w:p>
        </w:tc>
      </w:tr>
    </w:tbl>
    <w:p>
      <w:pPr>
        <w:pStyle w:val="Heading2"/>
      </w:pPr>
      <w:r>
        <w:t>3.2 Fuera de alcance de la Consultora salvo modificación contractual expresa</w:t>
      </w:r>
    </w:p>
    <w:p>
      <w:pPr>
        <w:ind w:left="259" w:hanging="173"/>
      </w:pPr>
      <w:r>
        <w:rPr>
          <w:b/>
        </w:rPr>
        <w:t xml:space="preserve">• </w:t>
      </w:r>
      <w:r>
        <w:t>Compra, selección comercial final, importación, logística, entrega, inventario, garantías, RMA, sustitución de partes o administración de contratos de soporte Dell/NVIDIA/Martinexsa.</w:t>
      </w:r>
    </w:p>
    <w:p>
      <w:pPr>
        <w:ind w:left="259" w:hanging="173"/>
      </w:pPr>
      <w:r>
        <w:rPr>
          <w:b/>
        </w:rPr>
        <w:t xml:space="preserve">• </w:t>
      </w:r>
      <w:r>
        <w:t>Instalación física general: racking, rails, cableado eléctrico, circuitos, UPS, cooling, organización física del data center, seguridad física o continuidad eléctrica.</w:t>
      </w:r>
    </w:p>
    <w:p>
      <w:pPr>
        <w:ind w:left="259" w:hanging="173"/>
      </w:pPr>
      <w:r>
        <w:rPr>
          <w:b/>
        </w:rPr>
        <w:t xml:space="preserve">• </w:t>
      </w:r>
      <w:r>
        <w:t>Administración continua de servidores, NAS, switch, firewalls, VPN, usuarios corporativos, sistemas operativos, parches corporativos, endpoint management o monitoreo 24/7.</w:t>
      </w:r>
    </w:p>
    <w:p>
      <w:pPr>
        <w:ind w:left="259" w:hanging="173"/>
      </w:pPr>
      <w:r>
        <w:rPr>
          <w:b/>
        </w:rPr>
        <w:t xml:space="preserve">• </w:t>
      </w:r>
      <w:r>
        <w:t>Implementación de hypervisors específicos, Kubernetes/OpenShift, clusters HA/DR, replicación entre sitios, BGP/EVPN, fabric, WAN, NAC, SIEM, microsegmentación, SDN u overlay networks.</w:t>
      </w:r>
    </w:p>
    <w:p>
      <w:pPr>
        <w:ind w:left="259" w:hanging="173"/>
      </w:pPr>
      <w:r>
        <w:rPr>
          <w:b/>
        </w:rPr>
        <w:t xml:space="preserve">• </w:t>
      </w:r>
      <w:r>
        <w:t>Integraciones avanzadas con Active Directory/LDAP, diseño de OU/GPO, políticas corporativas de identidad, auditorías CIS completas o hardening enterprise fuera del piloto.</w:t>
      </w:r>
    </w:p>
    <w:p>
      <w:pPr>
        <w:ind w:left="259" w:hanging="173"/>
      </w:pPr>
      <w:r>
        <w:rPr>
          <w:b/>
        </w:rPr>
        <w:t xml:space="preserve">• </w:t>
      </w:r>
      <w:r>
        <w:t>Herramientas corporativas de backup, migración/copia de datos históricos institucionales no incluidos en el piloto, deduplicación/tiering/FSRM o administración permanente del NAS.</w:t>
      </w:r>
    </w:p>
    <w:p>
      <w:pPr>
        <w:ind w:left="259" w:hanging="173"/>
      </w:pPr>
      <w:r>
        <w:rPr>
          <w:b/>
        </w:rPr>
        <w:t xml:space="preserve">• </w:t>
      </w:r>
      <w:r>
        <w:t>Soporte a estaciones ejecutivas, periféricos, productividad de usuario final o configuración de laptops/monitores/docks fuera de necesidades puntuales del piloto.</w:t>
      </w:r>
    </w:p>
    <w:p>
      <w:pPr>
        <w:ind w:left="259" w:hanging="173"/>
      </w:pPr>
      <w:r>
        <w:rPr>
          <w:b/>
        </w:rPr>
        <w:t xml:space="preserve">• </w:t>
      </w:r>
      <w:r>
        <w:t>Cualquier servicio excluido por Martinexsa/Dell o no contemplado en el DSP, salvo que CEL lo formalice como cambio de alcance, adenda, orden de cambio o contratación separada.</w:t>
      </w:r>
    </w:p>
    <w:p>
      <w:pPr>
        <w:pStyle w:val="Heading2"/>
      </w:pPr>
      <w:r>
        <w:t>3.3 Responsabilidades por actor</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shd w:fill="1F2937"/>
          </w:tcPr>
          <w:p>
            <w:pPr>
              <w:pStyle w:val="CellSmall"/>
            </w:pPr>
            <w:r/>
            <w:r>
              <w:rPr>
                <w:rFonts w:ascii="Arial" w:hAnsi="Arial" w:eastAsia="Arial"/>
                <w:b/>
                <w:color w:val="FFFFFF"/>
                <w:sz w:val="14"/>
              </w:rPr>
              <w:t>Actor</w:t>
            </w:r>
          </w:p>
        </w:tc>
        <w:tc>
          <w:tcPr>
            <w:tcW w:type="dxa" w:w="6480"/>
            <w:vAlign w:val="top"/>
            <w:shd w:fill="1F2937"/>
          </w:tcPr>
          <w:p>
            <w:pPr>
              <w:pStyle w:val="CellSmall"/>
            </w:pPr>
            <w:r/>
            <w:r>
              <w:rPr>
                <w:rFonts w:ascii="Arial" w:hAnsi="Arial" w:eastAsia="Arial"/>
                <w:b/>
                <w:color w:val="FFFFFF"/>
                <w:sz w:val="14"/>
              </w:rPr>
              <w:t>Responsabilidades principales</w:t>
            </w:r>
          </w:p>
        </w:tc>
        <w:tc>
          <w:tcPr>
            <w:tcW w:type="dxa" w:w="2736"/>
            <w:vAlign w:val="top"/>
            <w:shd w:fill="1F2937"/>
          </w:tcPr>
          <w:p>
            <w:pPr>
              <w:pStyle w:val="CellSmall"/>
            </w:pPr>
            <w:r/>
            <w:r>
              <w:rPr>
                <w:rFonts w:ascii="Arial" w:hAnsi="Arial" w:eastAsia="Arial"/>
                <w:b/>
                <w:color w:val="FFFFFF"/>
                <w:sz w:val="14"/>
              </w:rPr>
              <w:t>Puntos de control</w:t>
            </w:r>
          </w:p>
        </w:tc>
      </w:tr>
      <w:tr>
        <w:tc>
          <w:tcPr>
            <w:tcW w:type="dxa" w:w="2304"/>
            <w:vAlign w:val="top"/>
          </w:tcPr>
          <w:p>
            <w:pPr>
              <w:pStyle w:val="CellSmall"/>
            </w:pPr>
            <w:r/>
            <w:r>
              <w:rPr>
                <w:rFonts w:ascii="Arial" w:hAnsi="Arial" w:eastAsia="Arial"/>
                <w:b w:val="0"/>
                <w:sz w:val="14"/>
              </w:rPr>
              <w:t>Consultora</w:t>
            </w:r>
          </w:p>
        </w:tc>
        <w:tc>
          <w:tcPr>
            <w:tcW w:type="dxa" w:w="6480"/>
            <w:vAlign w:val="top"/>
          </w:tcPr>
          <w:p>
            <w:pPr>
              <w:pStyle w:val="CellSmall"/>
            </w:pPr>
            <w:r/>
            <w:r>
              <w:rPr>
                <w:rFonts w:ascii="Arial" w:hAnsi="Arial" w:eastAsia="Arial"/>
                <w:b w:val="0"/>
                <w:sz w:val="14"/>
              </w:rPr>
              <w:t>Diseño técnico, stack del piloto, pipelines, modelo, dashboard, documentación, validación funcional y transferencia.</w:t>
            </w:r>
          </w:p>
        </w:tc>
        <w:tc>
          <w:tcPr>
            <w:tcW w:type="dxa" w:w="2736"/>
            <w:vAlign w:val="top"/>
          </w:tcPr>
          <w:p>
            <w:pPr>
              <w:pStyle w:val="CellSmall"/>
            </w:pPr>
            <w:r/>
            <w:r>
              <w:rPr>
                <w:rFonts w:ascii="Arial" w:hAnsi="Arial" w:eastAsia="Arial"/>
                <w:b w:val="0"/>
                <w:sz w:val="14"/>
              </w:rPr>
              <w:t>Certificación Fase 0; entregables por fase; reportes; POE.</w:t>
            </w:r>
          </w:p>
        </w:tc>
      </w:tr>
      <w:tr>
        <w:tc>
          <w:tcPr>
            <w:tcW w:type="dxa" w:w="2304"/>
            <w:vAlign w:val="top"/>
          </w:tcPr>
          <w:p>
            <w:pPr>
              <w:pStyle w:val="CellSmall"/>
            </w:pPr>
            <w:r/>
            <w:r>
              <w:rPr>
                <w:rFonts w:ascii="Arial" w:hAnsi="Arial" w:eastAsia="Arial"/>
                <w:b w:val="0"/>
                <w:sz w:val="14"/>
              </w:rPr>
              <w:t>CEL - Sponsor/Contratante</w:t>
            </w:r>
          </w:p>
        </w:tc>
        <w:tc>
          <w:tcPr>
            <w:tcW w:type="dxa" w:w="6480"/>
            <w:vAlign w:val="top"/>
          </w:tcPr>
          <w:p>
            <w:pPr>
              <w:pStyle w:val="CellSmall"/>
            </w:pPr>
            <w:r/>
            <w:r>
              <w:rPr>
                <w:rFonts w:ascii="Arial" w:hAnsi="Arial" w:eastAsia="Arial"/>
                <w:b w:val="0"/>
                <w:sz w:val="14"/>
              </w:rPr>
              <w:t>Aprobaciones, dirección institucional, recursos, decisiones, coordinación interna, aceptación de entregables y resolución de bloqueos administrativos.</w:t>
            </w:r>
          </w:p>
        </w:tc>
        <w:tc>
          <w:tcPr>
            <w:tcW w:type="dxa" w:w="2736"/>
            <w:vAlign w:val="top"/>
          </w:tcPr>
          <w:p>
            <w:pPr>
              <w:pStyle w:val="CellSmall"/>
            </w:pPr>
            <w:r/>
            <w:r>
              <w:rPr>
                <w:rFonts w:ascii="Arial" w:hAnsi="Arial" w:eastAsia="Arial"/>
                <w:b w:val="0"/>
                <w:sz w:val="14"/>
              </w:rPr>
              <w:t>Orden de inicio; aprobaciones por fase; aceptación de gates.</w:t>
            </w:r>
          </w:p>
        </w:tc>
      </w:tr>
      <w:tr>
        <w:tc>
          <w:tcPr>
            <w:tcW w:type="dxa" w:w="2304"/>
            <w:vAlign w:val="top"/>
          </w:tcPr>
          <w:p>
            <w:pPr>
              <w:pStyle w:val="CellSmall"/>
            </w:pPr>
            <w:r/>
            <w:r>
              <w:rPr>
                <w:rFonts w:ascii="Arial" w:hAnsi="Arial" w:eastAsia="Arial"/>
                <w:b w:val="0"/>
                <w:sz w:val="14"/>
              </w:rPr>
              <w:t>CEL - TI/Seguridad/DevOps</w:t>
            </w:r>
          </w:p>
        </w:tc>
        <w:tc>
          <w:tcPr>
            <w:tcW w:type="dxa" w:w="6480"/>
            <w:vAlign w:val="top"/>
          </w:tcPr>
          <w:p>
            <w:pPr>
              <w:pStyle w:val="CellSmall"/>
            </w:pPr>
            <w:r/>
            <w:r>
              <w:rPr>
                <w:rFonts w:ascii="Arial" w:hAnsi="Arial" w:eastAsia="Arial"/>
                <w:b w:val="0"/>
                <w:sz w:val="14"/>
              </w:rPr>
              <w:t>Red, accesos, VPN/bastion, credenciales, usuarios, permisos, firewall, hostnames, DNS, seguridad interna, política de backups y operación de infraestructura.</w:t>
            </w:r>
          </w:p>
        </w:tc>
        <w:tc>
          <w:tcPr>
            <w:tcW w:type="dxa" w:w="2736"/>
            <w:vAlign w:val="top"/>
          </w:tcPr>
          <w:p>
            <w:pPr>
              <w:pStyle w:val="CellSmall"/>
            </w:pPr>
            <w:r/>
            <w:r>
              <w:rPr>
                <w:rFonts w:ascii="Arial" w:hAnsi="Arial" w:eastAsia="Arial"/>
                <w:b w:val="0"/>
                <w:sz w:val="14"/>
              </w:rPr>
              <w:t>Handoff técnico; accesos; definición de hosts; soporte de red.</w:t>
            </w:r>
          </w:p>
        </w:tc>
      </w:tr>
      <w:tr>
        <w:tc>
          <w:tcPr>
            <w:tcW w:type="dxa" w:w="2304"/>
            <w:vAlign w:val="top"/>
          </w:tcPr>
          <w:p>
            <w:pPr>
              <w:pStyle w:val="CellSmall"/>
            </w:pPr>
            <w:r/>
            <w:r>
              <w:rPr>
                <w:rFonts w:ascii="Arial" w:hAnsi="Arial" w:eastAsia="Arial"/>
                <w:b w:val="0"/>
                <w:sz w:val="14"/>
              </w:rPr>
              <w:t>Martinexsa/Dell/proveedor</w:t>
            </w:r>
          </w:p>
        </w:tc>
        <w:tc>
          <w:tcPr>
            <w:tcW w:type="dxa" w:w="6480"/>
            <w:vAlign w:val="top"/>
          </w:tcPr>
          <w:p>
            <w:pPr>
              <w:pStyle w:val="CellSmall"/>
            </w:pPr>
            <w:r/>
            <w:r>
              <w:rPr>
                <w:rFonts w:ascii="Arial" w:hAnsi="Arial" w:eastAsia="Arial"/>
                <w:b w:val="0"/>
                <w:sz w:val="14"/>
              </w:rPr>
              <w:t>Entrega, instalación base, firmware, OS base, drivers, conexión física, iDRAC, soporte, garantía y cumplimiento de la oferta aceptada.</w:t>
            </w:r>
          </w:p>
        </w:tc>
        <w:tc>
          <w:tcPr>
            <w:tcW w:type="dxa" w:w="2736"/>
            <w:vAlign w:val="top"/>
          </w:tcPr>
          <w:p>
            <w:pPr>
              <w:pStyle w:val="CellSmall"/>
            </w:pPr>
            <w:r/>
            <w:r>
              <w:rPr>
                <w:rFonts w:ascii="Arial" w:hAnsi="Arial" w:eastAsia="Arial"/>
                <w:b w:val="0"/>
                <w:sz w:val="14"/>
              </w:rPr>
              <w:t>Acta de instalación; inventario; contactos de soporte; SLAs.</w:t>
            </w:r>
          </w:p>
        </w:tc>
      </w:tr>
      <w:tr>
        <w:tc>
          <w:tcPr>
            <w:tcW w:type="dxa" w:w="2304"/>
            <w:vAlign w:val="top"/>
          </w:tcPr>
          <w:p>
            <w:pPr>
              <w:pStyle w:val="CellSmall"/>
            </w:pPr>
            <w:r/>
            <w:r>
              <w:rPr>
                <w:rFonts w:ascii="Arial" w:hAnsi="Arial" w:eastAsia="Arial"/>
                <w:b w:val="0"/>
                <w:sz w:val="14"/>
              </w:rPr>
              <w:t>Equipo hidrológico/operativo CEL</w:t>
            </w:r>
          </w:p>
        </w:tc>
        <w:tc>
          <w:tcPr>
            <w:tcW w:type="dxa" w:w="6480"/>
            <w:vAlign w:val="top"/>
          </w:tcPr>
          <w:p>
            <w:pPr>
              <w:pStyle w:val="CellSmall"/>
            </w:pPr>
            <w:r/>
            <w:r>
              <w:rPr>
                <w:rFonts w:ascii="Arial" w:hAnsi="Arial" w:eastAsia="Arial"/>
                <w:b w:val="0"/>
                <w:sz w:val="14"/>
              </w:rPr>
              <w:t>Validación de datos, umbrales, patrones, puntos de interés, aceptación operativa y retroalimentación sobre dashboard/alertas.</w:t>
            </w:r>
          </w:p>
        </w:tc>
        <w:tc>
          <w:tcPr>
            <w:tcW w:type="dxa" w:w="2736"/>
            <w:vAlign w:val="top"/>
          </w:tcPr>
          <w:p>
            <w:pPr>
              <w:pStyle w:val="CellSmall"/>
            </w:pPr>
            <w:r/>
            <w:r>
              <w:rPr>
                <w:rFonts w:ascii="Arial" w:hAnsi="Arial" w:eastAsia="Arial"/>
                <w:b w:val="0"/>
                <w:sz w:val="14"/>
              </w:rPr>
              <w:t>Sesiones técnicas; validación de salidas; POE.</w:t>
            </w:r>
          </w:p>
        </w:tc>
      </w:tr>
    </w:tbl>
    <w:p>
      <w:pPr>
        <w:pStyle w:val="Heading2"/>
      </w:pPr>
      <w:r>
        <w:t>3.4 Regla de no ampliación automática</w:t>
      </w:r>
    </w:p>
    <w:p>
      <w:pPr>
        <w:jc w:val="both"/>
      </w:pPr>
      <w:r>
        <w:rPr>
          <w:b/>
        </w:rPr>
        <w:t xml:space="preserve">Ningún componente, licencia, servicio de soporte, estación de trabajo, switch, servidor, sistema operativo, suscripción NVIDIA, servicio Dell, herramienta de gestión, capacidad de virtualización, almacenamiento, red o soporte institucional adquirido por CEL podrá interpretarse como obligación adicional de la Consultora por el solo hecho de encontrarse disponible dentro de la plataforma. </w:t>
      </w:r>
      <w:r>
        <w:t>Toda obligación adicional deberá estar expresamente descrita, aceptada por escrito y, cuando corresponda, reflejada en precio, plazo, entregables y RACI actualizados.</w:t>
      </w:r>
    </w:p>
    <w:p>
      <w:r>
        <w:br w:type="page"/>
      </w:r>
    </w:p>
    <w:p>
      <w:pPr>
        <w:pStyle w:val="Heading1"/>
      </w:pPr>
      <w:r>
        <w:t>PARTE IV. Checklist operativo de Fase 0</w:t>
      </w:r>
    </w:p>
    <w:p>
      <w:pPr>
        <w:jc w:val="both"/>
      </w:pPr>
      <w:r>
        <w:t xml:space="preserve">Este checklist define las condiciones mínimas para considerar que el entorno ha sido entregado técnica y operativamente a la Consultora para iniciar Fase 0 de manera efectiva. </w:t>
      </w:r>
      <w:r>
        <w:rPr>
          <w:b/>
        </w:rPr>
        <w:t>Los ítems pendientes deberán registrarse como dependencia, riesgo, excepción o waiver formal de CEL.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top"/>
            <w:shd w:fill="1F2937"/>
          </w:tcPr>
          <w:p>
            <w:pPr>
              <w:pStyle w:val="CellSmall"/>
            </w:pPr>
            <w:r/>
            <w:r>
              <w:rPr>
                <w:rFonts w:ascii="Arial" w:hAnsi="Arial" w:eastAsia="Arial"/>
                <w:b/>
                <w:color w:val="FFFFFF"/>
                <w:sz w:val="13"/>
              </w:rPr>
              <w:t>Gate</w:t>
            </w:r>
          </w:p>
        </w:tc>
        <w:tc>
          <w:tcPr>
            <w:tcW w:type="dxa" w:w="7200"/>
            <w:vAlign w:val="top"/>
            <w:shd w:fill="1F2937"/>
          </w:tcPr>
          <w:p>
            <w:pPr>
              <w:pStyle w:val="CellSmall"/>
            </w:pPr>
            <w:r/>
            <w:r>
              <w:rPr>
                <w:rFonts w:ascii="Arial" w:hAnsi="Arial" w:eastAsia="Arial"/>
                <w:b/>
                <w:color w:val="FFFFFF"/>
                <w:sz w:val="13"/>
              </w:rPr>
              <w:t>Condición mínima</w:t>
            </w:r>
          </w:p>
        </w:tc>
        <w:tc>
          <w:tcPr>
            <w:tcW w:type="dxa" w:w="1800"/>
            <w:vAlign w:val="top"/>
            <w:shd w:fill="1F2937"/>
          </w:tcPr>
          <w:p>
            <w:pPr>
              <w:pStyle w:val="CellSmall"/>
            </w:pPr>
            <w:r/>
            <w:r>
              <w:rPr>
                <w:rFonts w:ascii="Arial" w:hAnsi="Arial" w:eastAsia="Arial"/>
                <w:b/>
                <w:color w:val="FFFFFF"/>
                <w:sz w:val="13"/>
              </w:rPr>
              <w:t>Owner primario</w:t>
            </w:r>
          </w:p>
        </w:tc>
        <w:tc>
          <w:tcPr>
            <w:tcW w:type="dxa" w:w="1656"/>
            <w:vAlign w:val="top"/>
            <w:shd w:fill="1F2937"/>
          </w:tcPr>
          <w:p>
            <w:pPr>
              <w:pStyle w:val="CellSmall"/>
            </w:pPr>
            <w:r/>
            <w:r>
              <w:rPr>
                <w:rFonts w:ascii="Arial" w:hAnsi="Arial" w:eastAsia="Arial"/>
                <w:b/>
                <w:color w:val="FFFFFF"/>
                <w:sz w:val="13"/>
              </w:rPr>
              <w:t>Estado</w:t>
            </w:r>
          </w:p>
        </w:tc>
      </w:tr>
      <w:tr>
        <w:tc>
          <w:tcPr>
            <w:tcW w:type="dxa" w:w="1800"/>
            <w:vAlign w:val="top"/>
          </w:tcPr>
          <w:p>
            <w:pPr>
              <w:pStyle w:val="CellSmall"/>
            </w:pPr>
            <w:r/>
            <w:r>
              <w:rPr>
                <w:rFonts w:ascii="Arial" w:hAnsi="Arial" w:eastAsia="Arial"/>
                <w:b w:val="0"/>
                <w:sz w:val="13"/>
              </w:rPr>
              <w:t>A. Gobernanza documental</w:t>
            </w:r>
          </w:p>
        </w:tc>
        <w:tc>
          <w:tcPr>
            <w:tcW w:type="dxa" w:w="7200"/>
            <w:vAlign w:val="top"/>
          </w:tcPr>
          <w:p>
            <w:pPr>
              <w:pStyle w:val="CellSmall"/>
            </w:pPr>
            <w:r/>
            <w:r>
              <w:rPr>
                <w:rFonts w:ascii="Arial" w:hAnsi="Arial" w:eastAsia="Arial"/>
                <w:b w:val="0"/>
                <w:sz w:val="13"/>
              </w:rPr>
              <w:t>Orden de inicio emitida; anexo técnico actualizado aprobado; responsables CEL/TI/proveedor designados; canal de soporte definido; calendario de reuniones aprobado.</w:t>
            </w:r>
          </w:p>
        </w:tc>
        <w:tc>
          <w:tcPr>
            <w:tcW w:type="dxa" w:w="1800"/>
            <w:vAlign w:val="top"/>
          </w:tcPr>
          <w:p>
            <w:pPr>
              <w:pStyle w:val="CellSmall"/>
            </w:pPr>
            <w:r/>
            <w:r>
              <w:rPr>
                <w:rFonts w:ascii="Arial" w:hAnsi="Arial" w:eastAsia="Arial"/>
                <w:b w:val="0"/>
                <w:sz w:val="13"/>
              </w:rPr>
              <w:t>CEL</w:t>
            </w:r>
          </w:p>
        </w:tc>
        <w:tc>
          <w:tcPr>
            <w:tcW w:type="dxa" w:w="1656"/>
            <w:vAlign w:val="top"/>
          </w:tcPr>
          <w:p>
            <w:pPr>
              <w:pStyle w:val="CellSmall"/>
            </w:pPr>
            <w:r/>
            <w:r>
              <w:rPr>
                <w:rFonts w:ascii="Arial" w:hAnsi="Arial" w:eastAsia="Arial"/>
                <w:b w:val="0"/>
                <w:sz w:val="13"/>
              </w:rPr>
              <w:t>No iniciado / En proceso / Listo / Waiver</w:t>
            </w:r>
          </w:p>
        </w:tc>
      </w:tr>
      <w:tr>
        <w:tc>
          <w:tcPr>
            <w:tcW w:type="dxa" w:w="1800"/>
            <w:vAlign w:val="top"/>
          </w:tcPr>
          <w:p>
            <w:pPr>
              <w:pStyle w:val="CellSmall"/>
            </w:pPr>
            <w:r/>
            <w:r>
              <w:rPr>
                <w:rFonts w:ascii="Arial" w:hAnsi="Arial" w:eastAsia="Arial"/>
                <w:b w:val="0"/>
                <w:sz w:val="13"/>
              </w:rPr>
              <w:t>B. Inventario y entrega física</w:t>
            </w:r>
          </w:p>
        </w:tc>
        <w:tc>
          <w:tcPr>
            <w:tcW w:type="dxa" w:w="7200"/>
            <w:vAlign w:val="top"/>
          </w:tcPr>
          <w:p>
            <w:pPr>
              <w:pStyle w:val="CellSmall"/>
            </w:pPr>
            <w:r/>
            <w:r>
              <w:rPr>
                <w:rFonts w:ascii="Arial" w:hAnsi="Arial" w:eastAsia="Arial"/>
                <w:b w:val="0"/>
                <w:sz w:val="13"/>
              </w:rPr>
              <w:t>Listado de equipos, seriales, ubicación, estado de instalación, energización, rack, red física, UPS/cooling y contacto de garantía.</w:t>
            </w:r>
          </w:p>
        </w:tc>
        <w:tc>
          <w:tcPr>
            <w:tcW w:type="dxa" w:w="1800"/>
            <w:vAlign w:val="top"/>
          </w:tcPr>
          <w:p>
            <w:pPr>
              <w:pStyle w:val="CellSmall"/>
            </w:pPr>
            <w:r/>
            <w:r>
              <w:rPr>
                <w:rFonts w:ascii="Arial" w:hAnsi="Arial" w:eastAsia="Arial"/>
                <w:b w:val="0"/>
                <w:sz w:val="13"/>
              </w:rPr>
              <w:t>CEL/Martinexsa</w:t>
            </w:r>
          </w:p>
        </w:tc>
        <w:tc>
          <w:tcPr>
            <w:tcW w:type="dxa" w:w="1656"/>
            <w:vAlign w:val="top"/>
          </w:tcPr>
          <w:p>
            <w:pPr>
              <w:pStyle w:val="CellSmall"/>
            </w:pPr>
            <w:r/>
            <w:r>
              <w:rPr>
                <w:rFonts w:ascii="Arial" w:hAnsi="Arial" w:eastAsia="Arial"/>
                <w:b w:val="0"/>
                <w:sz w:val="13"/>
              </w:rPr>
              <w:t>Listo para validación</w:t>
            </w:r>
          </w:p>
        </w:tc>
      </w:tr>
      <w:tr>
        <w:tc>
          <w:tcPr>
            <w:tcW w:type="dxa" w:w="1800"/>
            <w:vAlign w:val="top"/>
          </w:tcPr>
          <w:p>
            <w:pPr>
              <w:pStyle w:val="CellSmall"/>
            </w:pPr>
            <w:r/>
            <w:r>
              <w:rPr>
                <w:rFonts w:ascii="Arial" w:hAnsi="Arial" w:eastAsia="Arial"/>
                <w:b w:val="0"/>
                <w:sz w:val="13"/>
              </w:rPr>
              <w:t>C. Acceso remoto</w:t>
            </w:r>
          </w:p>
        </w:tc>
        <w:tc>
          <w:tcPr>
            <w:tcW w:type="dxa" w:w="7200"/>
            <w:vAlign w:val="top"/>
          </w:tcPr>
          <w:p>
            <w:pPr>
              <w:pStyle w:val="CellSmall"/>
            </w:pPr>
            <w:r/>
            <w:r>
              <w:rPr>
                <w:rFonts w:ascii="Arial" w:hAnsi="Arial" w:eastAsia="Arial"/>
                <w:b w:val="0"/>
                <w:sz w:val="13"/>
              </w:rPr>
              <w:t>VPN/bastion funcional; usuarios entregados; MFA/políticas; alcance de permisos; ventana de acceso; procedimiento de emergencia.</w:t>
            </w:r>
          </w:p>
        </w:tc>
        <w:tc>
          <w:tcPr>
            <w:tcW w:type="dxa" w:w="1800"/>
            <w:vAlign w:val="top"/>
          </w:tcPr>
          <w:p>
            <w:pPr>
              <w:pStyle w:val="CellSmall"/>
            </w:pPr>
            <w:r/>
            <w:r>
              <w:rPr>
                <w:rFonts w:ascii="Arial" w:hAnsi="Arial" w:eastAsia="Arial"/>
                <w:b w:val="0"/>
                <w:sz w:val="13"/>
              </w:rPr>
              <w:t>CEL TI</w:t>
            </w:r>
          </w:p>
        </w:tc>
        <w:tc>
          <w:tcPr>
            <w:tcW w:type="dxa" w:w="1656"/>
            <w:vAlign w:val="top"/>
          </w:tcPr>
          <w:p>
            <w:pPr>
              <w:pStyle w:val="CellSmall"/>
            </w:pPr>
            <w:r/>
            <w:r>
              <w:rPr>
                <w:rFonts w:ascii="Arial" w:hAnsi="Arial" w:eastAsia="Arial"/>
                <w:b w:val="0"/>
                <w:sz w:val="13"/>
              </w:rPr>
              <w:t>Bloqueante</w:t>
            </w:r>
          </w:p>
        </w:tc>
      </w:tr>
      <w:tr>
        <w:tc>
          <w:tcPr>
            <w:tcW w:type="dxa" w:w="1800"/>
            <w:vAlign w:val="top"/>
          </w:tcPr>
          <w:p>
            <w:pPr>
              <w:pStyle w:val="CellSmall"/>
            </w:pPr>
            <w:r/>
            <w:r>
              <w:rPr>
                <w:rFonts w:ascii="Arial" w:hAnsi="Arial" w:eastAsia="Arial"/>
                <w:b w:val="0"/>
                <w:sz w:val="13"/>
              </w:rPr>
              <w:t>D. Red y seguridad</w:t>
            </w:r>
          </w:p>
        </w:tc>
        <w:tc>
          <w:tcPr>
            <w:tcW w:type="dxa" w:w="7200"/>
            <w:vAlign w:val="top"/>
          </w:tcPr>
          <w:p>
            <w:pPr>
              <w:pStyle w:val="CellSmall"/>
            </w:pPr>
            <w:r/>
            <w:r>
              <w:rPr>
                <w:rFonts w:ascii="Arial" w:hAnsi="Arial" w:eastAsia="Arial"/>
                <w:b w:val="0"/>
                <w:sz w:val="13"/>
              </w:rPr>
              <w:t>IPs/hostnames/DNS; VLAN; reglas FW; egress a ECMWF/Copernicus/NASA/OSM u otras fuentes; conectividad interna entre IA/NAS/DB/Mage.</w:t>
            </w:r>
          </w:p>
        </w:tc>
        <w:tc>
          <w:tcPr>
            <w:tcW w:type="dxa" w:w="1800"/>
            <w:vAlign w:val="top"/>
          </w:tcPr>
          <w:p>
            <w:pPr>
              <w:pStyle w:val="CellSmall"/>
            </w:pPr>
            <w:r/>
            <w:r>
              <w:rPr>
                <w:rFonts w:ascii="Arial" w:hAnsi="Arial" w:eastAsia="Arial"/>
                <w:b w:val="0"/>
                <w:sz w:val="13"/>
              </w:rPr>
              <w:t>CEL TI</w:t>
            </w:r>
          </w:p>
        </w:tc>
        <w:tc>
          <w:tcPr>
            <w:tcW w:type="dxa" w:w="1656"/>
            <w:vAlign w:val="top"/>
          </w:tcPr>
          <w:p>
            <w:pPr>
              <w:pStyle w:val="CellSmall"/>
            </w:pPr>
            <w:r/>
            <w:r>
              <w:rPr>
                <w:rFonts w:ascii="Arial" w:hAnsi="Arial" w:eastAsia="Arial"/>
                <w:b w:val="0"/>
                <w:sz w:val="13"/>
              </w:rPr>
              <w:t>Bloqueante</w:t>
            </w:r>
          </w:p>
        </w:tc>
      </w:tr>
      <w:tr>
        <w:tc>
          <w:tcPr>
            <w:tcW w:type="dxa" w:w="1800"/>
            <w:vAlign w:val="top"/>
          </w:tcPr>
          <w:p>
            <w:pPr>
              <w:pStyle w:val="CellSmall"/>
            </w:pPr>
            <w:r/>
            <w:r>
              <w:rPr>
                <w:rFonts w:ascii="Arial" w:hAnsi="Arial" w:eastAsia="Arial"/>
                <w:b w:val="0"/>
                <w:sz w:val="13"/>
              </w:rPr>
              <w:t>E. Sistema operativo base</w:t>
            </w:r>
          </w:p>
        </w:tc>
        <w:tc>
          <w:tcPr>
            <w:tcW w:type="dxa" w:w="7200"/>
            <w:vAlign w:val="top"/>
          </w:tcPr>
          <w:p>
            <w:pPr>
              <w:pStyle w:val="CellSmall"/>
            </w:pPr>
            <w:r/>
            <w:r>
              <w:rPr>
                <w:rFonts w:ascii="Arial" w:hAnsi="Arial" w:eastAsia="Arial"/>
                <w:b w:val="0"/>
                <w:sz w:val="13"/>
              </w:rPr>
              <w:t>Ubuntu Server en nodo IA; Windows Server en NAS; parches base; repositorios; hora/NTP; usuarios sudo/service accounts según política.</w:t>
            </w:r>
          </w:p>
        </w:tc>
        <w:tc>
          <w:tcPr>
            <w:tcW w:type="dxa" w:w="1800"/>
            <w:vAlign w:val="top"/>
          </w:tcPr>
          <w:p>
            <w:pPr>
              <w:pStyle w:val="CellSmall"/>
            </w:pPr>
            <w:r/>
            <w:r>
              <w:rPr>
                <w:rFonts w:ascii="Arial" w:hAnsi="Arial" w:eastAsia="Arial"/>
                <w:b w:val="0"/>
                <w:sz w:val="13"/>
              </w:rPr>
              <w:t>Proveedor/CEL TI</w:t>
            </w:r>
          </w:p>
        </w:tc>
        <w:tc>
          <w:tcPr>
            <w:tcW w:type="dxa" w:w="1656"/>
            <w:vAlign w:val="top"/>
          </w:tcPr>
          <w:p>
            <w:pPr>
              <w:pStyle w:val="CellSmall"/>
            </w:pPr>
            <w:r/>
            <w:r>
              <w:rPr>
                <w:rFonts w:ascii="Arial" w:hAnsi="Arial" w:eastAsia="Arial"/>
                <w:b w:val="0"/>
                <w:sz w:val="13"/>
              </w:rPr>
              <w:t>Necesario</w:t>
            </w:r>
          </w:p>
        </w:tc>
      </w:tr>
      <w:tr>
        <w:tc>
          <w:tcPr>
            <w:tcW w:type="dxa" w:w="1800"/>
            <w:vAlign w:val="top"/>
          </w:tcPr>
          <w:p>
            <w:pPr>
              <w:pStyle w:val="CellSmall"/>
            </w:pPr>
            <w:r/>
            <w:r>
              <w:rPr>
                <w:rFonts w:ascii="Arial" w:hAnsi="Arial" w:eastAsia="Arial"/>
                <w:b w:val="0"/>
                <w:sz w:val="13"/>
              </w:rPr>
              <w:t>F. GPU/NVIDIA</w:t>
            </w:r>
          </w:p>
        </w:tc>
        <w:tc>
          <w:tcPr>
            <w:tcW w:type="dxa" w:w="7200"/>
            <w:vAlign w:val="top"/>
          </w:tcPr>
          <w:p>
            <w:pPr>
              <w:pStyle w:val="CellSmall"/>
            </w:pPr>
            <w:r/>
            <w:r>
              <w:rPr>
                <w:rFonts w:ascii="Arial" w:hAnsi="Arial" w:eastAsia="Arial"/>
                <w:b w:val="0"/>
                <w:sz w:val="13"/>
              </w:rPr>
              <w:t>GPU visible; drivers/CUDA funcionales; nvidia-smi; prueba PyTorch CUDA; licencia/soporte si aplica; contenedores NVIDIA si se autorizan.</w:t>
            </w:r>
          </w:p>
        </w:tc>
        <w:tc>
          <w:tcPr>
            <w:tcW w:type="dxa" w:w="1800"/>
            <w:vAlign w:val="top"/>
          </w:tcPr>
          <w:p>
            <w:pPr>
              <w:pStyle w:val="CellSmall"/>
            </w:pPr>
            <w:r/>
            <w:r>
              <w:rPr>
                <w:rFonts w:ascii="Arial" w:hAnsi="Arial" w:eastAsia="Arial"/>
                <w:b w:val="0"/>
                <w:sz w:val="13"/>
              </w:rPr>
              <w:t>Proveedor/CEL TI</w:t>
            </w:r>
          </w:p>
        </w:tc>
        <w:tc>
          <w:tcPr>
            <w:tcW w:type="dxa" w:w="1656"/>
            <w:vAlign w:val="top"/>
          </w:tcPr>
          <w:p>
            <w:pPr>
              <w:pStyle w:val="CellSmall"/>
            </w:pPr>
            <w:r/>
            <w:r>
              <w:rPr>
                <w:rFonts w:ascii="Arial" w:hAnsi="Arial" w:eastAsia="Arial"/>
                <w:b w:val="0"/>
                <w:sz w:val="13"/>
              </w:rPr>
              <w:t>Bloqueante para modelo</w:t>
            </w:r>
          </w:p>
        </w:tc>
      </w:tr>
      <w:tr>
        <w:tc>
          <w:tcPr>
            <w:tcW w:type="dxa" w:w="1800"/>
            <w:vAlign w:val="top"/>
          </w:tcPr>
          <w:p>
            <w:pPr>
              <w:pStyle w:val="CellSmall"/>
            </w:pPr>
            <w:r/>
            <w:r>
              <w:rPr>
                <w:rFonts w:ascii="Arial" w:hAnsi="Arial" w:eastAsia="Arial"/>
                <w:b w:val="0"/>
                <w:sz w:val="13"/>
              </w:rPr>
              <w:t>G. Almacenamiento</w:t>
            </w:r>
          </w:p>
        </w:tc>
        <w:tc>
          <w:tcPr>
            <w:tcW w:type="dxa" w:w="7200"/>
            <w:vAlign w:val="top"/>
          </w:tcPr>
          <w:p>
            <w:pPr>
              <w:pStyle w:val="CellSmall"/>
            </w:pPr>
            <w:r/>
            <w:r>
              <w:rPr>
                <w:rFonts w:ascii="Arial" w:hAnsi="Arial" w:eastAsia="Arial"/>
                <w:b w:val="0"/>
                <w:sz w:val="13"/>
              </w:rPr>
              <w:t>Volúmenes disponibles; rutas NAS/SMB/NFS; permisos read/write; capacidad; estructura de carpetas; política de retención.</w:t>
            </w:r>
          </w:p>
        </w:tc>
        <w:tc>
          <w:tcPr>
            <w:tcW w:type="dxa" w:w="1800"/>
            <w:vAlign w:val="top"/>
          </w:tcPr>
          <w:p>
            <w:pPr>
              <w:pStyle w:val="CellSmall"/>
            </w:pPr>
            <w:r/>
            <w:r>
              <w:rPr>
                <w:rFonts w:ascii="Arial" w:hAnsi="Arial" w:eastAsia="Arial"/>
                <w:b w:val="0"/>
                <w:sz w:val="13"/>
              </w:rPr>
              <w:t>CEL TI</w:t>
            </w:r>
          </w:p>
        </w:tc>
        <w:tc>
          <w:tcPr>
            <w:tcW w:type="dxa" w:w="1656"/>
            <w:vAlign w:val="top"/>
          </w:tcPr>
          <w:p>
            <w:pPr>
              <w:pStyle w:val="CellSmall"/>
            </w:pPr>
            <w:r/>
            <w:r>
              <w:rPr>
                <w:rFonts w:ascii="Arial" w:hAnsi="Arial" w:eastAsia="Arial"/>
                <w:b w:val="0"/>
                <w:sz w:val="13"/>
              </w:rPr>
              <w:t>Necesario</w:t>
            </w:r>
          </w:p>
        </w:tc>
      </w:tr>
      <w:tr>
        <w:tc>
          <w:tcPr>
            <w:tcW w:type="dxa" w:w="1800"/>
            <w:vAlign w:val="top"/>
          </w:tcPr>
          <w:p>
            <w:pPr>
              <w:pStyle w:val="CellSmall"/>
            </w:pPr>
            <w:r/>
            <w:r>
              <w:rPr>
                <w:rFonts w:ascii="Arial" w:hAnsi="Arial" w:eastAsia="Arial"/>
                <w:b w:val="0"/>
                <w:sz w:val="13"/>
              </w:rPr>
              <w:t>H. Bases de datos</w:t>
            </w:r>
          </w:p>
        </w:tc>
        <w:tc>
          <w:tcPr>
            <w:tcW w:type="dxa" w:w="7200"/>
            <w:vAlign w:val="top"/>
          </w:tcPr>
          <w:p>
            <w:pPr>
              <w:pStyle w:val="CellSmall"/>
            </w:pPr>
            <w:r/>
            <w:r>
              <w:rPr>
                <w:rFonts w:ascii="Arial" w:hAnsi="Arial" w:eastAsia="Arial"/>
                <w:b w:val="0"/>
                <w:sz w:val="13"/>
              </w:rPr>
              <w:t>PostgreSQL/PostGIS y MongoDB instaladas o ubicación definida; credenciales; roles; backups; acceso desde Mage/app.</w:t>
            </w:r>
          </w:p>
        </w:tc>
        <w:tc>
          <w:tcPr>
            <w:tcW w:type="dxa" w:w="1800"/>
            <w:vAlign w:val="top"/>
          </w:tcPr>
          <w:p>
            <w:pPr>
              <w:pStyle w:val="CellSmall"/>
            </w:pPr>
            <w:r/>
            <w:r>
              <w:rPr>
                <w:rFonts w:ascii="Arial" w:hAnsi="Arial" w:eastAsia="Arial"/>
                <w:b w:val="0"/>
                <w:sz w:val="13"/>
              </w:rPr>
              <w:t>CEL TI + Consultora</w:t>
            </w:r>
          </w:p>
        </w:tc>
        <w:tc>
          <w:tcPr>
            <w:tcW w:type="dxa" w:w="1656"/>
            <w:vAlign w:val="top"/>
          </w:tcPr>
          <w:p>
            <w:pPr>
              <w:pStyle w:val="CellSmall"/>
            </w:pPr>
            <w:r/>
            <w:r>
              <w:rPr>
                <w:rFonts w:ascii="Arial" w:hAnsi="Arial" w:eastAsia="Arial"/>
                <w:b w:val="0"/>
                <w:sz w:val="13"/>
              </w:rPr>
              <w:t>Necesario</w:t>
            </w:r>
          </w:p>
        </w:tc>
      </w:tr>
      <w:tr>
        <w:tc>
          <w:tcPr>
            <w:tcW w:type="dxa" w:w="1800"/>
            <w:vAlign w:val="top"/>
          </w:tcPr>
          <w:p>
            <w:pPr>
              <w:pStyle w:val="CellSmall"/>
            </w:pPr>
            <w:r/>
            <w:r>
              <w:rPr>
                <w:rFonts w:ascii="Arial" w:hAnsi="Arial" w:eastAsia="Arial"/>
                <w:b w:val="0"/>
                <w:sz w:val="13"/>
              </w:rPr>
              <w:t>I. Mage</w:t>
            </w:r>
          </w:p>
        </w:tc>
        <w:tc>
          <w:tcPr>
            <w:tcW w:type="dxa" w:w="7200"/>
            <w:vAlign w:val="top"/>
          </w:tcPr>
          <w:p>
            <w:pPr>
              <w:pStyle w:val="CellSmall"/>
            </w:pPr>
            <w:r/>
            <w:r>
              <w:rPr>
                <w:rFonts w:ascii="Arial" w:hAnsi="Arial" w:eastAsia="Arial"/>
                <w:b w:val="0"/>
                <w:sz w:val="13"/>
              </w:rPr>
              <w:t>Instancia Mage instalada/levantada; acceso UI; repositorio; pipelines dummy; logs; retries; scheduler; variables/secrets; backup de configuración.</w:t>
            </w:r>
          </w:p>
        </w:tc>
        <w:tc>
          <w:tcPr>
            <w:tcW w:type="dxa" w:w="1800"/>
            <w:vAlign w:val="top"/>
          </w:tcPr>
          <w:p>
            <w:pPr>
              <w:pStyle w:val="CellSmall"/>
            </w:pPr>
            <w:r/>
            <w:r>
              <w:rPr>
                <w:rFonts w:ascii="Arial" w:hAnsi="Arial" w:eastAsia="Arial"/>
                <w:b w:val="0"/>
                <w:sz w:val="13"/>
              </w:rPr>
              <w:t>Consultora + CEL TI</w:t>
            </w:r>
          </w:p>
        </w:tc>
        <w:tc>
          <w:tcPr>
            <w:tcW w:type="dxa" w:w="1656"/>
            <w:vAlign w:val="top"/>
          </w:tcPr>
          <w:p>
            <w:pPr>
              <w:pStyle w:val="CellSmall"/>
            </w:pPr>
            <w:r/>
            <w:r>
              <w:rPr>
                <w:rFonts w:ascii="Arial" w:hAnsi="Arial" w:eastAsia="Arial"/>
                <w:b w:val="0"/>
                <w:sz w:val="13"/>
              </w:rPr>
              <w:t>Core Fase 0</w:t>
            </w:r>
          </w:p>
        </w:tc>
      </w:tr>
      <w:tr>
        <w:tc>
          <w:tcPr>
            <w:tcW w:type="dxa" w:w="1800"/>
            <w:vAlign w:val="top"/>
          </w:tcPr>
          <w:p>
            <w:pPr>
              <w:pStyle w:val="CellSmall"/>
            </w:pPr>
            <w:r/>
            <w:r>
              <w:rPr>
                <w:rFonts w:ascii="Arial" w:hAnsi="Arial" w:eastAsia="Arial"/>
                <w:b w:val="0"/>
                <w:sz w:val="13"/>
              </w:rPr>
              <w:t>J. Git/control de versiones</w:t>
            </w:r>
          </w:p>
        </w:tc>
        <w:tc>
          <w:tcPr>
            <w:tcW w:type="dxa" w:w="7200"/>
            <w:vAlign w:val="top"/>
          </w:tcPr>
          <w:p>
            <w:pPr>
              <w:pStyle w:val="CellSmall"/>
            </w:pPr>
            <w:r/>
            <w:r>
              <w:rPr>
                <w:rFonts w:ascii="Arial" w:hAnsi="Arial" w:eastAsia="Arial"/>
                <w:b w:val="0"/>
                <w:sz w:val="13"/>
              </w:rPr>
              <w:t>Repositorio creado; permisos; estructura de ramas; política de commits; secrets fuera del repo; acceso consultora/equipo CEL.</w:t>
            </w:r>
          </w:p>
        </w:tc>
        <w:tc>
          <w:tcPr>
            <w:tcW w:type="dxa" w:w="1800"/>
            <w:vAlign w:val="top"/>
          </w:tcPr>
          <w:p>
            <w:pPr>
              <w:pStyle w:val="CellSmall"/>
            </w:pPr>
            <w:r/>
            <w:r>
              <w:rPr>
                <w:rFonts w:ascii="Arial" w:hAnsi="Arial" w:eastAsia="Arial"/>
                <w:b w:val="0"/>
                <w:sz w:val="13"/>
              </w:rPr>
              <w:t>CEL TI + Consultora</w:t>
            </w:r>
          </w:p>
        </w:tc>
        <w:tc>
          <w:tcPr>
            <w:tcW w:type="dxa" w:w="1656"/>
            <w:vAlign w:val="top"/>
          </w:tcPr>
          <w:p>
            <w:pPr>
              <w:pStyle w:val="CellSmall"/>
            </w:pPr>
            <w:r/>
            <w:r>
              <w:rPr>
                <w:rFonts w:ascii="Arial" w:hAnsi="Arial" w:eastAsia="Arial"/>
                <w:b w:val="0"/>
                <w:sz w:val="13"/>
              </w:rPr>
              <w:t>Necesario</w:t>
            </w:r>
          </w:p>
        </w:tc>
      </w:tr>
      <w:tr>
        <w:tc>
          <w:tcPr>
            <w:tcW w:type="dxa" w:w="1800"/>
            <w:vAlign w:val="top"/>
          </w:tcPr>
          <w:p>
            <w:pPr>
              <w:pStyle w:val="CellSmall"/>
            </w:pPr>
            <w:r/>
            <w:r>
              <w:rPr>
                <w:rFonts w:ascii="Arial" w:hAnsi="Arial" w:eastAsia="Arial"/>
                <w:b w:val="0"/>
                <w:sz w:val="13"/>
              </w:rPr>
              <w:t>K. Fuentes externas</w:t>
            </w:r>
          </w:p>
        </w:tc>
        <w:tc>
          <w:tcPr>
            <w:tcW w:type="dxa" w:w="7200"/>
            <w:vAlign w:val="top"/>
          </w:tcPr>
          <w:p>
            <w:pPr>
              <w:pStyle w:val="CellSmall"/>
            </w:pPr>
            <w:r/>
            <w:r>
              <w:rPr>
                <w:rFonts w:ascii="Arial" w:hAnsi="Arial" w:eastAsia="Arial"/>
                <w:b w:val="0"/>
                <w:sz w:val="13"/>
              </w:rPr>
              <w:t>Prueba descarga/consulta de datos abiertos; allowlist si aplica; credenciales/API keys; manejo de rate limits.</w:t>
            </w:r>
          </w:p>
        </w:tc>
        <w:tc>
          <w:tcPr>
            <w:tcW w:type="dxa" w:w="1800"/>
            <w:vAlign w:val="top"/>
          </w:tcPr>
          <w:p>
            <w:pPr>
              <w:pStyle w:val="CellSmall"/>
            </w:pPr>
            <w:r/>
            <w:r>
              <w:rPr>
                <w:rFonts w:ascii="Arial" w:hAnsi="Arial" w:eastAsia="Arial"/>
                <w:b w:val="0"/>
                <w:sz w:val="13"/>
              </w:rPr>
              <w:t>Consultora + CEL TI</w:t>
            </w:r>
          </w:p>
        </w:tc>
        <w:tc>
          <w:tcPr>
            <w:tcW w:type="dxa" w:w="1656"/>
            <w:vAlign w:val="top"/>
          </w:tcPr>
          <w:p>
            <w:pPr>
              <w:pStyle w:val="CellSmall"/>
            </w:pPr>
            <w:r/>
            <w:r>
              <w:rPr>
                <w:rFonts w:ascii="Arial" w:hAnsi="Arial" w:eastAsia="Arial"/>
                <w:b w:val="0"/>
                <w:sz w:val="13"/>
              </w:rPr>
              <w:t>Necesario</w:t>
            </w:r>
          </w:p>
        </w:tc>
      </w:tr>
      <w:tr>
        <w:tc>
          <w:tcPr>
            <w:tcW w:type="dxa" w:w="1800"/>
            <w:vAlign w:val="top"/>
          </w:tcPr>
          <w:p>
            <w:pPr>
              <w:pStyle w:val="CellSmall"/>
            </w:pPr>
            <w:r/>
            <w:r>
              <w:rPr>
                <w:rFonts w:ascii="Arial" w:hAnsi="Arial" w:eastAsia="Arial"/>
                <w:b w:val="0"/>
                <w:sz w:val="13"/>
              </w:rPr>
              <w:t>L. Fuentes internas CEL</w:t>
            </w:r>
          </w:p>
        </w:tc>
        <w:tc>
          <w:tcPr>
            <w:tcW w:type="dxa" w:w="7200"/>
            <w:vAlign w:val="top"/>
          </w:tcPr>
          <w:p>
            <w:pPr>
              <w:pStyle w:val="CellSmall"/>
            </w:pPr>
            <w:r/>
            <w:r>
              <w:rPr>
                <w:rFonts w:ascii="Arial" w:hAnsi="Arial" w:eastAsia="Arial"/>
                <w:b w:val="0"/>
                <w:sz w:val="13"/>
              </w:rPr>
              <w:t>Acceso read-only a datos aprobados; rutas; formato; owner de datos; restricciones; ventana de extracción.</w:t>
            </w:r>
          </w:p>
        </w:tc>
        <w:tc>
          <w:tcPr>
            <w:tcW w:type="dxa" w:w="1800"/>
            <w:vAlign w:val="top"/>
          </w:tcPr>
          <w:p>
            <w:pPr>
              <w:pStyle w:val="CellSmall"/>
            </w:pPr>
            <w:r/>
            <w:r>
              <w:rPr>
                <w:rFonts w:ascii="Arial" w:hAnsi="Arial" w:eastAsia="Arial"/>
                <w:b w:val="0"/>
                <w:sz w:val="13"/>
              </w:rPr>
              <w:t>CEL</w:t>
            </w:r>
          </w:p>
        </w:tc>
        <w:tc>
          <w:tcPr>
            <w:tcW w:type="dxa" w:w="1656"/>
            <w:vAlign w:val="top"/>
          </w:tcPr>
          <w:p>
            <w:pPr>
              <w:pStyle w:val="CellSmall"/>
            </w:pPr>
            <w:r/>
            <w:r>
              <w:rPr>
                <w:rFonts w:ascii="Arial" w:hAnsi="Arial" w:eastAsia="Arial"/>
                <w:b w:val="0"/>
                <w:sz w:val="13"/>
              </w:rPr>
              <w:t>Según fase</w:t>
            </w:r>
          </w:p>
        </w:tc>
      </w:tr>
      <w:tr>
        <w:tc>
          <w:tcPr>
            <w:tcW w:type="dxa" w:w="1800"/>
            <w:vAlign w:val="top"/>
          </w:tcPr>
          <w:p>
            <w:pPr>
              <w:pStyle w:val="CellSmall"/>
            </w:pPr>
            <w:r/>
            <w:r>
              <w:rPr>
                <w:rFonts w:ascii="Arial" w:hAnsi="Arial" w:eastAsia="Arial"/>
                <w:b w:val="0"/>
                <w:sz w:val="13"/>
              </w:rPr>
              <w:t>M. Seguridad y secretos</w:t>
            </w:r>
          </w:p>
        </w:tc>
        <w:tc>
          <w:tcPr>
            <w:tcW w:type="dxa" w:w="7200"/>
            <w:vAlign w:val="top"/>
          </w:tcPr>
          <w:p>
            <w:pPr>
              <w:pStyle w:val="CellSmall"/>
            </w:pPr>
            <w:r/>
            <w:r>
              <w:rPr>
                <w:rFonts w:ascii="Arial" w:hAnsi="Arial" w:eastAsia="Arial"/>
                <w:b w:val="0"/>
                <w:sz w:val="13"/>
              </w:rPr>
              <w:t>Gestión de secrets; no credenciales en código; mínimo privilegio; bitácora de accesos; procedimiento de revocación.</w:t>
            </w:r>
          </w:p>
        </w:tc>
        <w:tc>
          <w:tcPr>
            <w:tcW w:type="dxa" w:w="1800"/>
            <w:vAlign w:val="top"/>
          </w:tcPr>
          <w:p>
            <w:pPr>
              <w:pStyle w:val="CellSmall"/>
            </w:pPr>
            <w:r/>
            <w:r>
              <w:rPr>
                <w:rFonts w:ascii="Arial" w:hAnsi="Arial" w:eastAsia="Arial"/>
                <w:b w:val="0"/>
                <w:sz w:val="13"/>
              </w:rPr>
              <w:t>CEL TI + Consultora</w:t>
            </w:r>
          </w:p>
        </w:tc>
        <w:tc>
          <w:tcPr>
            <w:tcW w:type="dxa" w:w="1656"/>
            <w:vAlign w:val="top"/>
          </w:tcPr>
          <w:p>
            <w:pPr>
              <w:pStyle w:val="CellSmall"/>
            </w:pPr>
            <w:r/>
            <w:r>
              <w:rPr>
                <w:rFonts w:ascii="Arial" w:hAnsi="Arial" w:eastAsia="Arial"/>
                <w:b w:val="0"/>
                <w:sz w:val="13"/>
              </w:rPr>
              <w:t>Necesario</w:t>
            </w:r>
          </w:p>
        </w:tc>
      </w:tr>
      <w:tr>
        <w:tc>
          <w:tcPr>
            <w:tcW w:type="dxa" w:w="1800"/>
            <w:vAlign w:val="top"/>
          </w:tcPr>
          <w:p>
            <w:pPr>
              <w:pStyle w:val="CellSmall"/>
            </w:pPr>
            <w:r/>
            <w:r>
              <w:rPr>
                <w:rFonts w:ascii="Arial" w:hAnsi="Arial" w:eastAsia="Arial"/>
                <w:b w:val="0"/>
                <w:sz w:val="13"/>
              </w:rPr>
              <w:t>N. Backups/restore</w:t>
            </w:r>
          </w:p>
        </w:tc>
        <w:tc>
          <w:tcPr>
            <w:tcW w:type="dxa" w:w="7200"/>
            <w:vAlign w:val="top"/>
          </w:tcPr>
          <w:p>
            <w:pPr>
              <w:pStyle w:val="CellSmall"/>
            </w:pPr>
            <w:r/>
            <w:r>
              <w:rPr>
                <w:rFonts w:ascii="Arial" w:hAnsi="Arial" w:eastAsia="Arial"/>
                <w:b w:val="0"/>
                <w:sz w:val="13"/>
              </w:rPr>
              <w:t>Responsable de backup; periodicidad; alcance; prueba de restore para configuración crítica del piloto; RPO/RTO documentado.</w:t>
            </w:r>
          </w:p>
        </w:tc>
        <w:tc>
          <w:tcPr>
            <w:tcW w:type="dxa" w:w="1800"/>
            <w:vAlign w:val="top"/>
          </w:tcPr>
          <w:p>
            <w:pPr>
              <w:pStyle w:val="CellSmall"/>
            </w:pPr>
            <w:r/>
            <w:r>
              <w:rPr>
                <w:rFonts w:ascii="Arial" w:hAnsi="Arial" w:eastAsia="Arial"/>
                <w:b w:val="0"/>
                <w:sz w:val="13"/>
              </w:rPr>
              <w:t>CEL TI</w:t>
            </w:r>
          </w:p>
        </w:tc>
        <w:tc>
          <w:tcPr>
            <w:tcW w:type="dxa" w:w="1656"/>
            <w:vAlign w:val="top"/>
          </w:tcPr>
          <w:p>
            <w:pPr>
              <w:pStyle w:val="CellSmall"/>
            </w:pPr>
            <w:r/>
            <w:r>
              <w:rPr>
                <w:rFonts w:ascii="Arial" w:hAnsi="Arial" w:eastAsia="Arial"/>
                <w:b w:val="0"/>
                <w:sz w:val="13"/>
              </w:rPr>
              <w:t>Necesario</w:t>
            </w:r>
          </w:p>
        </w:tc>
      </w:tr>
      <w:tr>
        <w:tc>
          <w:tcPr>
            <w:tcW w:type="dxa" w:w="1800"/>
            <w:vAlign w:val="top"/>
          </w:tcPr>
          <w:p>
            <w:pPr>
              <w:pStyle w:val="CellSmall"/>
            </w:pPr>
            <w:r/>
            <w:r>
              <w:rPr>
                <w:rFonts w:ascii="Arial" w:hAnsi="Arial" w:eastAsia="Arial"/>
                <w:b w:val="0"/>
                <w:sz w:val="13"/>
              </w:rPr>
              <w:t>O. Benchmarks</w:t>
            </w:r>
          </w:p>
        </w:tc>
        <w:tc>
          <w:tcPr>
            <w:tcW w:type="dxa" w:w="7200"/>
            <w:vAlign w:val="top"/>
          </w:tcPr>
          <w:p>
            <w:pPr>
              <w:pStyle w:val="CellSmall"/>
            </w:pPr>
            <w:r/>
            <w:r>
              <w:rPr>
                <w:rFonts w:ascii="Arial" w:hAnsi="Arial" w:eastAsia="Arial"/>
                <w:b w:val="0"/>
                <w:sz w:val="13"/>
              </w:rPr>
              <w:t>GPU smoke test; lectura/escritura storage; conectividad red; pipeline dummy end-to-end; latencia básica; registro de resultados.</w:t>
            </w:r>
          </w:p>
        </w:tc>
        <w:tc>
          <w:tcPr>
            <w:tcW w:type="dxa" w:w="1800"/>
            <w:vAlign w:val="top"/>
          </w:tcPr>
          <w:p>
            <w:pPr>
              <w:pStyle w:val="CellSmall"/>
            </w:pPr>
            <w:r/>
            <w:r>
              <w:rPr>
                <w:rFonts w:ascii="Arial" w:hAnsi="Arial" w:eastAsia="Arial"/>
                <w:b w:val="0"/>
                <w:sz w:val="13"/>
              </w:rPr>
              <w:t>Consultora</w:t>
            </w:r>
          </w:p>
        </w:tc>
        <w:tc>
          <w:tcPr>
            <w:tcW w:type="dxa" w:w="1656"/>
            <w:vAlign w:val="top"/>
          </w:tcPr>
          <w:p>
            <w:pPr>
              <w:pStyle w:val="CellSmall"/>
            </w:pPr>
            <w:r/>
            <w:r>
              <w:rPr>
                <w:rFonts w:ascii="Arial" w:hAnsi="Arial" w:eastAsia="Arial"/>
                <w:b w:val="0"/>
                <w:sz w:val="13"/>
              </w:rPr>
              <w:t>Entregable Fase 0</w:t>
            </w:r>
          </w:p>
        </w:tc>
      </w:tr>
      <w:tr>
        <w:tc>
          <w:tcPr>
            <w:tcW w:type="dxa" w:w="1800"/>
            <w:vAlign w:val="top"/>
          </w:tcPr>
          <w:p>
            <w:pPr>
              <w:pStyle w:val="CellSmall"/>
            </w:pPr>
            <w:r/>
            <w:r>
              <w:rPr>
                <w:rFonts w:ascii="Arial" w:hAnsi="Arial" w:eastAsia="Arial"/>
                <w:b w:val="0"/>
                <w:sz w:val="13"/>
              </w:rPr>
              <w:t>P. Acta de readiness</w:t>
            </w:r>
          </w:p>
        </w:tc>
        <w:tc>
          <w:tcPr>
            <w:tcW w:type="dxa" w:w="7200"/>
            <w:vAlign w:val="top"/>
          </w:tcPr>
          <w:p>
            <w:pPr>
              <w:pStyle w:val="CellSmall"/>
            </w:pPr>
            <w:r/>
            <w:r>
              <w:rPr>
                <w:rFonts w:ascii="Arial" w:hAnsi="Arial" w:eastAsia="Arial"/>
                <w:b w:val="0"/>
                <w:sz w:val="13"/>
              </w:rPr>
              <w:t>Checklist cerrado; excepciones documentadas; riesgos aceptados; firma/validación de responsables; autorización Fase 1.</w:t>
            </w:r>
          </w:p>
        </w:tc>
        <w:tc>
          <w:tcPr>
            <w:tcW w:type="dxa" w:w="1800"/>
            <w:vAlign w:val="top"/>
          </w:tcPr>
          <w:p>
            <w:pPr>
              <w:pStyle w:val="CellSmall"/>
            </w:pPr>
            <w:r/>
            <w:r>
              <w:rPr>
                <w:rFonts w:ascii="Arial" w:hAnsi="Arial" w:eastAsia="Arial"/>
                <w:b w:val="0"/>
                <w:sz w:val="13"/>
              </w:rPr>
              <w:t>CEL + Consultora</w:t>
            </w:r>
          </w:p>
        </w:tc>
        <w:tc>
          <w:tcPr>
            <w:tcW w:type="dxa" w:w="1656"/>
            <w:vAlign w:val="top"/>
          </w:tcPr>
          <w:p>
            <w:pPr>
              <w:pStyle w:val="CellSmall"/>
            </w:pPr>
            <w:r/>
            <w:r>
              <w:rPr>
                <w:rFonts w:ascii="Arial" w:hAnsi="Arial" w:eastAsia="Arial"/>
                <w:b w:val="0"/>
                <w:sz w:val="13"/>
              </w:rPr>
              <w:t>Gate de cierre</w:t>
            </w:r>
          </w:p>
        </w:tc>
      </w:tr>
    </w:tbl>
    <w:p>
      <w:r>
        <w:br w:type="page"/>
      </w:r>
    </w:p>
    <w:p>
      <w:pPr>
        <w:pStyle w:val="Heading1"/>
      </w:pPr>
      <w:r>
        <w:t>PARTE V. Gates, dependencias y ruta crítica</w:t>
      </w:r>
    </w:p>
    <w:p>
      <w:pPr>
        <w:pStyle w:val="Heading2"/>
      </w:pPr>
      <w:r>
        <w:t>5.1 Regla de inicio efectivo de Fase 0</w:t>
      </w:r>
    </w:p>
    <w:p>
      <w:pPr>
        <w:jc w:val="both"/>
      </w:pPr>
      <w:r>
        <w:rPr>
          <w:b/>
        </w:rPr>
        <w:t xml:space="preserve">La orden administrativa de inicio no debe confundirse con la capacidad técnica real de iniciar Fase 0. </w:t>
      </w:r>
      <w:r>
        <w:t>La Fase 0 podrá coordinarse preliminarmente desde la orden de inicio, pero el cómputo operativo de actividades técnicas dependientes del entorno deberá iniciar desde el cumplimiento del Handoff Técnico Mínimo. Si CEL requiere iniciar antes, deberá aceptarse formalmente que las actividades se limitarán a planificación, revisión documental, coordinación técnica y preparación de scripts/documentación, sin que los pendientes de infraestructura sean imputables a la Consultora.</w:t>
      </w:r>
    </w:p>
    <w:p>
      <w:pPr>
        <w:pStyle w:val="Heading2"/>
      </w:pPr>
      <w:r>
        <w:t>5.2 Gates de ejecución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top"/>
            <w:shd w:fill="1F2937"/>
          </w:tcPr>
          <w:p>
            <w:pPr>
              <w:pStyle w:val="CellSmall"/>
            </w:pPr>
            <w:r/>
            <w:r>
              <w:rPr>
                <w:rFonts w:ascii="Arial" w:hAnsi="Arial" w:eastAsia="Arial"/>
                <w:b/>
                <w:color w:val="FFFFFF"/>
                <w:sz w:val="14"/>
              </w:rPr>
              <w:t>Gate</w:t>
            </w:r>
          </w:p>
        </w:tc>
        <w:tc>
          <w:tcPr>
            <w:tcW w:type="dxa" w:w="2232"/>
            <w:vAlign w:val="top"/>
            <w:shd w:fill="1F2937"/>
          </w:tcPr>
          <w:p>
            <w:pPr>
              <w:pStyle w:val="CellSmall"/>
            </w:pPr>
            <w:r/>
            <w:r>
              <w:rPr>
                <w:rFonts w:ascii="Arial" w:hAnsi="Arial" w:eastAsia="Arial"/>
                <w:b/>
                <w:color w:val="FFFFFF"/>
                <w:sz w:val="14"/>
              </w:rPr>
              <w:t>Owner</w:t>
            </w:r>
          </w:p>
        </w:tc>
        <w:tc>
          <w:tcPr>
            <w:tcW w:type="dxa" w:w="5760"/>
            <w:vAlign w:val="top"/>
            <w:shd w:fill="1F2937"/>
          </w:tcPr>
          <w:p>
            <w:pPr>
              <w:pStyle w:val="CellSmall"/>
            </w:pPr>
            <w:r/>
            <w:r>
              <w:rPr>
                <w:rFonts w:ascii="Arial" w:hAnsi="Arial" w:eastAsia="Arial"/>
                <w:b/>
                <w:color w:val="FFFFFF"/>
                <w:sz w:val="14"/>
              </w:rPr>
              <w:t>Condición de cierre</w:t>
            </w:r>
          </w:p>
        </w:tc>
        <w:tc>
          <w:tcPr>
            <w:tcW w:type="dxa" w:w="3024"/>
            <w:vAlign w:val="top"/>
            <w:shd w:fill="1F2937"/>
          </w:tcPr>
          <w:p>
            <w:pPr>
              <w:pStyle w:val="CellSmall"/>
            </w:pPr>
            <w:r/>
            <w:r>
              <w:rPr>
                <w:rFonts w:ascii="Arial" w:hAnsi="Arial" w:eastAsia="Arial"/>
                <w:b/>
                <w:color w:val="FFFFFF"/>
                <w:sz w:val="14"/>
              </w:rPr>
              <w:t>Efecto si no se cumple</w:t>
            </w:r>
          </w:p>
        </w:tc>
      </w:tr>
      <w:tr>
        <w:tc>
          <w:tcPr>
            <w:tcW w:type="dxa" w:w="1872"/>
            <w:vAlign w:val="top"/>
          </w:tcPr>
          <w:p>
            <w:pPr>
              <w:pStyle w:val="CellSmall"/>
            </w:pPr>
            <w:r/>
            <w:r>
              <w:rPr>
                <w:rFonts w:ascii="Arial" w:hAnsi="Arial" w:eastAsia="Arial"/>
                <w:b w:val="0"/>
                <w:sz w:val="14"/>
              </w:rPr>
              <w:t>G0 - Alineación documental</w:t>
            </w:r>
          </w:p>
        </w:tc>
        <w:tc>
          <w:tcPr>
            <w:tcW w:type="dxa" w:w="2232"/>
            <w:vAlign w:val="top"/>
          </w:tcPr>
          <w:p>
            <w:pPr>
              <w:pStyle w:val="CellSmall"/>
            </w:pPr>
            <w:r/>
            <w:r>
              <w:rPr>
                <w:rFonts w:ascii="Arial" w:hAnsi="Arial" w:eastAsia="Arial"/>
                <w:b w:val="0"/>
                <w:sz w:val="14"/>
              </w:rPr>
              <w:t>CEL + Consultora</w:t>
            </w:r>
          </w:p>
        </w:tc>
        <w:tc>
          <w:tcPr>
            <w:tcW w:type="dxa" w:w="5760"/>
            <w:vAlign w:val="top"/>
          </w:tcPr>
          <w:p>
            <w:pPr>
              <w:pStyle w:val="CellSmall"/>
            </w:pPr>
            <w:r/>
            <w:r>
              <w:rPr>
                <w:rFonts w:ascii="Arial" w:hAnsi="Arial" w:eastAsia="Arial"/>
                <w:b w:val="0"/>
                <w:sz w:val="14"/>
              </w:rPr>
              <w:t>Adenda/anexo/nota aprobada; scope y RACI reconocidos.</w:t>
            </w:r>
          </w:p>
        </w:tc>
        <w:tc>
          <w:tcPr>
            <w:tcW w:type="dxa" w:w="3024"/>
            <w:vAlign w:val="top"/>
          </w:tcPr>
          <w:p>
            <w:pPr>
              <w:pStyle w:val="CellSmall"/>
            </w:pPr>
            <w:r/>
            <w:r>
              <w:rPr>
                <w:rFonts w:ascii="Arial" w:hAnsi="Arial" w:eastAsia="Arial"/>
                <w:b w:val="0"/>
                <w:sz w:val="14"/>
              </w:rPr>
              <w:t>Riesgo de ambigüedad y disputas de alcance.</w:t>
            </w:r>
          </w:p>
        </w:tc>
      </w:tr>
      <w:tr>
        <w:tc>
          <w:tcPr>
            <w:tcW w:type="dxa" w:w="1872"/>
            <w:vAlign w:val="top"/>
          </w:tcPr>
          <w:p>
            <w:pPr>
              <w:pStyle w:val="CellSmall"/>
            </w:pPr>
            <w:r/>
            <w:r>
              <w:rPr>
                <w:rFonts w:ascii="Arial" w:hAnsi="Arial" w:eastAsia="Arial"/>
                <w:b w:val="0"/>
                <w:sz w:val="14"/>
              </w:rPr>
              <w:t>G1 - Handoff proveedor</w:t>
            </w:r>
          </w:p>
        </w:tc>
        <w:tc>
          <w:tcPr>
            <w:tcW w:type="dxa" w:w="2232"/>
            <w:vAlign w:val="top"/>
          </w:tcPr>
          <w:p>
            <w:pPr>
              <w:pStyle w:val="CellSmall"/>
            </w:pPr>
            <w:r/>
            <w:r>
              <w:rPr>
                <w:rFonts w:ascii="Arial" w:hAnsi="Arial" w:eastAsia="Arial"/>
                <w:b w:val="0"/>
                <w:sz w:val="14"/>
              </w:rPr>
              <w:t>CEL/Martinexsa</w:t>
            </w:r>
          </w:p>
        </w:tc>
        <w:tc>
          <w:tcPr>
            <w:tcW w:type="dxa" w:w="5760"/>
            <w:vAlign w:val="top"/>
          </w:tcPr>
          <w:p>
            <w:pPr>
              <w:pStyle w:val="CellSmall"/>
            </w:pPr>
            <w:r/>
            <w:r>
              <w:rPr>
                <w:rFonts w:ascii="Arial" w:hAnsi="Arial" w:eastAsia="Arial"/>
                <w:b w:val="0"/>
                <w:sz w:val="14"/>
              </w:rPr>
              <w:t>Equipos instalados, red base, OS base, iDRAC, storage y soporte documentados.</w:t>
            </w:r>
          </w:p>
        </w:tc>
        <w:tc>
          <w:tcPr>
            <w:tcW w:type="dxa" w:w="3024"/>
            <w:vAlign w:val="top"/>
          </w:tcPr>
          <w:p>
            <w:pPr>
              <w:pStyle w:val="CellSmall"/>
            </w:pPr>
            <w:r/>
            <w:r>
              <w:rPr>
                <w:rFonts w:ascii="Arial" w:hAnsi="Arial" w:eastAsia="Arial"/>
                <w:b w:val="0"/>
                <w:sz w:val="14"/>
              </w:rPr>
              <w:t>No inicia validación técnica completa.</w:t>
            </w:r>
          </w:p>
        </w:tc>
      </w:tr>
      <w:tr>
        <w:tc>
          <w:tcPr>
            <w:tcW w:type="dxa" w:w="1872"/>
            <w:vAlign w:val="top"/>
          </w:tcPr>
          <w:p>
            <w:pPr>
              <w:pStyle w:val="CellSmall"/>
            </w:pPr>
            <w:r/>
            <w:r>
              <w:rPr>
                <w:rFonts w:ascii="Arial" w:hAnsi="Arial" w:eastAsia="Arial"/>
                <w:b w:val="0"/>
                <w:sz w:val="14"/>
              </w:rPr>
              <w:t>G2 - Acceso seguro</w:t>
            </w:r>
          </w:p>
        </w:tc>
        <w:tc>
          <w:tcPr>
            <w:tcW w:type="dxa" w:w="2232"/>
            <w:vAlign w:val="top"/>
          </w:tcPr>
          <w:p>
            <w:pPr>
              <w:pStyle w:val="CellSmall"/>
            </w:pPr>
            <w:r/>
            <w:r>
              <w:rPr>
                <w:rFonts w:ascii="Arial" w:hAnsi="Arial" w:eastAsia="Arial"/>
                <w:b w:val="0"/>
                <w:sz w:val="14"/>
              </w:rPr>
              <w:t>CEL TI</w:t>
            </w:r>
          </w:p>
        </w:tc>
        <w:tc>
          <w:tcPr>
            <w:tcW w:type="dxa" w:w="5760"/>
            <w:vAlign w:val="top"/>
          </w:tcPr>
          <w:p>
            <w:pPr>
              <w:pStyle w:val="CellSmall"/>
            </w:pPr>
            <w:r/>
            <w:r>
              <w:rPr>
                <w:rFonts w:ascii="Arial" w:hAnsi="Arial" w:eastAsia="Arial"/>
                <w:b w:val="0"/>
                <w:sz w:val="14"/>
              </w:rPr>
              <w:t>VPN/bastion y credenciales funcionales.</w:t>
            </w:r>
          </w:p>
        </w:tc>
        <w:tc>
          <w:tcPr>
            <w:tcW w:type="dxa" w:w="3024"/>
            <w:vAlign w:val="top"/>
          </w:tcPr>
          <w:p>
            <w:pPr>
              <w:pStyle w:val="CellSmall"/>
            </w:pPr>
            <w:r/>
            <w:r>
              <w:rPr>
                <w:rFonts w:ascii="Arial" w:hAnsi="Arial" w:eastAsia="Arial"/>
                <w:b w:val="0"/>
                <w:sz w:val="14"/>
              </w:rPr>
              <w:t>Trabajo remoto técnico queda bloqueado.</w:t>
            </w:r>
          </w:p>
        </w:tc>
      </w:tr>
      <w:tr>
        <w:tc>
          <w:tcPr>
            <w:tcW w:type="dxa" w:w="1872"/>
            <w:vAlign w:val="top"/>
          </w:tcPr>
          <w:p>
            <w:pPr>
              <w:pStyle w:val="CellSmall"/>
            </w:pPr>
            <w:r/>
            <w:r>
              <w:rPr>
                <w:rFonts w:ascii="Arial" w:hAnsi="Arial" w:eastAsia="Arial"/>
                <w:b w:val="0"/>
                <w:sz w:val="14"/>
              </w:rPr>
              <w:t>G3 - GPU y stack base</w:t>
            </w:r>
          </w:p>
        </w:tc>
        <w:tc>
          <w:tcPr>
            <w:tcW w:type="dxa" w:w="2232"/>
            <w:vAlign w:val="top"/>
          </w:tcPr>
          <w:p>
            <w:pPr>
              <w:pStyle w:val="CellSmall"/>
            </w:pPr>
            <w:r/>
            <w:r>
              <w:rPr>
                <w:rFonts w:ascii="Arial" w:hAnsi="Arial" w:eastAsia="Arial"/>
                <w:b w:val="0"/>
                <w:sz w:val="14"/>
              </w:rPr>
              <w:t>CEL TI/proveedor</w:t>
            </w:r>
          </w:p>
        </w:tc>
        <w:tc>
          <w:tcPr>
            <w:tcW w:type="dxa" w:w="5760"/>
            <w:vAlign w:val="top"/>
          </w:tcPr>
          <w:p>
            <w:pPr>
              <w:pStyle w:val="CellSmall"/>
            </w:pPr>
            <w:r/>
            <w:r>
              <w:rPr>
                <w:rFonts w:ascii="Arial" w:hAnsi="Arial" w:eastAsia="Arial"/>
                <w:b w:val="0"/>
                <w:sz w:val="14"/>
              </w:rPr>
              <w:t>GPU/driver/CUDA/PyTorch funcionales; Docker si aplica.</w:t>
            </w:r>
          </w:p>
        </w:tc>
        <w:tc>
          <w:tcPr>
            <w:tcW w:type="dxa" w:w="3024"/>
            <w:vAlign w:val="top"/>
          </w:tcPr>
          <w:p>
            <w:pPr>
              <w:pStyle w:val="CellSmall"/>
            </w:pPr>
            <w:r/>
            <w:r>
              <w:rPr>
                <w:rFonts w:ascii="Arial" w:hAnsi="Arial" w:eastAsia="Arial"/>
                <w:b w:val="0"/>
                <w:sz w:val="14"/>
              </w:rPr>
              <w:t>Entrenamiento/inferencia no ejecutables.</w:t>
            </w:r>
          </w:p>
        </w:tc>
      </w:tr>
      <w:tr>
        <w:tc>
          <w:tcPr>
            <w:tcW w:type="dxa" w:w="1872"/>
            <w:vAlign w:val="top"/>
          </w:tcPr>
          <w:p>
            <w:pPr>
              <w:pStyle w:val="CellSmall"/>
            </w:pPr>
            <w:r/>
            <w:r>
              <w:rPr>
                <w:rFonts w:ascii="Arial" w:hAnsi="Arial" w:eastAsia="Arial"/>
                <w:b w:val="0"/>
                <w:sz w:val="14"/>
              </w:rPr>
              <w:t>G4 - Datos y almacenamiento</w:t>
            </w:r>
          </w:p>
        </w:tc>
        <w:tc>
          <w:tcPr>
            <w:tcW w:type="dxa" w:w="2232"/>
            <w:vAlign w:val="top"/>
          </w:tcPr>
          <w:p>
            <w:pPr>
              <w:pStyle w:val="CellSmall"/>
            </w:pPr>
            <w:r/>
            <w:r>
              <w:rPr>
                <w:rFonts w:ascii="Arial" w:hAnsi="Arial" w:eastAsia="Arial"/>
                <w:b w:val="0"/>
                <w:sz w:val="14"/>
              </w:rPr>
              <w:t>CEL + Consultora</w:t>
            </w:r>
          </w:p>
        </w:tc>
        <w:tc>
          <w:tcPr>
            <w:tcW w:type="dxa" w:w="5760"/>
            <w:vAlign w:val="top"/>
          </w:tcPr>
          <w:p>
            <w:pPr>
              <w:pStyle w:val="CellSmall"/>
            </w:pPr>
            <w:r/>
            <w:r>
              <w:rPr>
                <w:rFonts w:ascii="Arial" w:hAnsi="Arial" w:eastAsia="Arial"/>
                <w:b w:val="0"/>
                <w:sz w:val="14"/>
              </w:rPr>
              <w:t>Rutas, permisos, DBs y datasets iniciales accesibles.</w:t>
            </w:r>
          </w:p>
        </w:tc>
        <w:tc>
          <w:tcPr>
            <w:tcW w:type="dxa" w:w="3024"/>
            <w:vAlign w:val="top"/>
          </w:tcPr>
          <w:p>
            <w:pPr>
              <w:pStyle w:val="CellSmall"/>
            </w:pPr>
            <w:r/>
            <w:r>
              <w:rPr>
                <w:rFonts w:ascii="Arial" w:hAnsi="Arial" w:eastAsia="Arial"/>
                <w:b w:val="0"/>
                <w:sz w:val="14"/>
              </w:rPr>
              <w:t>No avanza preparación de datos.</w:t>
            </w:r>
          </w:p>
        </w:tc>
      </w:tr>
      <w:tr>
        <w:tc>
          <w:tcPr>
            <w:tcW w:type="dxa" w:w="1872"/>
            <w:vAlign w:val="top"/>
          </w:tcPr>
          <w:p>
            <w:pPr>
              <w:pStyle w:val="CellSmall"/>
            </w:pPr>
            <w:r/>
            <w:r>
              <w:rPr>
                <w:rFonts w:ascii="Arial" w:hAnsi="Arial" w:eastAsia="Arial"/>
                <w:b w:val="0"/>
                <w:sz w:val="14"/>
              </w:rPr>
              <w:t>G5 - Mage operativo</w:t>
            </w:r>
          </w:p>
        </w:tc>
        <w:tc>
          <w:tcPr>
            <w:tcW w:type="dxa" w:w="2232"/>
            <w:vAlign w:val="top"/>
          </w:tcPr>
          <w:p>
            <w:pPr>
              <w:pStyle w:val="CellSmall"/>
            </w:pPr>
            <w:r/>
            <w:r>
              <w:rPr>
                <w:rFonts w:ascii="Arial" w:hAnsi="Arial" w:eastAsia="Arial"/>
                <w:b w:val="0"/>
                <w:sz w:val="14"/>
              </w:rPr>
              <w:t>Consultora + CEL TI</w:t>
            </w:r>
          </w:p>
        </w:tc>
        <w:tc>
          <w:tcPr>
            <w:tcW w:type="dxa" w:w="5760"/>
            <w:vAlign w:val="top"/>
          </w:tcPr>
          <w:p>
            <w:pPr>
              <w:pStyle w:val="CellSmall"/>
            </w:pPr>
            <w:r/>
            <w:r>
              <w:rPr>
                <w:rFonts w:ascii="Arial" w:hAnsi="Arial" w:eastAsia="Arial"/>
                <w:b w:val="0"/>
                <w:sz w:val="14"/>
              </w:rPr>
              <w:t>Mage corre pipeline dummy, logs, retries y scheduler.</w:t>
            </w:r>
          </w:p>
        </w:tc>
        <w:tc>
          <w:tcPr>
            <w:tcW w:type="dxa" w:w="3024"/>
            <w:vAlign w:val="top"/>
          </w:tcPr>
          <w:p>
            <w:pPr>
              <w:pStyle w:val="CellSmall"/>
            </w:pPr>
            <w:r/>
            <w:r>
              <w:rPr>
                <w:rFonts w:ascii="Arial" w:hAnsi="Arial" w:eastAsia="Arial"/>
                <w:b w:val="0"/>
                <w:sz w:val="14"/>
              </w:rPr>
              <w:t>No inicia automatización robusta.</w:t>
            </w:r>
          </w:p>
        </w:tc>
      </w:tr>
      <w:tr>
        <w:tc>
          <w:tcPr>
            <w:tcW w:type="dxa" w:w="1872"/>
            <w:vAlign w:val="top"/>
          </w:tcPr>
          <w:p>
            <w:pPr>
              <w:pStyle w:val="CellSmall"/>
            </w:pPr>
            <w:r/>
            <w:r>
              <w:rPr>
                <w:rFonts w:ascii="Arial" w:hAnsi="Arial" w:eastAsia="Arial"/>
                <w:b w:val="0"/>
                <w:sz w:val="14"/>
              </w:rPr>
              <w:t>G6 - Certificación Fase 0</w:t>
            </w:r>
          </w:p>
        </w:tc>
        <w:tc>
          <w:tcPr>
            <w:tcW w:type="dxa" w:w="2232"/>
            <w:vAlign w:val="top"/>
          </w:tcPr>
          <w:p>
            <w:pPr>
              <w:pStyle w:val="CellSmall"/>
            </w:pPr>
            <w:r/>
            <w:r>
              <w:rPr>
                <w:rFonts w:ascii="Arial" w:hAnsi="Arial" w:eastAsia="Arial"/>
                <w:b w:val="0"/>
                <w:sz w:val="14"/>
              </w:rPr>
              <w:t>Consultora + CEL</w:t>
            </w:r>
          </w:p>
        </w:tc>
        <w:tc>
          <w:tcPr>
            <w:tcW w:type="dxa" w:w="5760"/>
            <w:vAlign w:val="top"/>
          </w:tcPr>
          <w:p>
            <w:pPr>
              <w:pStyle w:val="CellSmall"/>
            </w:pPr>
            <w:r/>
            <w:r>
              <w:rPr>
                <w:rFonts w:ascii="Arial" w:hAnsi="Arial" w:eastAsia="Arial"/>
                <w:b w:val="0"/>
                <w:sz w:val="14"/>
              </w:rPr>
              <w:t>Benchmarks y checklist cerrados; excepciones aceptadas.</w:t>
            </w:r>
          </w:p>
        </w:tc>
        <w:tc>
          <w:tcPr>
            <w:tcW w:type="dxa" w:w="3024"/>
            <w:vAlign w:val="top"/>
          </w:tcPr>
          <w:p>
            <w:pPr>
              <w:pStyle w:val="CellSmall"/>
            </w:pPr>
            <w:r/>
            <w:r>
              <w:rPr>
                <w:rFonts w:ascii="Arial" w:hAnsi="Arial" w:eastAsia="Arial"/>
                <w:b w:val="0"/>
                <w:sz w:val="14"/>
              </w:rPr>
              <w:t>Fase 1 inicia solo bajo waiver formal.</w:t>
            </w:r>
          </w:p>
        </w:tc>
      </w:tr>
    </w:tbl>
    <w:p>
      <w:pPr>
        <w:pStyle w:val="Heading2"/>
      </w:pPr>
      <w:r>
        <w:t>5.3 Ruta crítica sugerida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top"/>
            <w:shd w:fill="1F2937"/>
          </w:tcPr>
          <w:p>
            <w:pPr>
              <w:pStyle w:val="CellSmall"/>
            </w:pPr>
            <w:r/>
            <w:r>
              <w:rPr>
                <w:rFonts w:ascii="Arial" w:hAnsi="Arial" w:eastAsia="Arial"/>
                <w:b/>
                <w:color w:val="FFFFFF"/>
                <w:sz w:val="14"/>
              </w:rPr>
              <w:t>Momento</w:t>
            </w:r>
          </w:p>
        </w:tc>
        <w:tc>
          <w:tcPr>
            <w:tcW w:type="dxa" w:w="5184"/>
            <w:vAlign w:val="top"/>
            <w:shd w:fill="1F2937"/>
          </w:tcPr>
          <w:p>
            <w:pPr>
              <w:pStyle w:val="CellSmall"/>
            </w:pPr>
            <w:r/>
            <w:r>
              <w:rPr>
                <w:rFonts w:ascii="Arial" w:hAnsi="Arial" w:eastAsia="Arial"/>
                <w:b/>
                <w:color w:val="FFFFFF"/>
                <w:sz w:val="14"/>
              </w:rPr>
              <w:t>Actividades</w:t>
            </w:r>
          </w:p>
        </w:tc>
        <w:tc>
          <w:tcPr>
            <w:tcW w:type="dxa" w:w="2880"/>
            <w:vAlign w:val="top"/>
            <w:shd w:fill="1F2937"/>
          </w:tcPr>
          <w:p>
            <w:pPr>
              <w:pStyle w:val="CellSmall"/>
            </w:pPr>
            <w:r/>
            <w:r>
              <w:rPr>
                <w:rFonts w:ascii="Arial" w:hAnsi="Arial" w:eastAsia="Arial"/>
                <w:b/>
                <w:color w:val="FFFFFF"/>
                <w:sz w:val="14"/>
              </w:rPr>
              <w:t>Dependencias</w:t>
            </w:r>
          </w:p>
        </w:tc>
        <w:tc>
          <w:tcPr>
            <w:tcW w:type="dxa" w:w="2880"/>
            <w:vAlign w:val="top"/>
            <w:shd w:fill="1F2937"/>
          </w:tcPr>
          <w:p>
            <w:pPr>
              <w:pStyle w:val="CellSmall"/>
            </w:pPr>
            <w:r/>
            <w:r>
              <w:rPr>
                <w:rFonts w:ascii="Arial" w:hAnsi="Arial" w:eastAsia="Arial"/>
                <w:b/>
                <w:color w:val="FFFFFF"/>
                <w:sz w:val="14"/>
              </w:rPr>
              <w:t>Resultado</w:t>
            </w:r>
          </w:p>
        </w:tc>
      </w:tr>
      <w:tr>
        <w:tc>
          <w:tcPr>
            <w:tcW w:type="dxa" w:w="1872"/>
            <w:vAlign w:val="top"/>
          </w:tcPr>
          <w:p>
            <w:pPr>
              <w:pStyle w:val="CellSmall"/>
            </w:pPr>
            <w:r/>
            <w:r>
              <w:rPr>
                <w:rFonts w:ascii="Arial" w:hAnsi="Arial" w:eastAsia="Arial"/>
                <w:b w:val="0"/>
                <w:sz w:val="14"/>
              </w:rPr>
              <w:t>Pre-Fase 0 / desde orden de inicio</w:t>
            </w:r>
          </w:p>
        </w:tc>
        <w:tc>
          <w:tcPr>
            <w:tcW w:type="dxa" w:w="5184"/>
            <w:vAlign w:val="top"/>
          </w:tcPr>
          <w:p>
            <w:pPr>
              <w:pStyle w:val="CellSmall"/>
            </w:pPr>
            <w:r/>
            <w:r>
              <w:rPr>
                <w:rFonts w:ascii="Arial" w:hAnsi="Arial" w:eastAsia="Arial"/>
                <w:b w:val="0"/>
                <w:sz w:val="14"/>
              </w:rPr>
              <w:t>Revisión documental, coordinación con CEL/TI/proveedor, validación de oferta final, calendarización, preparación de scripts/checklist.</w:t>
            </w:r>
          </w:p>
        </w:tc>
        <w:tc>
          <w:tcPr>
            <w:tcW w:type="dxa" w:w="2880"/>
            <w:vAlign w:val="top"/>
          </w:tcPr>
          <w:p>
            <w:pPr>
              <w:pStyle w:val="CellSmall"/>
            </w:pPr>
            <w:r/>
            <w:r>
              <w:rPr>
                <w:rFonts w:ascii="Arial" w:hAnsi="Arial" w:eastAsia="Arial"/>
                <w:b w:val="0"/>
                <w:sz w:val="14"/>
              </w:rPr>
              <w:t>Documentos, responsables y disponibilidad de CEL.</w:t>
            </w:r>
          </w:p>
        </w:tc>
        <w:tc>
          <w:tcPr>
            <w:tcW w:type="dxa" w:w="2880"/>
            <w:vAlign w:val="top"/>
          </w:tcPr>
          <w:p>
            <w:pPr>
              <w:pStyle w:val="CellSmall"/>
            </w:pPr>
            <w:r/>
            <w:r>
              <w:rPr>
                <w:rFonts w:ascii="Arial" w:hAnsi="Arial" w:eastAsia="Arial"/>
                <w:b w:val="0"/>
                <w:sz w:val="14"/>
              </w:rPr>
              <w:t>Plan de Fase 0 listo; no sustituye handoff.</w:t>
            </w:r>
          </w:p>
        </w:tc>
      </w:tr>
      <w:tr>
        <w:tc>
          <w:tcPr>
            <w:tcW w:type="dxa" w:w="1872"/>
            <w:vAlign w:val="top"/>
          </w:tcPr>
          <w:p>
            <w:pPr>
              <w:pStyle w:val="CellSmall"/>
            </w:pPr>
            <w:r/>
            <w:r>
              <w:rPr>
                <w:rFonts w:ascii="Arial" w:hAnsi="Arial" w:eastAsia="Arial"/>
                <w:b w:val="0"/>
                <w:sz w:val="14"/>
              </w:rPr>
              <w:t>Semana 1 Fase 0</w:t>
            </w:r>
          </w:p>
        </w:tc>
        <w:tc>
          <w:tcPr>
            <w:tcW w:type="dxa" w:w="5184"/>
            <w:vAlign w:val="top"/>
          </w:tcPr>
          <w:p>
            <w:pPr>
              <w:pStyle w:val="CellSmall"/>
            </w:pPr>
            <w:r/>
            <w:r>
              <w:rPr>
                <w:rFonts w:ascii="Arial" w:hAnsi="Arial" w:eastAsia="Arial"/>
                <w:b w:val="0"/>
                <w:sz w:val="14"/>
              </w:rPr>
              <w:t>Accesos, inventario, validación OS, GPU, storage, red, repositorios, estructura de carpetas y permisos.</w:t>
            </w:r>
          </w:p>
        </w:tc>
        <w:tc>
          <w:tcPr>
            <w:tcW w:type="dxa" w:w="2880"/>
            <w:vAlign w:val="top"/>
          </w:tcPr>
          <w:p>
            <w:pPr>
              <w:pStyle w:val="CellSmall"/>
            </w:pPr>
            <w:r/>
            <w:r>
              <w:rPr>
                <w:rFonts w:ascii="Arial" w:hAnsi="Arial" w:eastAsia="Arial"/>
                <w:b w:val="0"/>
                <w:sz w:val="14"/>
              </w:rPr>
              <w:t>G1-G3.</w:t>
            </w:r>
          </w:p>
        </w:tc>
        <w:tc>
          <w:tcPr>
            <w:tcW w:type="dxa" w:w="2880"/>
            <w:vAlign w:val="top"/>
          </w:tcPr>
          <w:p>
            <w:pPr>
              <w:pStyle w:val="CellSmall"/>
            </w:pPr>
            <w:r/>
            <w:r>
              <w:rPr>
                <w:rFonts w:ascii="Arial" w:hAnsi="Arial" w:eastAsia="Arial"/>
                <w:b w:val="0"/>
                <w:sz w:val="14"/>
              </w:rPr>
              <w:t>Ambiente base verificado o lista de bloqueos.</w:t>
            </w:r>
          </w:p>
        </w:tc>
      </w:tr>
      <w:tr>
        <w:tc>
          <w:tcPr>
            <w:tcW w:type="dxa" w:w="1872"/>
            <w:vAlign w:val="top"/>
          </w:tcPr>
          <w:p>
            <w:pPr>
              <w:pStyle w:val="CellSmall"/>
            </w:pPr>
            <w:r/>
            <w:r>
              <w:rPr>
                <w:rFonts w:ascii="Arial" w:hAnsi="Arial" w:eastAsia="Arial"/>
                <w:b w:val="0"/>
                <w:sz w:val="14"/>
              </w:rPr>
              <w:t>Semana 2 Fase 0</w:t>
            </w:r>
          </w:p>
        </w:tc>
        <w:tc>
          <w:tcPr>
            <w:tcW w:type="dxa" w:w="5184"/>
            <w:vAlign w:val="top"/>
          </w:tcPr>
          <w:p>
            <w:pPr>
              <w:pStyle w:val="CellSmall"/>
            </w:pPr>
            <w:r/>
            <w:r>
              <w:rPr>
                <w:rFonts w:ascii="Arial" w:hAnsi="Arial" w:eastAsia="Arial"/>
                <w:b w:val="0"/>
                <w:sz w:val="14"/>
              </w:rPr>
              <w:t>Instalación/configuración Mage, DBs, Python envs, Git, secrets, primeros pipelines dummy y pruebas de conectividad externa.</w:t>
            </w:r>
          </w:p>
        </w:tc>
        <w:tc>
          <w:tcPr>
            <w:tcW w:type="dxa" w:w="2880"/>
            <w:vAlign w:val="top"/>
          </w:tcPr>
          <w:p>
            <w:pPr>
              <w:pStyle w:val="CellSmall"/>
            </w:pPr>
            <w:r/>
            <w:r>
              <w:rPr>
                <w:rFonts w:ascii="Arial" w:hAnsi="Arial" w:eastAsia="Arial"/>
                <w:b w:val="0"/>
                <w:sz w:val="14"/>
              </w:rPr>
              <w:t>Accesos estables; recursos disponibles.</w:t>
            </w:r>
          </w:p>
        </w:tc>
        <w:tc>
          <w:tcPr>
            <w:tcW w:type="dxa" w:w="2880"/>
            <w:vAlign w:val="top"/>
          </w:tcPr>
          <w:p>
            <w:pPr>
              <w:pStyle w:val="CellSmall"/>
            </w:pPr>
            <w:r/>
            <w:r>
              <w:rPr>
                <w:rFonts w:ascii="Arial" w:hAnsi="Arial" w:eastAsia="Arial"/>
                <w:b w:val="0"/>
                <w:sz w:val="14"/>
              </w:rPr>
              <w:t>Stack del piloto instalado o documentado.</w:t>
            </w:r>
          </w:p>
        </w:tc>
      </w:tr>
      <w:tr>
        <w:tc>
          <w:tcPr>
            <w:tcW w:type="dxa" w:w="1872"/>
            <w:vAlign w:val="top"/>
          </w:tcPr>
          <w:p>
            <w:pPr>
              <w:pStyle w:val="CellSmall"/>
            </w:pPr>
            <w:r/>
            <w:r>
              <w:rPr>
                <w:rFonts w:ascii="Arial" w:hAnsi="Arial" w:eastAsia="Arial"/>
                <w:b w:val="0"/>
                <w:sz w:val="14"/>
              </w:rPr>
              <w:t>Semana 3 Fase 0</w:t>
            </w:r>
          </w:p>
        </w:tc>
        <w:tc>
          <w:tcPr>
            <w:tcW w:type="dxa" w:w="5184"/>
            <w:vAlign w:val="top"/>
          </w:tcPr>
          <w:p>
            <w:pPr>
              <w:pStyle w:val="CellSmall"/>
            </w:pPr>
            <w:r/>
            <w:r>
              <w:rPr>
                <w:rFonts w:ascii="Arial" w:hAnsi="Arial" w:eastAsia="Arial"/>
                <w:b w:val="0"/>
                <w:sz w:val="14"/>
              </w:rPr>
              <w:t>Pruebas GPU/IO/red, ejecución de pipeline dummy end-to-end, conexión DB/dashboard base, logging, retries y manejo de errores.</w:t>
            </w:r>
          </w:p>
        </w:tc>
        <w:tc>
          <w:tcPr>
            <w:tcW w:type="dxa" w:w="2880"/>
            <w:vAlign w:val="top"/>
          </w:tcPr>
          <w:p>
            <w:pPr>
              <w:pStyle w:val="CellSmall"/>
            </w:pPr>
            <w:r/>
            <w:r>
              <w:rPr>
                <w:rFonts w:ascii="Arial" w:hAnsi="Arial" w:eastAsia="Arial"/>
                <w:b w:val="0"/>
                <w:sz w:val="14"/>
              </w:rPr>
              <w:t>Mage y DBs funcionales.</w:t>
            </w:r>
          </w:p>
        </w:tc>
        <w:tc>
          <w:tcPr>
            <w:tcW w:type="dxa" w:w="2880"/>
            <w:vAlign w:val="top"/>
          </w:tcPr>
          <w:p>
            <w:pPr>
              <w:pStyle w:val="CellSmall"/>
            </w:pPr>
            <w:r/>
            <w:r>
              <w:rPr>
                <w:rFonts w:ascii="Arial" w:hAnsi="Arial" w:eastAsia="Arial"/>
                <w:b w:val="0"/>
                <w:sz w:val="14"/>
              </w:rPr>
              <w:t>Benchmarks y validación funcional.</w:t>
            </w:r>
          </w:p>
        </w:tc>
      </w:tr>
      <w:tr>
        <w:tc>
          <w:tcPr>
            <w:tcW w:type="dxa" w:w="1872"/>
            <w:vAlign w:val="top"/>
          </w:tcPr>
          <w:p>
            <w:pPr>
              <w:pStyle w:val="CellSmall"/>
            </w:pPr>
            <w:r/>
            <w:r>
              <w:rPr>
                <w:rFonts w:ascii="Arial" w:hAnsi="Arial" w:eastAsia="Arial"/>
                <w:b w:val="0"/>
                <w:sz w:val="14"/>
              </w:rPr>
              <w:t>Semana 4 Fase 0</w:t>
            </w:r>
          </w:p>
        </w:tc>
        <w:tc>
          <w:tcPr>
            <w:tcW w:type="dxa" w:w="5184"/>
            <w:vAlign w:val="top"/>
          </w:tcPr>
          <w:p>
            <w:pPr>
              <w:pStyle w:val="CellSmall"/>
            </w:pPr>
            <w:r/>
            <w:r>
              <w:rPr>
                <w:rFonts w:ascii="Arial" w:hAnsi="Arial" w:eastAsia="Arial"/>
                <w:b w:val="0"/>
                <w:sz w:val="14"/>
              </w:rPr>
              <w:t>Cierre de checklist, Certificación de Entorno Operacional, documentación, handoff interno, riesgos y autorización Fase 1.</w:t>
            </w:r>
          </w:p>
        </w:tc>
        <w:tc>
          <w:tcPr>
            <w:tcW w:type="dxa" w:w="2880"/>
            <w:vAlign w:val="top"/>
          </w:tcPr>
          <w:p>
            <w:pPr>
              <w:pStyle w:val="CellSmall"/>
            </w:pPr>
            <w:r/>
            <w:r>
              <w:rPr>
                <w:rFonts w:ascii="Arial" w:hAnsi="Arial" w:eastAsia="Arial"/>
                <w:b w:val="0"/>
                <w:sz w:val="14"/>
              </w:rPr>
              <w:t>Excepciones resueltas o waivers.</w:t>
            </w:r>
          </w:p>
        </w:tc>
        <w:tc>
          <w:tcPr>
            <w:tcW w:type="dxa" w:w="2880"/>
            <w:vAlign w:val="top"/>
          </w:tcPr>
          <w:p>
            <w:pPr>
              <w:pStyle w:val="CellSmall"/>
            </w:pPr>
            <w:r/>
            <w:r>
              <w:rPr>
                <w:rFonts w:ascii="Arial" w:hAnsi="Arial" w:eastAsia="Arial"/>
                <w:b w:val="0"/>
                <w:sz w:val="14"/>
              </w:rPr>
              <w:t>Fase 0 cerrada; Fase 1 habilitada.</w:t>
            </w:r>
          </w:p>
        </w:tc>
      </w:tr>
    </w:tbl>
    <w:p>
      <w:pPr>
        <w:pStyle w:val="Heading2"/>
      </w:pPr>
      <w:r>
        <w:t>5.4 Criterios de stop / go</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1F2937"/>
          </w:tcPr>
          <w:p>
            <w:pPr>
              <w:pStyle w:val="CellSmall"/>
            </w:pPr>
            <w:r/>
            <w:r>
              <w:rPr>
                <w:rFonts w:ascii="Arial" w:hAnsi="Arial" w:eastAsia="Arial"/>
                <w:b/>
                <w:color w:val="FFFFFF"/>
                <w:sz w:val="14"/>
              </w:rPr>
              <w:t>Criterio</w:t>
            </w:r>
          </w:p>
        </w:tc>
        <w:tc>
          <w:tcPr>
            <w:tcW w:type="dxa" w:w="5760"/>
            <w:vAlign w:val="top"/>
            <w:shd w:fill="1F2937"/>
          </w:tcPr>
          <w:p>
            <w:pPr>
              <w:pStyle w:val="CellSmall"/>
            </w:pPr>
            <w:r/>
            <w:r>
              <w:rPr>
                <w:rFonts w:ascii="Arial" w:hAnsi="Arial" w:eastAsia="Arial"/>
                <w:b/>
                <w:color w:val="FFFFFF"/>
                <w:sz w:val="14"/>
              </w:rPr>
              <w:t>Go</w:t>
            </w:r>
          </w:p>
        </w:tc>
        <w:tc>
          <w:tcPr>
            <w:tcW w:type="dxa" w:w="5760"/>
            <w:vAlign w:val="top"/>
            <w:shd w:fill="1F2937"/>
          </w:tcPr>
          <w:p>
            <w:pPr>
              <w:pStyle w:val="CellSmall"/>
            </w:pPr>
            <w:r/>
            <w:r>
              <w:rPr>
                <w:rFonts w:ascii="Arial" w:hAnsi="Arial" w:eastAsia="Arial"/>
                <w:b/>
                <w:color w:val="FFFFFF"/>
                <w:sz w:val="14"/>
              </w:rPr>
              <w:t>Stop / waiver requerido</w:t>
            </w:r>
          </w:p>
        </w:tc>
      </w:tr>
      <w:tr>
        <w:tc>
          <w:tcPr>
            <w:tcW w:type="dxa" w:w="2016"/>
            <w:vAlign w:val="top"/>
          </w:tcPr>
          <w:p>
            <w:pPr>
              <w:pStyle w:val="CellSmall"/>
            </w:pPr>
            <w:r/>
            <w:r>
              <w:rPr>
                <w:rFonts w:ascii="Arial" w:hAnsi="Arial" w:eastAsia="Arial"/>
                <w:b w:val="0"/>
                <w:sz w:val="14"/>
              </w:rPr>
              <w:t>Acceso</w:t>
            </w:r>
          </w:p>
        </w:tc>
        <w:tc>
          <w:tcPr>
            <w:tcW w:type="dxa" w:w="5760"/>
            <w:vAlign w:val="top"/>
          </w:tcPr>
          <w:p>
            <w:pPr>
              <w:pStyle w:val="CellSmall"/>
            </w:pPr>
            <w:r/>
            <w:r>
              <w:rPr>
                <w:rFonts w:ascii="Arial" w:hAnsi="Arial" w:eastAsia="Arial"/>
                <w:b w:val="0"/>
                <w:sz w:val="14"/>
              </w:rPr>
              <w:t>VPN/bastion estable, usuarios válidos, permisos mínimos.</w:t>
            </w:r>
          </w:p>
        </w:tc>
        <w:tc>
          <w:tcPr>
            <w:tcW w:type="dxa" w:w="5760"/>
            <w:vAlign w:val="top"/>
          </w:tcPr>
          <w:p>
            <w:pPr>
              <w:pStyle w:val="CellSmall"/>
            </w:pPr>
            <w:r/>
            <w:r>
              <w:rPr>
                <w:rFonts w:ascii="Arial" w:hAnsi="Arial" w:eastAsia="Arial"/>
                <w:b w:val="0"/>
                <w:sz w:val="14"/>
              </w:rPr>
              <w:t>Acceso intermitente, credenciales incompletas, políticas no resueltas.</w:t>
            </w:r>
          </w:p>
        </w:tc>
      </w:tr>
      <w:tr>
        <w:tc>
          <w:tcPr>
            <w:tcW w:type="dxa" w:w="2016"/>
            <w:vAlign w:val="top"/>
          </w:tcPr>
          <w:p>
            <w:pPr>
              <w:pStyle w:val="CellSmall"/>
            </w:pPr>
            <w:r/>
            <w:r>
              <w:rPr>
                <w:rFonts w:ascii="Arial" w:hAnsi="Arial" w:eastAsia="Arial"/>
                <w:b w:val="0"/>
                <w:sz w:val="14"/>
              </w:rPr>
              <w:t>GPU</w:t>
            </w:r>
          </w:p>
        </w:tc>
        <w:tc>
          <w:tcPr>
            <w:tcW w:type="dxa" w:w="5760"/>
            <w:vAlign w:val="top"/>
          </w:tcPr>
          <w:p>
            <w:pPr>
              <w:pStyle w:val="CellSmall"/>
            </w:pPr>
            <w:r/>
            <w:r>
              <w:rPr>
                <w:rFonts w:ascii="Arial" w:hAnsi="Arial" w:eastAsia="Arial"/>
                <w:b w:val="0"/>
                <w:sz w:val="14"/>
              </w:rPr>
              <w:t>GPU visible y ejecuta prueba de cómputo.</w:t>
            </w:r>
          </w:p>
        </w:tc>
        <w:tc>
          <w:tcPr>
            <w:tcW w:type="dxa" w:w="5760"/>
            <w:vAlign w:val="top"/>
          </w:tcPr>
          <w:p>
            <w:pPr>
              <w:pStyle w:val="CellSmall"/>
            </w:pPr>
            <w:r/>
            <w:r>
              <w:rPr>
                <w:rFonts w:ascii="Arial" w:hAnsi="Arial" w:eastAsia="Arial"/>
                <w:b w:val="0"/>
                <w:sz w:val="14"/>
              </w:rPr>
              <w:t>Driver/CUDA/licencia no funcional; GPU no instalada; acceso denegado.</w:t>
            </w:r>
          </w:p>
        </w:tc>
      </w:tr>
      <w:tr>
        <w:tc>
          <w:tcPr>
            <w:tcW w:type="dxa" w:w="2016"/>
            <w:vAlign w:val="top"/>
          </w:tcPr>
          <w:p>
            <w:pPr>
              <w:pStyle w:val="CellSmall"/>
            </w:pPr>
            <w:r/>
            <w:r>
              <w:rPr>
                <w:rFonts w:ascii="Arial" w:hAnsi="Arial" w:eastAsia="Arial"/>
                <w:b w:val="0"/>
                <w:sz w:val="14"/>
              </w:rPr>
              <w:t>Mage</w:t>
            </w:r>
          </w:p>
        </w:tc>
        <w:tc>
          <w:tcPr>
            <w:tcW w:type="dxa" w:w="5760"/>
            <w:vAlign w:val="top"/>
          </w:tcPr>
          <w:p>
            <w:pPr>
              <w:pStyle w:val="CellSmall"/>
            </w:pPr>
            <w:r/>
            <w:r>
              <w:rPr>
                <w:rFonts w:ascii="Arial" w:hAnsi="Arial" w:eastAsia="Arial"/>
                <w:b w:val="0"/>
                <w:sz w:val="14"/>
              </w:rPr>
              <w:t>Mage corre pipeline dummy con logs/retries.</w:t>
            </w:r>
          </w:p>
        </w:tc>
        <w:tc>
          <w:tcPr>
            <w:tcW w:type="dxa" w:w="5760"/>
            <w:vAlign w:val="top"/>
          </w:tcPr>
          <w:p>
            <w:pPr>
              <w:pStyle w:val="CellSmall"/>
            </w:pPr>
            <w:r/>
            <w:r>
              <w:rPr>
                <w:rFonts w:ascii="Arial" w:hAnsi="Arial" w:eastAsia="Arial"/>
                <w:b w:val="0"/>
                <w:sz w:val="14"/>
              </w:rPr>
              <w:t>No hay host, permisos, red o configuración base.</w:t>
            </w:r>
          </w:p>
        </w:tc>
      </w:tr>
      <w:tr>
        <w:tc>
          <w:tcPr>
            <w:tcW w:type="dxa" w:w="2016"/>
            <w:vAlign w:val="top"/>
          </w:tcPr>
          <w:p>
            <w:pPr>
              <w:pStyle w:val="CellSmall"/>
            </w:pPr>
            <w:r/>
            <w:r>
              <w:rPr>
                <w:rFonts w:ascii="Arial" w:hAnsi="Arial" w:eastAsia="Arial"/>
                <w:b w:val="0"/>
                <w:sz w:val="14"/>
              </w:rPr>
              <w:t>DB/Storage</w:t>
            </w:r>
          </w:p>
        </w:tc>
        <w:tc>
          <w:tcPr>
            <w:tcW w:type="dxa" w:w="5760"/>
            <w:vAlign w:val="top"/>
          </w:tcPr>
          <w:p>
            <w:pPr>
              <w:pStyle w:val="CellSmall"/>
            </w:pPr>
            <w:r/>
            <w:r>
              <w:rPr>
                <w:rFonts w:ascii="Arial" w:hAnsi="Arial" w:eastAsia="Arial"/>
                <w:b w:val="0"/>
                <w:sz w:val="14"/>
              </w:rPr>
              <w:t>DBs y rutas disponibles con permisos y capacidad.</w:t>
            </w:r>
          </w:p>
        </w:tc>
        <w:tc>
          <w:tcPr>
            <w:tcW w:type="dxa" w:w="5760"/>
            <w:vAlign w:val="top"/>
          </w:tcPr>
          <w:p>
            <w:pPr>
              <w:pStyle w:val="CellSmall"/>
            </w:pPr>
            <w:r/>
            <w:r>
              <w:rPr>
                <w:rFonts w:ascii="Arial" w:hAnsi="Arial" w:eastAsia="Arial"/>
                <w:b w:val="0"/>
                <w:sz w:val="14"/>
              </w:rPr>
              <w:t>Sin rutas, sin permisos, storage no montado, política indefinida.</w:t>
            </w:r>
          </w:p>
        </w:tc>
      </w:tr>
      <w:tr>
        <w:tc>
          <w:tcPr>
            <w:tcW w:type="dxa" w:w="2016"/>
            <w:vAlign w:val="top"/>
          </w:tcPr>
          <w:p>
            <w:pPr>
              <w:pStyle w:val="CellSmall"/>
            </w:pPr>
            <w:r/>
            <w:r>
              <w:rPr>
                <w:rFonts w:ascii="Arial" w:hAnsi="Arial" w:eastAsia="Arial"/>
                <w:b w:val="0"/>
                <w:sz w:val="14"/>
              </w:rPr>
              <w:t>Red externa</w:t>
            </w:r>
          </w:p>
        </w:tc>
        <w:tc>
          <w:tcPr>
            <w:tcW w:type="dxa" w:w="5760"/>
            <w:vAlign w:val="top"/>
          </w:tcPr>
          <w:p>
            <w:pPr>
              <w:pStyle w:val="CellSmall"/>
            </w:pPr>
            <w:r/>
            <w:r>
              <w:rPr>
                <w:rFonts w:ascii="Arial" w:hAnsi="Arial" w:eastAsia="Arial"/>
                <w:b w:val="0"/>
                <w:sz w:val="14"/>
              </w:rPr>
              <w:t>Fuentes externas accesibles o mecanismo alterno aprobado.</w:t>
            </w:r>
          </w:p>
        </w:tc>
        <w:tc>
          <w:tcPr>
            <w:tcW w:type="dxa" w:w="5760"/>
            <w:vAlign w:val="top"/>
          </w:tcPr>
          <w:p>
            <w:pPr>
              <w:pStyle w:val="CellSmall"/>
            </w:pPr>
            <w:r/>
            <w:r>
              <w:rPr>
                <w:rFonts w:ascii="Arial" w:hAnsi="Arial" w:eastAsia="Arial"/>
                <w:b w:val="0"/>
                <w:sz w:val="14"/>
              </w:rPr>
              <w:t>Egress bloqueado sin alternativa.</w:t>
            </w:r>
          </w:p>
        </w:tc>
      </w:tr>
      <w:tr>
        <w:tc>
          <w:tcPr>
            <w:tcW w:type="dxa" w:w="2016"/>
            <w:vAlign w:val="top"/>
          </w:tcPr>
          <w:p>
            <w:pPr>
              <w:pStyle w:val="CellSmall"/>
            </w:pPr>
            <w:r/>
            <w:r>
              <w:rPr>
                <w:rFonts w:ascii="Arial" w:hAnsi="Arial" w:eastAsia="Arial"/>
                <w:b w:val="0"/>
                <w:sz w:val="14"/>
              </w:rPr>
              <w:t>RACI</w:t>
            </w:r>
          </w:p>
        </w:tc>
        <w:tc>
          <w:tcPr>
            <w:tcW w:type="dxa" w:w="5760"/>
            <w:vAlign w:val="top"/>
          </w:tcPr>
          <w:p>
            <w:pPr>
              <w:pStyle w:val="CellSmall"/>
            </w:pPr>
            <w:r/>
            <w:r>
              <w:rPr>
                <w:rFonts w:ascii="Arial" w:hAnsi="Arial" w:eastAsia="Arial"/>
                <w:b w:val="0"/>
                <w:sz w:val="14"/>
              </w:rPr>
              <w:t>Owners CEL/proveedor confirmados.</w:t>
            </w:r>
          </w:p>
        </w:tc>
        <w:tc>
          <w:tcPr>
            <w:tcW w:type="dxa" w:w="5760"/>
            <w:vAlign w:val="top"/>
          </w:tcPr>
          <w:p>
            <w:pPr>
              <w:pStyle w:val="CellSmall"/>
            </w:pPr>
            <w:r/>
            <w:r>
              <w:rPr>
                <w:rFonts w:ascii="Arial" w:hAnsi="Arial" w:eastAsia="Arial"/>
                <w:b w:val="0"/>
                <w:sz w:val="14"/>
              </w:rPr>
              <w:t>Sin responsable para infraestructura, red o soporte.</w:t>
            </w:r>
          </w:p>
        </w:tc>
      </w:tr>
    </w:tbl>
    <w:p>
      <w:r>
        <w:br w:type="page"/>
      </w:r>
    </w:p>
    <w:p>
      <w:pPr>
        <w:pStyle w:val="Heading1"/>
      </w:pPr>
      <w:r>
        <w:t>PARTE VI. Versión limpia y defendible para incorporar como adenda / nota aclaratoria</w:t>
      </w:r>
    </w:p>
    <w:p>
      <w:pPr>
        <w:pStyle w:val="Heading2"/>
      </w:pPr>
      <w:r>
        <w:t>6.1 Cláusula de alineación técnica</w:t>
      </w:r>
    </w:p>
    <w:p>
      <w:pPr>
        <w:jc w:val="both"/>
      </w:pPr>
      <w:r>
        <w:t>Para efectos de ejecución del piloto, las referencias técnicas contenidas en el DSP, Anexo Técnico B y Anexo Técnico C relativas a una arquitectura física específica de tres nodos, GPU RTX 4090, NAS ZFS/OpenZFS, switch 10GbE, Grafana, Pentaho o CAPEX/OPEX de infraestructura original deberán entenderse sustituidas, únicamente en lo relativo a infraestructura física efectivamente provista, por la arquitectura que CEL adquiera y ponga a disposición a través de su proveedor. Las referencias metodológicas, entregables, fases, lógica funcional del sistema, uso de Mage, bases de datos, pipelines, modelo hidrológico, dashboard, alertas, documentación y transferencia se mantienen conforme al alcance del DSP, salvo modificación expresa.</w:t>
      </w:r>
    </w:p>
    <w:p>
      <w:pPr>
        <w:pStyle w:val="Heading2"/>
      </w:pPr>
      <w:r>
        <w:t>6.2 Cláusula de no ampliación de alcance</w:t>
      </w:r>
    </w:p>
    <w:p>
      <w:pPr>
        <w:jc w:val="both"/>
      </w:pPr>
      <w:r>
        <w:rPr>
          <w:b/>
        </w:rPr>
        <w:t xml:space="preserve">La adquisición, disponibilidad o inclusión de componentes adicionales por parte de CEL no ampliará tácitamente el alcance, obligaciones, precio, plazo ni responsabilidades de la Consultora. </w:t>
      </w:r>
      <w:r>
        <w:t>Cualquier servicio adicional relativo a administración de infraestructura, soporte, operación continua, monitoreo 24/7, hardening corporativo, alta disponibilidad, recuperación ante desastres, integración de identidad, SIEM, backup corporativo, virtualización institucional, configuración avanzada de red, estaciones de trabajo o servicios excluidos por el proveedor requerirá formalización expresa mediante instrumento contractual, orden de cambio o contratación independiente.</w:t>
      </w:r>
    </w:p>
    <w:p>
      <w:pPr>
        <w:pStyle w:val="Heading2"/>
      </w:pPr>
      <w:r>
        <w:t>6.3 Cláusula de inicio efectivo de Fase 0</w:t>
      </w:r>
    </w:p>
    <w:p>
      <w:pPr>
        <w:jc w:val="both"/>
      </w:pPr>
      <w:r>
        <w:t>La ejecución técnica plena de Fase 0 quedará condicionada a que CEL entregue a la Consultora un entorno mínimo operacional, accesible y verificable, incluyendo, como mínimo: equipos instalados y energizados, red base funcional, acceso remoto seguro, credenciales, sistema operativo base, GPU y drivers verificables, almacenamiento disponible, rutas/permisos, responsables técnicos de CEL/proveedor y documentación de soporte. Los atrasos, fallas, limitaciones o pendientes asociados a adquisición, instalación, garantía, licenciamiento, red corporativa, soporte proveedor o acceso institucional no serán imputables a la Consultora.</w:t>
      </w:r>
    </w:p>
    <w:p>
      <w:pPr>
        <w:pStyle w:val="Heading2"/>
      </w:pPr>
      <w:r>
        <w:t>6.4 Cláusula Mage / observabilidad operacional</w:t>
      </w:r>
    </w:p>
    <w:p>
      <w:pPr>
        <w:jc w:val="both"/>
      </w:pPr>
      <w:r>
        <w:t>La orquestación, trazabilidad, programación, monitoreo operacional de pipelines, logs, retries y gestión de errores del sistema de pronóstico se realizará mediante Mage. Esta observabilidad se limita al flujo de datos, IA y automatización del piloto, y no sustituye herramientas corporativas de monitoreo de infraestructura, SIEM, NOC, observabilidad de data center, administración 24/7 ni plataformas como Grafana, salvo decisión y alcance adicional de CEL.</w:t>
      </w:r>
    </w:p>
    <w:p>
      <w:pPr>
        <w:pStyle w:val="Heading2"/>
      </w:pPr>
      <w:r>
        <w:t>6.5 Cláusula de ownership de infraestructura</w:t>
      </w:r>
    </w:p>
    <w:p>
      <w:pPr>
        <w:jc w:val="both"/>
      </w:pPr>
      <w:r>
        <w:t>CEL, su área de Informática/Seguridad y el proveedor de infraestructura conservarán la responsabilidad primaria sobre la plataforma física, red, seguridad institucional, garantías, soporte, administración continua, parches corporativos, usuarios, credenciales, backups institucionales, licencias y operación de los componentes Dell/NVIDIA/Martinexsa. La Consultora documentará las dependencias técnicas del piloto y validará funcionalmente el entorno para los fines del proyecto, sin asumir titularidad operacional sobre la infraestructura institucional.</w:t>
      </w:r>
    </w:p>
    <w:p>
      <w:pPr>
        <w:pStyle w:val="Heading2"/>
      </w:pPr>
      <w:r>
        <w:t>6.6 Versión ejecutiva para acta o correo</w:t>
      </w:r>
    </w:p>
    <w:p>
      <w:pPr>
        <w:jc w:val="both"/>
      </w:pPr>
      <w:r>
        <w:t>Se deja constancia de que el BOM original del DSP queda reemplazado, para efectos de infraestructura física, por la plataforma que CEL ha decidido adquirir. La Consultora se adherirá al DSP y adaptará el piloto a dicha plataforma, sin que ello implique ampliación tácita de sus obligaciones. El stack del piloto se mantendrá bajo Mage como capa de orquestación y observabilidad operacional. El inicio efectivo de Fase 0 dependerá del handoff técnico mínimo del entorno, incluyendo accesos, GPU, red, almacenamiento, permisos y responsables designados. Cualquier servicio de infraestructura adicional o componente no previsto deberá ser gestionado por CEL/proveedor o formalizado mediante modificación contractual expresa.</w:t>
      </w:r>
    </w:p>
    <w:p>
      <w:r>
        <w:br w:type="page"/>
      </w:r>
    </w:p>
    <w:p>
      <w:pPr>
        <w:pStyle w:val="Heading1"/>
      </w:pPr>
      <w:r>
        <w:t>PARTE VII. Carta formal de remisión y solicitud de alineación</w:t>
      </w:r>
    </w:p>
    <w:p>
      <w:pPr>
        <w:pStyle w:val="Letter"/>
        <w:jc w:val="left"/>
      </w:pPr>
      <w:r>
        <w:t>[Lugar y fecha]</w:t>
      </w:r>
    </w:p>
    <w:p>
      <w:pPr>
        <w:pStyle w:val="Letter"/>
        <w:jc w:val="left"/>
      </w:pPr>
      <w:r>
        <w:t>Señores</w:t>
        <w:br/>
        <w:t>COMISIÓN EJECUTIVA HIDROELÉCTRICA DEL RÍO LEMPA (CEL)</w:t>
        <w:br/>
        <w:t>Presente.</w:t>
      </w:r>
    </w:p>
    <w:p>
      <w:pPr>
        <w:pStyle w:val="Letter"/>
        <w:jc w:val="both"/>
      </w:pPr>
      <w:r>
        <w:rPr>
          <w:b/>
        </w:rPr>
        <w:t>Referencia: Proceso CEL-CFU 02/26 - Servicios Especializados para el Desarrollo de un Plan Piloto de Pronóstico Hidrológico Avanzado Basado en Inteligencia Artificial. Asunto: Alineación técnica-contractual de infraestructura, BOM HW/SW, Fase 0 y alcance de responsabilidades frente a la arquitectura adquirida por CEL.</w:t>
      </w:r>
    </w:p>
    <w:p>
      <w:pPr>
        <w:pStyle w:val="Letter"/>
        <w:jc w:val="left"/>
      </w:pPr>
      <w:r>
        <w:rPr>
          <w:b/>
        </w:rPr>
        <w:t>Estimados señores:</w:t>
      </w:r>
    </w:p>
    <w:p>
      <w:pPr>
        <w:pStyle w:val="Letter"/>
        <w:jc w:val="both"/>
      </w:pPr>
      <w:r>
        <w:t>Por medio de la presente, y con el debido respeto, me permito dejar constancia formal de la necesidad de alinear la documentación técnica del proyecto, particularmente en lo relativo a infraestructura local, AI Silo, BOM de hardware y software, Fase 0, accesos, soporte y responsabilidades operativas, con la arquitectura de infraestructura que CEL ha decidido adquirir y poner a disposición para la ejecución del piloto.</w:t>
      </w:r>
    </w:p>
    <w:p>
      <w:pPr>
        <w:pStyle w:val="Letter"/>
        <w:jc w:val="both"/>
      </w:pPr>
      <w:r>
        <w:t>La propuesta técnica y contractual presentada para el proceso CEL-CFU 02/26 contiene un diseño de referencia para un entorno local dedicado al piloto, incluyendo una arquitectura de tres nodos, un BOM específico, determinados supuestos de cómputo, almacenamiento, red, respaldo y operación. Dicho diseño cumplió su función dentro del proceso de formulación del proyecto y permitió dimensionar las necesidades técnicas mínimas del piloto. No obstante, a partir de la adquisición posterior definida por CEL mediante su proveedor, la arquitectura física originalmente documentada ha sido superada para efectos de adquisición, instalación y plataforma real de ejecución.</w:t>
      </w:r>
    </w:p>
    <w:p>
      <w:pPr>
        <w:pStyle w:val="Letter"/>
        <w:jc w:val="both"/>
      </w:pPr>
      <w:r>
        <w:t>En consecuencia, y para evitar ambigüedades técnicas, operativas o contractuales, resulta necesario reconocer expresamente que la infraestructura física efectiva del proyecto será la plataforma que CEL adquiera, instale, reciba y ponga a disposición a través de Martinexsa/Dell Technologies o del proveedor designado. Esta alineación debe entenderse como una actualización técnica de la plataforma habilitante y no como una modificación automática del alcance de la consultoría, del precio, del plazo, de los entregables, ni de las responsabilidades originalmente pactadas.</w:t>
      </w:r>
    </w:p>
    <w:p>
      <w:pPr>
        <w:pStyle w:val="Letter"/>
        <w:jc w:val="both"/>
      </w:pPr>
      <w:r>
        <w:t>Es fundamental establecer esta distinción con claridad. Mi obligación contractual es ejecutar los servicios especializados del piloto de pronóstico hidrológico basado en inteligencia artificial conforme al DSP, sus entregables, su cronograma, su metodología y su matriz de responsabilidades. Dicha obligación incluye el diseño técnico del sistema, el desarrollo del stack de datos e inteligencia artificial, la configuración funcional del entorno del piloto, la implementación de pipelines, el uso de Mage como herramienta central de orquestación, la configuración o acompañamiento de bases de datos del piloto, el desarrollo y validación del modelo, la automatización, visualización, documentación, capacitación y transferencia de conocimiento dentro del alcance pactado.</w:t>
      </w:r>
    </w:p>
    <w:p>
      <w:pPr>
        <w:pStyle w:val="Letter"/>
        <w:jc w:val="both"/>
      </w:pPr>
      <w:r>
        <w:t>Por el contrario, no corresponde a la Consultora asumir responsabilidades propias del proceso de adquisición, entrega, instalación física, garantía, soporte, administración continua, operación 24/7, seguridad corporativa, gestión de red, licenciamiento, mantenimiento, reemplazo de componentes, hardening institucional, integración avanzada de identidad, SIEM, alta disponibilidad, recuperación ante desastres, monitoreo corporativo, backup institucional, migración histórica de datos o cualquier otra actividad de infraestructura no contemplada expresamente en el DSP o expresamente excluida por el proveedor de la plataforma.</w:t>
      </w:r>
    </w:p>
    <w:p>
      <w:pPr>
        <w:pStyle w:val="Letter"/>
        <w:jc w:val="both"/>
      </w:pPr>
      <w:r>
        <w:t>La adquisición de una plataforma más amplia, robusta o empresarial por parte de CEL no puede ni debe interpretarse como una ampliación tácita de mis obligaciones profesionales. Todo componente adicional adquirido por CEL —incluyendo servidores de virtualización, switches 25/100GbE, NAS empresarial, estaciones ejecutivas, soporte Dell/NVIDIA, licencias, herramientas de gestión, servicios del fabricante o capacidades de data center— deberá ser tratado como recurso disponible, dependencia institucional o responsabilidad de CEL/proveedor, salvo que exista una modificación contractual expresa que incorpore nuevos servicios, nuevos entregables, nuevos plazos y la compensación correspondiente.</w:t>
      </w:r>
    </w:p>
    <w:p>
      <w:pPr>
        <w:pStyle w:val="Letter"/>
        <w:jc w:val="both"/>
      </w:pPr>
      <w:r>
        <w:t>Asimismo, debe quedar formalmente establecido que la Fase 0 no puede ejecutarse plenamente mientras el entorno no haya sido entregado técnica y operativamente en condiciones mínimas de uso. Para efectos prácticos, la orden administrativa de inicio no sustituye la entrega técnica del ambiente. La Fase 0 requiere, como condición mínima, equipos instalados y energizados, red base funcional, acceso remoto seguro, credenciales, sistema operativo base, GPU y drivers verificables, almacenamiento disponible, rutas y permisos definidos, conectividad necesaria, responsables técnicos designados por CEL y proveedor, y documentación suficiente de la infraestructura entregada.</w:t>
      </w:r>
    </w:p>
    <w:p>
      <w:pPr>
        <w:pStyle w:val="Letter"/>
        <w:jc w:val="both"/>
      </w:pPr>
      <w:r>
        <w:t>Cualquier atraso, limitación, falla, bloqueo o dependencia derivada de adquisición, instalación, entrega, garantías, soporte del proveedor, configuración de red, seguridad institucional, accesos, licencias, drivers, permisos o disponibilidad física del entorno deberá registrarse como dependencia del Contratante o del proveedor correspondiente, y no como incumplimiento de la Consultora. La ejecución técnica del piloto solo puede medirse razonablemente a partir del momento en que CEL ponga a disposición un entorno mínimo operacional, accesible y verificable.</w:t>
      </w:r>
    </w:p>
    <w:p>
      <w:pPr>
        <w:pStyle w:val="Letter"/>
        <w:jc w:val="both"/>
      </w:pPr>
      <w:r>
        <w:t>También solicito dejar sin efecto, para fines de ejecución técnica vigente, las referencias del documento original que resulten inconsistentes con la arquitectura final adquirida. En particular, deberán sustituirse las referencias al BOM original de tres nodos, a GPU RTX 4090 como especificación cerrada, a Pentaho, a Grafana como componente requerido, a ZFS/OpenZFS cuando no corresponda a la plataforma efectivamente entregada, al switch 10GbE original, al CAPEX/OPEX estimado del BOM inicial y a cualquier otra especificación física superada por la adquisición final de CEL. La lógica funcional del piloto se mantiene: infraestructura on-premise, soberanía de datos, ejecución local, Mage como capa central de orquestación, PostgreSQL/PostGIS y MongoDB como repositorios del piloto, Python y librerías IA/GIS, modelo hidrológico, dashboard, alertas, documentación y transferencia.</w:t>
      </w:r>
    </w:p>
    <w:p>
      <w:pPr>
        <w:pStyle w:val="Letter"/>
        <w:jc w:val="both"/>
      </w:pPr>
      <w:r>
        <w:t>En ese sentido, adjunto y someto a revisión el Anexo Técnico de Alineación y Nota Aclaratoria Contractual, el cual propone: (i) texto sustitutivo para las secciones del DSP afectadas por infraestructura; (ii) matriz de cambios entre el BOM original y la arquitectura actual; (iii) delimitación expresa de responsabilidades entre Consultora, CEL, TI, proveedor e involucrados; (iv) checklist operativo de Fase 0; (v) gates, dependencias y ruta crítica desde la orden de inicio hasta la certificación del entorno; y (vi) lenguaje limpio para incorporar como adenda técnica, nota aclaratoria contractual o instrumento de alineación operativa.</w:t>
      </w:r>
    </w:p>
    <w:p>
      <w:pPr>
        <w:pStyle w:val="Letter"/>
        <w:jc w:val="both"/>
      </w:pPr>
      <w:r>
        <w:t>Solicito que esta alineación sea revisada y formalizada antes de exigir la ejecución plena de actividades técnicas dependientes del entorno. Esta formalización protege a ambas partes: a CEL, porque asegura que el piloto se ejecute sobre una fuente de verdad técnica actualizada; y a la Consultora, porque evita que brechas de adquisición, infraestructura, soporte o administración institucional se trasladen indebidamente al alcance de una consultoría especializada en inteligencia artificial y pronóstico hidrológico.</w:t>
      </w:r>
    </w:p>
    <w:p>
      <w:pPr>
        <w:pStyle w:val="Letter"/>
        <w:jc w:val="both"/>
      </w:pPr>
      <w:r>
        <w:t>De manera específica, solicito a CEL confirmar por escrito los siguientes puntos: (1) arquitectura final efectivamente adquirida y entregada; (2) ubicación aprobada para Mage, PostgreSQL/PostGIS, MongoDB, repositorios y servicios del piloto; (3) responsable técnico de CEL para infraestructura, red y seguridad; (4) contacto técnico del proveedor y procedimiento de soporte; (5) mecanismo de acceso remoto; (6) política mínima de almacenamiento, respaldo y restauración aplicable al piloto; (7) ruta de aprobación del checklist de Fase 0; y (8) tratamiento de cualquier componente o servicio adicional que no forme parte del alcance pactado.</w:t>
      </w:r>
    </w:p>
    <w:p>
      <w:pPr>
        <w:pStyle w:val="Letter"/>
        <w:jc w:val="both"/>
      </w:pPr>
      <w:r>
        <w:t>La ejecución exitosa del piloto requiere una separación rigurosa entre infraestructura institucional, soporte proveedor, operación de data center y servicios especializados de IA. Mi disposición de colaborar técnicamente con CEL se mantiene íntegra; sin embargo, dicha colaboración debe ocurrir dentro de un marco claro, verificable y contractualmente consistente. No es técnica ni contractualmente sostenible que una adquisición posterior, distinta y más amplia, desplace de forma tácita obligaciones de infraestructura hacia la Consultora sin la debida formalización.</w:t>
      </w:r>
    </w:p>
    <w:p>
      <w:pPr>
        <w:pStyle w:val="Letter"/>
        <w:jc w:val="both"/>
      </w:pPr>
      <w:r>
        <w:t>Agradezco la atención a esta aclaración y quedo a disposición para una sesión de revisión técnica con CEL, TI, el equipo operativo y el proveedor, a fin de cerrar el handoff mínimo de Fase 0, resolver decisiones abiertas y proceder con la ejecución del piloto bajo una estructura clara, responsable y trazable.</w:t>
      </w:r>
    </w:p>
    <w:p>
      <w:pPr>
        <w:pStyle w:val="Letter"/>
        <w:jc w:val="both"/>
      </w:pPr>
      <w:r>
        <w:rPr>
          <w:b/>
        </w:rPr>
        <w:t>Atentamente,</w:t>
      </w:r>
    </w:p>
    <w:p>
      <w:pPr>
        <w:pStyle w:val="Letter"/>
        <w:jc w:val="left"/>
      </w:pPr>
      <w:r/>
      <w:r>
        <w:t>Camila Alejandra Cruz Hernández</w:t>
        <w:br/>
        <w:t>Consultora en Ciencia de Datos, Ingeniería de Machine Learning e Inteligencia Artificial</w:t>
        <w:br/>
        <w:t>[Teléfono] | [Correo]</w:t>
      </w:r>
    </w:p>
    <w:p>
      <w:r>
        <w:br w:type="page"/>
      </w:r>
    </w:p>
    <w:p>
      <w:pPr>
        <w:pStyle w:val="Heading1"/>
      </w:pPr>
      <w:r>
        <w:t>Referencias documentales y notas de uso</w:t>
      </w:r>
    </w:p>
    <w:p>
      <w:pPr>
        <w:ind w:left="259" w:hanging="173"/>
      </w:pPr>
      <w:r>
        <w:rPr>
          <w:b/>
        </w:rPr>
        <w:t xml:space="preserve">• </w:t>
      </w:r>
      <w:r>
        <w:t>Documento de Solicitud de Propuesta / Propuesta Técnica y Financiera del proceso CEL-CFU 02/26, incluyendo cronograma, Anexo Técnico A, Anexo Técnico B, Anexo Técnico C, Anexo Técnico D y Matriz RACI.</w:t>
      </w:r>
    </w:p>
    <w:p>
      <w:pPr>
        <w:ind w:left="259" w:hanging="173"/>
      </w:pPr>
      <w:r>
        <w:rPr>
          <w:b/>
        </w:rPr>
        <w:t xml:space="preserve">• </w:t>
      </w:r>
      <w:r>
        <w:t>Oferta aceptada Martinexsa/Dell Technologies, referencia Plataforma Integral de Inteligencia Artificial y Procesamiento de Datos para Infraestructura Hidroeléctrica, de fecha 16 de febrero de 2026, incluyendo descripción de capas, servidores Dell PowerEdge R770/R570, switch Dell PowerSwitch S5224F-ON, estaciones de gestión, servicios incluidos y exclusiones.</w:t>
      </w:r>
    </w:p>
    <w:p>
      <w:pPr>
        <w:ind w:left="259" w:hanging="173"/>
      </w:pPr>
      <w:r>
        <w:rPr>
          <w:b/>
        </w:rPr>
        <w:t xml:space="preserve">• </w:t>
      </w:r>
      <w:r>
        <w:t>Criterios de alineación operacional: Mage como capa central de orquestación y observabilidad de pipelines; eliminación de Grafana y Pentaho como componentes requeridos; GPU y ubicación de servicios sujetas a validación contra el hardware efectivamente entregado por CEL/proveedor.</w:t>
      </w:r>
    </w:p>
    <w:p>
      <w:pPr>
        <w:pStyle w:val="Small"/>
        <w:jc w:val="both"/>
      </w:pPr>
      <w:r>
        <w:t>Nota: este documento está redactado como instrumento técnico-contractual de alineación. Para firma o incorporación formal como adenda contractual, se recomienda validación por las áreas jurídica, técnica y administrativa correspondientes de CEL.</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Documento de alineación técnico-contractual - versión para revisión y formalización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Anexo Técnico de Alineación | AI Silo / Fase 0 | CEL-CFU 02/26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1111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111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rial" w:hAnsi="Arial" w:eastAsia="Arial"/>
      <w:sz w:val="17"/>
    </w:rPr>
  </w:style>
  <w:style w:type="paragraph" w:customStyle="1" w:styleId="CellSmall">
    <w:name w:val="CellSmall"/>
    <w:pPr>
      <w:spacing w:after="0" w:line="240" w:lineRule="auto"/>
    </w:pPr>
    <w:rPr>
      <w:rFonts w:ascii="Arial" w:hAnsi="Arial" w:eastAsia="Arial"/>
      <w:sz w:val="15"/>
    </w:rPr>
  </w:style>
  <w:style w:type="paragraph" w:customStyle="1" w:styleId="Letter">
    <w:name w:val="Letter"/>
    <w:pPr>
      <w:spacing w:after="120" w:line="259" w:lineRule="auto"/>
    </w:pPr>
    <w:rPr>
      <w:rFonts w:ascii="Arial" w:hAnsi="Arial" w:eastAsia="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Técnico de Alineación y Nota Aclaratoria Contractual - AI Silo Fase 0</dc:title>
  <dc:subject>CEL-CFU 02/26</dc:subject>
  <dc:creator>Camila Alejandra Cruz Hernandez</dc:creator>
  <cp:keywords/>
  <dc:description>Prepared for technical-contractual alignment.</dc:description>
  <cp:lastModifiedBy/>
  <cp:revision>1</cp:revision>
  <dcterms:created xsi:type="dcterms:W3CDTF">2013-12-23T23:15:00Z</dcterms:created>
  <dcterms:modified xsi:type="dcterms:W3CDTF">2013-12-23T23:15:00Z</dcterms:modified>
  <cp:category/>
</cp:coreProperties>
</file>