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40"/>
        </w:rPr>
        <w:t>ANEXO TÉCNICO COMPLEMENTARIO No. 1</w:t>
      </w:r>
    </w:p>
    <w:p>
      <w:pPr>
        <w:jc w:val="center"/>
      </w:pPr>
      <w:r>
        <w:rPr>
          <w:rFonts w:ascii="Arial" w:hAnsi="Arial"/>
          <w:b/>
          <w:color w:val="404040"/>
          <w:sz w:val="30"/>
        </w:rPr>
        <w:t>BOM actualizado de hardware/software y diagrama final de alcance técnico del AI Silo</w:t>
      </w:r>
    </w:p>
    <w:p>
      <w:pPr>
        <w:jc w:val="center"/>
      </w:pPr>
      <w:r>
        <w:rPr>
          <w:rFonts w:ascii="Arial" w:hAnsi="Arial"/>
          <w:sz w:val="20"/>
        </w:rPr>
        <w:t>Proyecto CEL-CFU 02/26 - Plan piloto de pronóstico hidrológico avanzado basado en IA</w:t>
      </w:r>
    </w:p>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4256"/>
      </w:tblGrid>
      <w:tr>
        <w:tc>
          <w:tcPr>
            <w:tcW w:type="dxa" w:w="14256"/>
            <w:shd w:fill="EAF2F8"/>
          </w:tcPr>
          <w:p>
            <w:pPr>
              <w:spacing w:after="40"/>
            </w:pPr>
            <w:r>
              <w:rPr>
                <w:rFonts w:ascii="Arial" w:hAnsi="Arial"/>
                <w:b/>
                <w:color w:val="1F4E79"/>
                <w:sz w:val="19"/>
              </w:rPr>
              <w:t>Objeto del documento</w:t>
              <w:br/>
            </w:r>
            <w:r>
              <w:rPr>
                <w:rFonts w:ascii="Arial" w:hAnsi="Arial"/>
                <w:sz w:val="17"/>
              </w:rPr>
              <w:t>Este anexo complementa y actualiza, únicamente para fines de alineación técnica-operativa, las secciones de infraestructura, AI Silo y BOM previamente incluidas en el DSP/propuesta contractual. La actualización responde a la infraestructura finalmente adquirida por CEL mediante la oferta aceptada de Martinexsa/Dell. Este anexo no amplía por sí mismo el alcance contractual de la Consultora ni convierte la administración integral de la plataforma adquirida por CEL en una obligación de la Consultora.</w:t>
              <w:br/>
            </w:r>
          </w:p>
        </w:tc>
      </w:tr>
    </w:tbl>
    <w:p/>
    <w:p>
      <w:pPr>
        <w:pStyle w:val="Heading1"/>
      </w:pPr>
      <w:r>
        <w:t>1. Fuente de verdad técnica y criterio de actualización</w:t>
      </w:r>
    </w:p>
    <w:p>
      <w:r>
        <w:t>El BOM físico original del DSP queda tratado como antecedente de dimensionamiento y arquitectura de referencia. La infraestructura física vigente para ejecución será la plataforma adquirida por CEL a través de Martinexsa/Dell, compuesta por servidores Dell PowerEdge, almacenamiento NAS/File Server, conectividad 25/100GbE, soporte Dell/NVIDIA y estaciones de gestión. La Consultora consumirá esta plataforma como entorno habilitante del piloto, siempre dentro del alcance funcional y de validación previsto para Fase 0.</w:t>
      </w:r>
    </w:p>
    <w:p>
      <w:pPr>
        <w:pStyle w:val="ListBullet"/>
        <w:spacing w:after="40"/>
        <w:ind w:left="360"/>
      </w:pPr>
      <w:r>
        <w:rPr>
          <w:sz w:val="18"/>
        </w:rPr>
        <w:t>El stack de orquestación del piloto queda bajo Mage. No se utilizará Grafana como capa formal de monitoreo del flujo del piloto y no se mantiene Pentaho como herramienta de ETL del proyecto.</w:t>
      </w:r>
    </w:p>
    <w:p>
      <w:pPr>
        <w:pStyle w:val="ListBullet"/>
        <w:spacing w:after="40"/>
        <w:ind w:left="360"/>
      </w:pPr>
      <w:r>
        <w:rPr>
          <w:sz w:val="18"/>
        </w:rPr>
        <w:t>La GPU y configuración real deberán validarse contra el equipo efectivamente entregado, inventariado y habilitado. La oferta aceptada contempla GPU NVIDIA H100 NVL; la certificación del piloto debe basarse en la unidad instalada y funcional.</w:t>
      </w:r>
    </w:p>
    <w:p>
      <w:pPr>
        <w:pStyle w:val="ListBullet"/>
        <w:spacing w:after="40"/>
        <w:ind w:left="360"/>
      </w:pPr>
      <w:r>
        <w:rPr>
          <w:sz w:val="18"/>
        </w:rPr>
        <w:t>La ubicación final de Mage, PostgreSQL/PostGIS, MongoDB, dashboard/API y repositorios deberá ser definida por CEL/TI y/o el proveedor de infraestructura antes de certificar Fase 0.</w:t>
      </w:r>
    </w:p>
    <w:p>
      <w:pPr>
        <w:pStyle w:val="ListBullet"/>
        <w:spacing w:after="40"/>
        <w:ind w:left="360"/>
      </w:pPr>
      <w:r>
        <w:rPr>
          <w:sz w:val="18"/>
        </w:rPr>
        <w:t>Los componentes de virtualización institucional, soporte enterprise, estaciones ejecutivas, red data center, NAS y servicios de garantía son recursos de CEL/proveedor, no obligaciones adicionales de diseño, soporte o administración por parte de la Consultora salvo adenda expresa.</w:t>
      </w:r>
    </w:p>
    <w:p>
      <w:pPr>
        <w:pStyle w:val="Heading1"/>
      </w:pPr>
      <w:r>
        <w:t>2. Arquitectura física adquirida por CEL - resumen por capas</w:t>
      </w:r>
    </w:p>
    <w:tbl>
      <w:tblPr>
        <w:tblStyle w:val="TableGrid"/>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564"/>
        <w:gridCol w:w="3564"/>
        <w:gridCol w:w="3564"/>
        <w:gridCol w:w="3564"/>
      </w:tblGrid>
      <w:tr>
        <w:trPr>
          <w:tblHeader w:val="true"/>
        </w:trPr>
        <w:tc>
          <w:tcPr>
            <w:tcW w:type="dxa" w:w="648"/>
            <w:vAlign w:val="top"/>
            <w:shd w:fill="1F4E79"/>
          </w:tcPr>
          <w:p>
            <w:pPr>
              <w:spacing w:after="0" w:before="0" w:line="240" w:lineRule="auto"/>
            </w:pPr>
            <w:r>
              <w:rPr>
                <w:b/>
                <w:color w:val="FFFFFF"/>
                <w:sz w:val="16"/>
              </w:rPr>
              <w:t>Capa</w:t>
            </w:r>
          </w:p>
        </w:tc>
        <w:tc>
          <w:tcPr>
            <w:tcW w:type="dxa" w:w="2304"/>
            <w:vAlign w:val="top"/>
            <w:shd w:fill="1F4E79"/>
          </w:tcPr>
          <w:p>
            <w:pPr>
              <w:spacing w:after="0" w:before="0" w:line="240" w:lineRule="auto"/>
            </w:pPr>
            <w:r>
              <w:rPr>
                <w:b/>
                <w:color w:val="FFFFFF"/>
                <w:sz w:val="16"/>
              </w:rPr>
              <w:t>Dominio</w:t>
            </w:r>
          </w:p>
        </w:tc>
        <w:tc>
          <w:tcPr>
            <w:tcW w:type="dxa" w:w="3456"/>
            <w:vAlign w:val="top"/>
            <w:shd w:fill="1F4E79"/>
          </w:tcPr>
          <w:p>
            <w:pPr>
              <w:spacing w:after="0" w:before="0" w:line="240" w:lineRule="auto"/>
            </w:pPr>
            <w:r>
              <w:rPr>
                <w:b/>
                <w:color w:val="FFFFFF"/>
                <w:sz w:val="16"/>
              </w:rPr>
              <w:t>Componente adquirido</w:t>
            </w:r>
          </w:p>
        </w:tc>
        <w:tc>
          <w:tcPr>
            <w:tcW w:type="dxa" w:w="7200"/>
            <w:vAlign w:val="top"/>
            <w:shd w:fill="1F4E79"/>
          </w:tcPr>
          <w:p>
            <w:pPr>
              <w:spacing w:after="0" w:before="0" w:line="240" w:lineRule="auto"/>
            </w:pPr>
            <w:r>
              <w:rPr>
                <w:b/>
                <w:color w:val="FFFFFF"/>
                <w:sz w:val="16"/>
              </w:rPr>
              <w:t>Función operativa</w:t>
            </w:r>
          </w:p>
        </w:tc>
      </w:tr>
      <w:tr>
        <w:tc>
          <w:tcPr>
            <w:tcW w:type="dxa" w:w="648"/>
            <w:vAlign w:val="top"/>
            <w:shd w:fill="F7F7F7"/>
          </w:tcPr>
          <w:p>
            <w:pPr>
              <w:spacing w:after="0" w:before="0" w:line="240" w:lineRule="auto"/>
            </w:pPr>
            <w:r>
              <w:rPr>
                <w:b/>
                <w:sz w:val="16"/>
              </w:rPr>
              <w:t>1</w:t>
            </w:r>
          </w:p>
        </w:tc>
        <w:tc>
          <w:tcPr>
            <w:tcW w:type="dxa" w:w="2304"/>
            <w:vAlign w:val="top"/>
            <w:shd w:fill="F7F7F7"/>
          </w:tcPr>
          <w:p>
            <w:pPr>
              <w:spacing w:after="0" w:before="0" w:line="240" w:lineRule="auto"/>
            </w:pPr>
            <w:r>
              <w:rPr>
                <w:b w:val="0"/>
                <w:sz w:val="16"/>
              </w:rPr>
              <w:t>Procesamiento IA</w:t>
            </w:r>
          </w:p>
        </w:tc>
        <w:tc>
          <w:tcPr>
            <w:tcW w:type="dxa" w:w="3456"/>
            <w:vAlign w:val="top"/>
            <w:shd w:fill="F7F7F7"/>
          </w:tcPr>
          <w:p>
            <w:pPr>
              <w:spacing w:after="0" w:before="0" w:line="240" w:lineRule="auto"/>
            </w:pPr>
            <w:r>
              <w:rPr>
                <w:b w:val="0"/>
                <w:sz w:val="16"/>
              </w:rPr>
              <w:t>Dell PowerEdge R770 - Plataforma IA</w:t>
            </w:r>
          </w:p>
        </w:tc>
        <w:tc>
          <w:tcPr>
            <w:tcW w:type="dxa" w:w="7200"/>
            <w:vAlign w:val="top"/>
            <w:shd w:fill="F7F7F7"/>
          </w:tcPr>
          <w:p>
            <w:pPr>
              <w:spacing w:after="0" w:before="0" w:line="240" w:lineRule="auto"/>
            </w:pPr>
            <w:r>
              <w:rPr>
                <w:b w:val="0"/>
                <w:sz w:val="16"/>
              </w:rPr>
              <w:t>Servidor dedicado a cargas de inteligencia artificial, analítica avanzada, entrenamiento/inferencia y procesamiento intensivo de datos.</w:t>
            </w:r>
          </w:p>
        </w:tc>
      </w:tr>
      <w:tr>
        <w:tc>
          <w:tcPr>
            <w:tcW w:type="dxa" w:w="648"/>
            <w:vAlign w:val="top"/>
          </w:tcPr>
          <w:p>
            <w:pPr>
              <w:spacing w:after="0" w:before="0" w:line="240" w:lineRule="auto"/>
            </w:pPr>
            <w:r>
              <w:rPr>
                <w:b/>
                <w:sz w:val="16"/>
              </w:rPr>
              <w:t>2</w:t>
            </w:r>
          </w:p>
        </w:tc>
        <w:tc>
          <w:tcPr>
            <w:tcW w:type="dxa" w:w="2304"/>
            <w:vAlign w:val="top"/>
          </w:tcPr>
          <w:p>
            <w:pPr>
              <w:spacing w:after="0" w:before="0" w:line="240" w:lineRule="auto"/>
            </w:pPr>
            <w:r>
              <w:rPr>
                <w:b w:val="0"/>
                <w:sz w:val="16"/>
              </w:rPr>
              <w:t>Virtualización institucional</w:t>
            </w:r>
          </w:p>
        </w:tc>
        <w:tc>
          <w:tcPr>
            <w:tcW w:type="dxa" w:w="3456"/>
            <w:vAlign w:val="top"/>
          </w:tcPr>
          <w:p>
            <w:pPr>
              <w:spacing w:after="0" w:before="0" w:line="240" w:lineRule="auto"/>
            </w:pPr>
            <w:r>
              <w:rPr>
                <w:b w:val="0"/>
                <w:sz w:val="16"/>
              </w:rPr>
              <w:t>Dell PowerEdge R770 - Servidor de virtualización</w:t>
            </w:r>
          </w:p>
        </w:tc>
        <w:tc>
          <w:tcPr>
            <w:tcW w:type="dxa" w:w="7200"/>
            <w:vAlign w:val="top"/>
          </w:tcPr>
          <w:p>
            <w:pPr>
              <w:spacing w:after="0" w:before="0" w:line="240" w:lineRule="auto"/>
            </w:pPr>
            <w:r>
              <w:rPr>
                <w:b w:val="0"/>
                <w:sz w:val="16"/>
              </w:rPr>
              <w:t>Hospedaje de máquinas virtuales, servicios institucionales, aplicaciones administrativas e integración/middleware, sujeto a decisión de CEL/TI.</w:t>
            </w:r>
          </w:p>
        </w:tc>
      </w:tr>
      <w:tr>
        <w:tc>
          <w:tcPr>
            <w:tcW w:type="dxa" w:w="648"/>
            <w:vAlign w:val="top"/>
            <w:shd w:fill="F7F7F7"/>
          </w:tcPr>
          <w:p>
            <w:pPr>
              <w:spacing w:after="0" w:before="0" w:line="240" w:lineRule="auto"/>
            </w:pPr>
            <w:r>
              <w:rPr>
                <w:b/>
                <w:sz w:val="16"/>
              </w:rPr>
              <w:t>3</w:t>
            </w:r>
          </w:p>
        </w:tc>
        <w:tc>
          <w:tcPr>
            <w:tcW w:type="dxa" w:w="2304"/>
            <w:vAlign w:val="top"/>
            <w:shd w:fill="F7F7F7"/>
          </w:tcPr>
          <w:p>
            <w:pPr>
              <w:spacing w:after="0" w:before="0" w:line="240" w:lineRule="auto"/>
            </w:pPr>
            <w:r>
              <w:rPr>
                <w:b w:val="0"/>
                <w:sz w:val="16"/>
              </w:rPr>
              <w:t>Almacenamiento NAS/File Server</w:t>
            </w:r>
          </w:p>
        </w:tc>
        <w:tc>
          <w:tcPr>
            <w:tcW w:type="dxa" w:w="3456"/>
            <w:vAlign w:val="top"/>
            <w:shd w:fill="F7F7F7"/>
          </w:tcPr>
          <w:p>
            <w:pPr>
              <w:spacing w:after="0" w:before="0" w:line="240" w:lineRule="auto"/>
            </w:pPr>
            <w:r>
              <w:rPr>
                <w:b w:val="0"/>
                <w:sz w:val="16"/>
              </w:rPr>
              <w:t>Dell PowerEdge R570</w:t>
            </w:r>
          </w:p>
        </w:tc>
        <w:tc>
          <w:tcPr>
            <w:tcW w:type="dxa" w:w="7200"/>
            <w:vAlign w:val="top"/>
            <w:shd w:fill="F7F7F7"/>
          </w:tcPr>
          <w:p>
            <w:pPr>
              <w:spacing w:after="0" w:before="0" w:line="240" w:lineRule="auto"/>
            </w:pPr>
            <w:r>
              <w:rPr>
                <w:b w:val="0"/>
                <w:sz w:val="16"/>
              </w:rPr>
              <w:t>Almacenamiento centralizado institucional, repositorio para datasets IA, histórico/documental y compartición SMB/NFS.</w:t>
            </w:r>
          </w:p>
        </w:tc>
      </w:tr>
      <w:tr>
        <w:tc>
          <w:tcPr>
            <w:tcW w:type="dxa" w:w="648"/>
            <w:vAlign w:val="top"/>
          </w:tcPr>
          <w:p>
            <w:pPr>
              <w:spacing w:after="0" w:before="0" w:line="240" w:lineRule="auto"/>
            </w:pPr>
            <w:r>
              <w:rPr>
                <w:b/>
                <w:sz w:val="16"/>
              </w:rPr>
              <w:t>4</w:t>
            </w:r>
          </w:p>
        </w:tc>
        <w:tc>
          <w:tcPr>
            <w:tcW w:type="dxa" w:w="2304"/>
            <w:vAlign w:val="top"/>
          </w:tcPr>
          <w:p>
            <w:pPr>
              <w:spacing w:after="0" w:before="0" w:line="240" w:lineRule="auto"/>
            </w:pPr>
            <w:r>
              <w:rPr>
                <w:b w:val="0"/>
                <w:sz w:val="16"/>
              </w:rPr>
              <w:t>Conectividad Data Center</w:t>
            </w:r>
          </w:p>
        </w:tc>
        <w:tc>
          <w:tcPr>
            <w:tcW w:type="dxa" w:w="3456"/>
            <w:vAlign w:val="top"/>
          </w:tcPr>
          <w:p>
            <w:pPr>
              <w:spacing w:after="0" w:before="0" w:line="240" w:lineRule="auto"/>
            </w:pPr>
            <w:r>
              <w:rPr>
                <w:b w:val="0"/>
                <w:sz w:val="16"/>
              </w:rPr>
              <w:t>Dell PowerSwitch S5224F-ON</w:t>
            </w:r>
          </w:p>
        </w:tc>
        <w:tc>
          <w:tcPr>
            <w:tcW w:type="dxa" w:w="7200"/>
            <w:vAlign w:val="top"/>
          </w:tcPr>
          <w:p>
            <w:pPr>
              <w:spacing w:after="0" w:before="0" w:line="240" w:lineRule="auto"/>
            </w:pPr>
            <w:r>
              <w:rPr>
                <w:b w:val="0"/>
                <w:sz w:val="16"/>
              </w:rPr>
              <w:t>Switch Top-of-Rack 25/100GbE para concentrar conectividad de servidores, NAS y enlaces de alta velocidad.</w:t>
            </w:r>
          </w:p>
        </w:tc>
      </w:tr>
      <w:tr>
        <w:tc>
          <w:tcPr>
            <w:tcW w:type="dxa" w:w="648"/>
            <w:vAlign w:val="top"/>
            <w:shd w:fill="F7F7F7"/>
          </w:tcPr>
          <w:p>
            <w:pPr>
              <w:spacing w:after="0" w:before="0" w:line="240" w:lineRule="auto"/>
            </w:pPr>
            <w:r>
              <w:rPr>
                <w:b/>
                <w:sz w:val="16"/>
              </w:rPr>
              <w:t>5</w:t>
            </w:r>
          </w:p>
        </w:tc>
        <w:tc>
          <w:tcPr>
            <w:tcW w:type="dxa" w:w="2304"/>
            <w:vAlign w:val="top"/>
            <w:shd w:fill="F7F7F7"/>
          </w:tcPr>
          <w:p>
            <w:pPr>
              <w:spacing w:after="0" w:before="0" w:line="240" w:lineRule="auto"/>
            </w:pPr>
            <w:r>
              <w:rPr>
                <w:b w:val="0"/>
                <w:sz w:val="16"/>
              </w:rPr>
              <w:t>Gestión y productividad</w:t>
            </w:r>
          </w:p>
        </w:tc>
        <w:tc>
          <w:tcPr>
            <w:tcW w:type="dxa" w:w="3456"/>
            <w:vAlign w:val="top"/>
            <w:shd w:fill="F7F7F7"/>
          </w:tcPr>
          <w:p>
            <w:pPr>
              <w:spacing w:after="0" w:before="0" w:line="240" w:lineRule="auto"/>
            </w:pPr>
            <w:r>
              <w:rPr>
                <w:b w:val="0"/>
                <w:sz w:val="16"/>
              </w:rPr>
              <w:t>2 estaciones Dell Pro Max 16 Plus + docks + monitores/periféricos</w:t>
            </w:r>
          </w:p>
        </w:tc>
        <w:tc>
          <w:tcPr>
            <w:tcW w:type="dxa" w:w="7200"/>
            <w:vAlign w:val="top"/>
            <w:shd w:fill="F7F7F7"/>
          </w:tcPr>
          <w:p>
            <w:pPr>
              <w:spacing w:after="0" w:before="0" w:line="240" w:lineRule="auto"/>
            </w:pPr>
            <w:r>
              <w:rPr>
                <w:b w:val="0"/>
                <w:sz w:val="16"/>
              </w:rPr>
              <w:t>Equipos de gestión, visualización, administración de plataforma y análisis técnico. No sustituyen el cómputo servidor del piloto.</w:t>
            </w:r>
          </w:p>
        </w:tc>
      </w:tr>
      <w:tr>
        <w:tc>
          <w:tcPr>
            <w:tcW w:type="dxa" w:w="648"/>
            <w:vAlign w:val="top"/>
          </w:tcPr>
          <w:p>
            <w:pPr>
              <w:spacing w:after="0" w:before="0" w:line="240" w:lineRule="auto"/>
            </w:pPr>
            <w:r>
              <w:rPr>
                <w:b/>
                <w:sz w:val="16"/>
              </w:rPr>
              <w:t>6</w:t>
            </w:r>
          </w:p>
        </w:tc>
        <w:tc>
          <w:tcPr>
            <w:tcW w:type="dxa" w:w="2304"/>
            <w:vAlign w:val="top"/>
          </w:tcPr>
          <w:p>
            <w:pPr>
              <w:spacing w:after="0" w:before="0" w:line="240" w:lineRule="auto"/>
            </w:pPr>
            <w:r>
              <w:rPr>
                <w:b w:val="0"/>
                <w:sz w:val="16"/>
              </w:rPr>
              <w:t>Soporte y licenciamiento</w:t>
            </w:r>
          </w:p>
        </w:tc>
        <w:tc>
          <w:tcPr>
            <w:tcW w:type="dxa" w:w="3456"/>
            <w:vAlign w:val="top"/>
          </w:tcPr>
          <w:p>
            <w:pPr>
              <w:spacing w:after="0" w:before="0" w:line="240" w:lineRule="auto"/>
            </w:pPr>
            <w:r>
              <w:rPr>
                <w:b w:val="0"/>
                <w:sz w:val="16"/>
              </w:rPr>
              <w:t>Dell ProSupport Plus Mission Critical + NVIDIA AI Enterprise + TechCircle</w:t>
            </w:r>
          </w:p>
        </w:tc>
        <w:tc>
          <w:tcPr>
            <w:tcW w:type="dxa" w:w="7200"/>
            <w:vAlign w:val="top"/>
          </w:tcPr>
          <w:p>
            <w:pPr>
              <w:spacing w:after="0" w:before="0" w:line="240" w:lineRule="auto"/>
            </w:pPr>
            <w:r>
              <w:rPr>
                <w:b w:val="0"/>
                <w:sz w:val="16"/>
              </w:rPr>
              <w:t>Soporte especializado, garantías, telemetría y hasta 30 horas de acompañamiento técnico especializado remoto según oferta.</w:t>
            </w:r>
          </w:p>
        </w:tc>
      </w:tr>
    </w:tbl>
    <w:p/>
    <w:p>
      <w:pPr>
        <w:pStyle w:val="Heading1"/>
      </w:pPr>
      <w:r>
        <w:t>3. Nuevo BOM de hardware - plataforma adquirida</w:t>
      </w:r>
    </w:p>
    <w:p>
      <w:r>
        <w:t>El siguiente BOM resume la infraestructura nueva a considerar como plataforma física habilitante del piloto. La responsabilidad por adquisición, entrega, garantía, instalación física, racking, energía, cooling, cableado, soporte de fabricante y administración base corresponde a CEL, Martinexsa/Dell y/o los proveedores designados por CEL.</w:t>
      </w:r>
    </w:p>
    <w:tbl>
      <w:tblPr>
        <w:tblStyle w:val="TableGrid"/>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851"/>
        <w:gridCol w:w="2851"/>
        <w:gridCol w:w="2851"/>
        <w:gridCol w:w="2851"/>
        <w:gridCol w:w="2851"/>
      </w:tblGrid>
      <w:tr>
        <w:trPr>
          <w:tblHeader w:val="true"/>
        </w:trPr>
        <w:tc>
          <w:tcPr>
            <w:tcW w:type="dxa" w:w="1800"/>
            <w:vAlign w:val="top"/>
            <w:shd w:fill="1F4E79"/>
          </w:tcPr>
          <w:p>
            <w:pPr>
              <w:spacing w:after="0" w:before="0" w:line="240" w:lineRule="auto"/>
            </w:pPr>
            <w:r>
              <w:rPr>
                <w:b/>
                <w:color w:val="FFFFFF"/>
                <w:sz w:val="14"/>
              </w:rPr>
              <w:t>Dominio</w:t>
            </w:r>
          </w:p>
        </w:tc>
        <w:tc>
          <w:tcPr>
            <w:tcW w:type="dxa" w:w="2880"/>
            <w:vAlign w:val="top"/>
            <w:shd w:fill="1F4E79"/>
          </w:tcPr>
          <w:p>
            <w:pPr>
              <w:spacing w:after="0" w:before="0" w:line="240" w:lineRule="auto"/>
            </w:pPr>
            <w:r>
              <w:rPr>
                <w:b/>
                <w:color w:val="FFFFFF"/>
                <w:sz w:val="14"/>
              </w:rPr>
              <w:t>Modelo / servicio</w:t>
            </w:r>
          </w:p>
        </w:tc>
        <w:tc>
          <w:tcPr>
            <w:tcW w:type="dxa" w:w="1080"/>
            <w:vAlign w:val="top"/>
            <w:shd w:fill="1F4E79"/>
          </w:tcPr>
          <w:p>
            <w:pPr>
              <w:spacing w:after="0" w:before="0" w:line="240" w:lineRule="auto"/>
            </w:pPr>
            <w:r>
              <w:rPr>
                <w:b/>
                <w:color w:val="FFFFFF"/>
                <w:sz w:val="14"/>
              </w:rPr>
              <w:t>Cantidad</w:t>
            </w:r>
          </w:p>
        </w:tc>
        <w:tc>
          <w:tcPr>
            <w:tcW w:type="dxa" w:w="5760"/>
            <w:vAlign w:val="top"/>
            <w:shd w:fill="1F4E79"/>
          </w:tcPr>
          <w:p>
            <w:pPr>
              <w:spacing w:after="0" w:before="0" w:line="240" w:lineRule="auto"/>
            </w:pPr>
            <w:r>
              <w:rPr>
                <w:b/>
                <w:color w:val="FFFFFF"/>
                <w:sz w:val="14"/>
              </w:rPr>
              <w:t>Configuración relevante</w:t>
            </w:r>
          </w:p>
        </w:tc>
        <w:tc>
          <w:tcPr>
            <w:tcW w:type="dxa" w:w="4320"/>
            <w:vAlign w:val="top"/>
            <w:shd w:fill="1F4E79"/>
          </w:tcPr>
          <w:p>
            <w:pPr>
              <w:spacing w:after="0" w:before="0" w:line="240" w:lineRule="auto"/>
            </w:pPr>
            <w:r>
              <w:rPr>
                <w:b/>
                <w:color w:val="FFFFFF"/>
                <w:sz w:val="14"/>
              </w:rPr>
              <w:t>Uso para el piloto</w:t>
            </w:r>
          </w:p>
        </w:tc>
      </w:tr>
      <w:tr>
        <w:tc>
          <w:tcPr>
            <w:tcW w:type="dxa" w:w="1800"/>
            <w:vAlign w:val="top"/>
            <w:shd w:fill="F7F7F7"/>
          </w:tcPr>
          <w:p>
            <w:pPr>
              <w:spacing w:after="0" w:before="0" w:line="240" w:lineRule="auto"/>
            </w:pPr>
            <w:r>
              <w:rPr>
                <w:b/>
                <w:sz w:val="14"/>
              </w:rPr>
              <w:t>Servidor IA / ML</w:t>
            </w:r>
          </w:p>
        </w:tc>
        <w:tc>
          <w:tcPr>
            <w:tcW w:type="dxa" w:w="2880"/>
            <w:vAlign w:val="top"/>
            <w:shd w:fill="F7F7F7"/>
          </w:tcPr>
          <w:p>
            <w:pPr>
              <w:spacing w:after="0" w:before="0" w:line="240" w:lineRule="auto"/>
            </w:pPr>
            <w:r>
              <w:rPr>
                <w:b w:val="0"/>
                <w:sz w:val="14"/>
              </w:rPr>
              <w:t>Dell PowerEdge R770</w:t>
            </w:r>
          </w:p>
        </w:tc>
        <w:tc>
          <w:tcPr>
            <w:tcW w:type="dxa" w:w="1080"/>
            <w:vAlign w:val="top"/>
            <w:shd w:fill="F7F7F7"/>
          </w:tcPr>
          <w:p>
            <w:pPr>
              <w:spacing w:after="0" w:before="0" w:line="240" w:lineRule="auto"/>
            </w:pPr>
            <w:r>
              <w:rPr>
                <w:b w:val="0"/>
                <w:sz w:val="14"/>
              </w:rPr>
              <w:t>1</w:t>
            </w:r>
          </w:p>
        </w:tc>
        <w:tc>
          <w:tcPr>
            <w:tcW w:type="dxa" w:w="5760"/>
            <w:vAlign w:val="top"/>
            <w:shd w:fill="F7F7F7"/>
          </w:tcPr>
          <w:p>
            <w:pPr>
              <w:spacing w:after="0" w:before="0" w:line="240" w:lineRule="auto"/>
            </w:pPr>
            <w:r>
              <w:rPr>
                <w:b w:val="0"/>
                <w:sz w:val="14"/>
              </w:rPr>
              <w:t>2 x Intel Xeon 6 Performance 6515P; 256 GB DDR5; GPU NVIDIA H100 NVL PCIe 94 GB HBM3; 2 x SSD SATA 480 GB sistema; 2 x NVMe 1.92 TB workspace; NVIDIA ConnectX-6 Dx dual port 100GbE; interfaces 25GbE SFP28; iDRAC Enterprise.</w:t>
            </w:r>
          </w:p>
        </w:tc>
        <w:tc>
          <w:tcPr>
            <w:tcW w:type="dxa" w:w="4320"/>
            <w:vAlign w:val="top"/>
            <w:shd w:fill="F7F7F7"/>
          </w:tcPr>
          <w:p>
            <w:pPr>
              <w:spacing w:after="0" w:before="0" w:line="240" w:lineRule="auto"/>
            </w:pPr>
            <w:r>
              <w:rPr>
                <w:b w:val="0"/>
                <w:sz w:val="14"/>
              </w:rPr>
              <w:t>Entrenamiento, inferencia, analítica avanzada, procesamiento intensivo y uso funcional de GPU para el piloto.</w:t>
            </w:r>
          </w:p>
        </w:tc>
      </w:tr>
      <w:tr>
        <w:tc>
          <w:tcPr>
            <w:tcW w:type="dxa" w:w="1800"/>
            <w:vAlign w:val="top"/>
          </w:tcPr>
          <w:p>
            <w:pPr>
              <w:spacing w:after="0" w:before="0" w:line="240" w:lineRule="auto"/>
            </w:pPr>
            <w:r>
              <w:rPr>
                <w:b/>
                <w:sz w:val="14"/>
              </w:rPr>
              <w:t>Servidor virtualización</w:t>
            </w:r>
          </w:p>
        </w:tc>
        <w:tc>
          <w:tcPr>
            <w:tcW w:type="dxa" w:w="2880"/>
            <w:vAlign w:val="top"/>
          </w:tcPr>
          <w:p>
            <w:pPr>
              <w:spacing w:after="0" w:before="0" w:line="240" w:lineRule="auto"/>
            </w:pPr>
            <w:r>
              <w:rPr>
                <w:b w:val="0"/>
                <w:sz w:val="14"/>
              </w:rPr>
              <w:t>Dell PowerEdge R770</w:t>
            </w:r>
          </w:p>
        </w:tc>
        <w:tc>
          <w:tcPr>
            <w:tcW w:type="dxa" w:w="1080"/>
            <w:vAlign w:val="top"/>
          </w:tcPr>
          <w:p>
            <w:pPr>
              <w:spacing w:after="0" w:before="0" w:line="240" w:lineRule="auto"/>
            </w:pPr>
            <w:r>
              <w:rPr>
                <w:b w:val="0"/>
                <w:sz w:val="14"/>
              </w:rPr>
              <w:t>1</w:t>
            </w:r>
          </w:p>
        </w:tc>
        <w:tc>
          <w:tcPr>
            <w:tcW w:type="dxa" w:w="5760"/>
            <w:vAlign w:val="top"/>
          </w:tcPr>
          <w:p>
            <w:pPr>
              <w:spacing w:after="0" w:before="0" w:line="240" w:lineRule="auto"/>
            </w:pPr>
            <w:r>
              <w:rPr>
                <w:b w:val="0"/>
                <w:sz w:val="14"/>
              </w:rPr>
              <w:t>2 x Intel Xeon 6 Performance 6515P; 256 GB DDR5; almacenamiento SSD empresarial; adaptador 25GbE SFP28; iDRAC Enterprise; configuración base sujeta al diseño de CEL/TI.</w:t>
            </w:r>
          </w:p>
        </w:tc>
        <w:tc>
          <w:tcPr>
            <w:tcW w:type="dxa" w:w="4320"/>
            <w:vAlign w:val="top"/>
          </w:tcPr>
          <w:p>
            <w:pPr>
              <w:spacing w:after="0" w:before="0" w:line="240" w:lineRule="auto"/>
            </w:pPr>
            <w:r>
              <w:rPr>
                <w:b w:val="0"/>
                <w:sz w:val="14"/>
              </w:rPr>
              <w:t>Hospedaje de VMs, servicios institucionales, middleware y potencial alojamiento de Mage/BDs si CEL/TI así lo define.</w:t>
            </w:r>
          </w:p>
        </w:tc>
      </w:tr>
      <w:tr>
        <w:tc>
          <w:tcPr>
            <w:tcW w:type="dxa" w:w="1800"/>
            <w:vAlign w:val="top"/>
            <w:shd w:fill="F7F7F7"/>
          </w:tcPr>
          <w:p>
            <w:pPr>
              <w:spacing w:after="0" w:before="0" w:line="240" w:lineRule="auto"/>
            </w:pPr>
            <w:r>
              <w:rPr>
                <w:b/>
                <w:sz w:val="14"/>
              </w:rPr>
              <w:t>NAS / File Server</w:t>
            </w:r>
          </w:p>
        </w:tc>
        <w:tc>
          <w:tcPr>
            <w:tcW w:type="dxa" w:w="2880"/>
            <w:vAlign w:val="top"/>
            <w:shd w:fill="F7F7F7"/>
          </w:tcPr>
          <w:p>
            <w:pPr>
              <w:spacing w:after="0" w:before="0" w:line="240" w:lineRule="auto"/>
            </w:pPr>
            <w:r>
              <w:rPr>
                <w:b w:val="0"/>
                <w:sz w:val="14"/>
              </w:rPr>
              <w:t>Dell PowerEdge R570</w:t>
            </w:r>
          </w:p>
        </w:tc>
        <w:tc>
          <w:tcPr>
            <w:tcW w:type="dxa" w:w="1080"/>
            <w:vAlign w:val="top"/>
            <w:shd w:fill="F7F7F7"/>
          </w:tcPr>
          <w:p>
            <w:pPr>
              <w:spacing w:after="0" w:before="0" w:line="240" w:lineRule="auto"/>
            </w:pPr>
            <w:r>
              <w:rPr>
                <w:b w:val="0"/>
                <w:sz w:val="14"/>
              </w:rPr>
              <w:t>1</w:t>
            </w:r>
          </w:p>
        </w:tc>
        <w:tc>
          <w:tcPr>
            <w:tcW w:type="dxa" w:w="5760"/>
            <w:vAlign w:val="top"/>
            <w:shd w:fill="F7F7F7"/>
          </w:tcPr>
          <w:p>
            <w:pPr>
              <w:spacing w:after="0" w:before="0" w:line="240" w:lineRule="auto"/>
            </w:pPr>
            <w:r>
              <w:rPr>
                <w:b w:val="0"/>
                <w:sz w:val="14"/>
              </w:rPr>
              <w:t>Intel Xeon 6 Performance 6511P; 64 GB DDR5; Windows Server 2025 Standard; BOSS-N1 2 x M.2 480 GB RAID 1 para sistema; 6 x HDD empresariales 4 TB en RAID 6; 25GbE SFP28; iDRAC.</w:t>
            </w:r>
          </w:p>
        </w:tc>
        <w:tc>
          <w:tcPr>
            <w:tcW w:type="dxa" w:w="4320"/>
            <w:vAlign w:val="top"/>
            <w:shd w:fill="F7F7F7"/>
          </w:tcPr>
          <w:p>
            <w:pPr>
              <w:spacing w:after="0" w:before="0" w:line="240" w:lineRule="auto"/>
            </w:pPr>
            <w:r>
              <w:rPr>
                <w:b w:val="0"/>
                <w:sz w:val="14"/>
              </w:rPr>
              <w:t>Repositorio de datasets IA, almacenamiento centralizado, histórico/documental, compartición SMB/NFS y soporte de almacenamiento para el piloto.</w:t>
            </w:r>
          </w:p>
        </w:tc>
      </w:tr>
      <w:tr>
        <w:tc>
          <w:tcPr>
            <w:tcW w:type="dxa" w:w="1800"/>
            <w:vAlign w:val="top"/>
          </w:tcPr>
          <w:p>
            <w:pPr>
              <w:spacing w:after="0" w:before="0" w:line="240" w:lineRule="auto"/>
            </w:pPr>
            <w:r>
              <w:rPr>
                <w:b/>
                <w:sz w:val="14"/>
              </w:rPr>
              <w:t>Switch Data Center</w:t>
            </w:r>
          </w:p>
        </w:tc>
        <w:tc>
          <w:tcPr>
            <w:tcW w:type="dxa" w:w="2880"/>
            <w:vAlign w:val="top"/>
          </w:tcPr>
          <w:p>
            <w:pPr>
              <w:spacing w:after="0" w:before="0" w:line="240" w:lineRule="auto"/>
            </w:pPr>
            <w:r>
              <w:rPr>
                <w:b w:val="0"/>
                <w:sz w:val="14"/>
              </w:rPr>
              <w:t>Dell PowerSwitch S5224F-ON</w:t>
            </w:r>
          </w:p>
        </w:tc>
        <w:tc>
          <w:tcPr>
            <w:tcW w:type="dxa" w:w="1080"/>
            <w:vAlign w:val="top"/>
          </w:tcPr>
          <w:p>
            <w:pPr>
              <w:spacing w:after="0" w:before="0" w:line="240" w:lineRule="auto"/>
            </w:pPr>
            <w:r>
              <w:rPr>
                <w:b w:val="0"/>
                <w:sz w:val="14"/>
              </w:rPr>
              <w:t>1</w:t>
            </w:r>
          </w:p>
        </w:tc>
        <w:tc>
          <w:tcPr>
            <w:tcW w:type="dxa" w:w="5760"/>
            <w:vAlign w:val="top"/>
          </w:tcPr>
          <w:p>
            <w:pPr>
              <w:spacing w:after="0" w:before="0" w:line="240" w:lineRule="auto"/>
            </w:pPr>
            <w:r>
              <w:rPr>
                <w:b w:val="0"/>
                <w:sz w:val="14"/>
              </w:rPr>
              <w:t>24 x puertos 25GbE SFP28; 4 x puertos 100GbE QSFP28; Dell SmartFabric OS10; L2/L3; VLAN/ACL/OSPF/BGP; fuentes redundantes; ópticos y DAC según oferta.</w:t>
            </w:r>
          </w:p>
        </w:tc>
        <w:tc>
          <w:tcPr>
            <w:tcW w:type="dxa" w:w="4320"/>
            <w:vAlign w:val="top"/>
          </w:tcPr>
          <w:p>
            <w:pPr>
              <w:spacing w:after="0" w:before="0" w:line="240" w:lineRule="auto"/>
            </w:pPr>
            <w:r>
              <w:rPr>
                <w:b w:val="0"/>
                <w:sz w:val="14"/>
              </w:rPr>
              <w:t>Conectividad ToR de alta velocidad entre servidores, NAS y data center.</w:t>
            </w:r>
          </w:p>
        </w:tc>
      </w:tr>
      <w:tr>
        <w:tc>
          <w:tcPr>
            <w:tcW w:type="dxa" w:w="1800"/>
            <w:vAlign w:val="top"/>
            <w:shd w:fill="F7F7F7"/>
          </w:tcPr>
          <w:p>
            <w:pPr>
              <w:spacing w:after="0" w:before="0" w:line="240" w:lineRule="auto"/>
            </w:pPr>
            <w:r>
              <w:rPr>
                <w:b/>
                <w:sz w:val="14"/>
              </w:rPr>
              <w:t>Estaciones de gestión</w:t>
            </w:r>
          </w:p>
        </w:tc>
        <w:tc>
          <w:tcPr>
            <w:tcW w:type="dxa" w:w="2880"/>
            <w:vAlign w:val="top"/>
            <w:shd w:fill="F7F7F7"/>
          </w:tcPr>
          <w:p>
            <w:pPr>
              <w:spacing w:after="0" w:before="0" w:line="240" w:lineRule="auto"/>
            </w:pPr>
            <w:r>
              <w:rPr>
                <w:b w:val="0"/>
                <w:sz w:val="14"/>
              </w:rPr>
              <w:t>Dell Pro Max 16 Plus Laptop</w:t>
            </w:r>
          </w:p>
        </w:tc>
        <w:tc>
          <w:tcPr>
            <w:tcW w:type="dxa" w:w="1080"/>
            <w:vAlign w:val="top"/>
            <w:shd w:fill="F7F7F7"/>
          </w:tcPr>
          <w:p>
            <w:pPr>
              <w:spacing w:after="0" w:before="0" w:line="240" w:lineRule="auto"/>
            </w:pPr>
            <w:r>
              <w:rPr>
                <w:b w:val="0"/>
                <w:sz w:val="14"/>
              </w:rPr>
              <w:t>2</w:t>
            </w:r>
          </w:p>
        </w:tc>
        <w:tc>
          <w:tcPr>
            <w:tcW w:type="dxa" w:w="5760"/>
            <w:vAlign w:val="top"/>
            <w:shd w:fill="F7F7F7"/>
          </w:tcPr>
          <w:p>
            <w:pPr>
              <w:spacing w:after="0" w:before="0" w:line="240" w:lineRule="auto"/>
            </w:pPr>
            <w:r>
              <w:rPr>
                <w:b w:val="0"/>
                <w:sz w:val="14"/>
              </w:rPr>
              <w:t>Intel Core Ultra 9; GPU NVIDIA RTX PRO 3000 Blackwell 12 GB GDDR7; 64 GB DDR5; SSD NVMe 1 TB; Windows 11 Pro; conectividad Thunderbolt; Wi-Fi 7.</w:t>
            </w:r>
          </w:p>
        </w:tc>
        <w:tc>
          <w:tcPr>
            <w:tcW w:type="dxa" w:w="4320"/>
            <w:vAlign w:val="top"/>
            <w:shd w:fill="F7F7F7"/>
          </w:tcPr>
          <w:p>
            <w:pPr>
              <w:spacing w:after="0" w:before="0" w:line="240" w:lineRule="auto"/>
            </w:pPr>
            <w:r>
              <w:rPr>
                <w:b w:val="0"/>
                <w:sz w:val="14"/>
              </w:rPr>
              <w:t>Gestión, análisis técnico, visualización, administración de plataforma y trabajo de usuarios designados por CEL.</w:t>
            </w:r>
          </w:p>
        </w:tc>
      </w:tr>
      <w:tr>
        <w:tc>
          <w:tcPr>
            <w:tcW w:type="dxa" w:w="1800"/>
            <w:vAlign w:val="top"/>
          </w:tcPr>
          <w:p>
            <w:pPr>
              <w:spacing w:after="0" w:before="0" w:line="240" w:lineRule="auto"/>
            </w:pPr>
            <w:r>
              <w:rPr>
                <w:b/>
                <w:sz w:val="14"/>
              </w:rPr>
              <w:t>Docking</w:t>
            </w:r>
          </w:p>
        </w:tc>
        <w:tc>
          <w:tcPr>
            <w:tcW w:type="dxa" w:w="2880"/>
            <w:vAlign w:val="top"/>
          </w:tcPr>
          <w:p>
            <w:pPr>
              <w:spacing w:after="0" w:before="0" w:line="240" w:lineRule="auto"/>
            </w:pPr>
            <w:r>
              <w:rPr>
                <w:b w:val="0"/>
                <w:sz w:val="14"/>
              </w:rPr>
              <w:t>Dell Pro Thunderbolt 4 - WD25TB4</w:t>
            </w:r>
          </w:p>
        </w:tc>
        <w:tc>
          <w:tcPr>
            <w:tcW w:type="dxa" w:w="1080"/>
            <w:vAlign w:val="top"/>
          </w:tcPr>
          <w:p>
            <w:pPr>
              <w:spacing w:after="0" w:before="0" w:line="240" w:lineRule="auto"/>
            </w:pPr>
            <w:r>
              <w:rPr>
                <w:b w:val="0"/>
                <w:sz w:val="14"/>
              </w:rPr>
              <w:t>2</w:t>
            </w:r>
          </w:p>
        </w:tc>
        <w:tc>
          <w:tcPr>
            <w:tcW w:type="dxa" w:w="5760"/>
            <w:vAlign w:val="top"/>
          </w:tcPr>
          <w:p>
            <w:pPr>
              <w:spacing w:after="0" w:before="0" w:line="240" w:lineRule="auto"/>
            </w:pPr>
            <w:r>
              <w:rPr>
                <w:b w:val="0"/>
                <w:sz w:val="14"/>
              </w:rPr>
              <w:t>Docking station para centralizar periféricos, energía y conectividad.</w:t>
            </w:r>
          </w:p>
        </w:tc>
        <w:tc>
          <w:tcPr>
            <w:tcW w:type="dxa" w:w="4320"/>
            <w:vAlign w:val="top"/>
          </w:tcPr>
          <w:p>
            <w:pPr>
              <w:spacing w:after="0" w:before="0" w:line="240" w:lineRule="auto"/>
            </w:pPr>
            <w:r>
              <w:rPr>
                <w:b w:val="0"/>
                <w:sz w:val="14"/>
              </w:rPr>
              <w:t>Soporte de estaciones de gestión.</w:t>
            </w:r>
          </w:p>
        </w:tc>
      </w:tr>
      <w:tr>
        <w:tc>
          <w:tcPr>
            <w:tcW w:type="dxa" w:w="1800"/>
            <w:vAlign w:val="top"/>
            <w:shd w:fill="F7F7F7"/>
          </w:tcPr>
          <w:p>
            <w:pPr>
              <w:spacing w:after="0" w:before="0" w:line="240" w:lineRule="auto"/>
            </w:pPr>
            <w:r>
              <w:rPr>
                <w:b/>
                <w:sz w:val="14"/>
              </w:rPr>
              <w:t>Monitores</w:t>
            </w:r>
          </w:p>
        </w:tc>
        <w:tc>
          <w:tcPr>
            <w:tcW w:type="dxa" w:w="2880"/>
            <w:vAlign w:val="top"/>
            <w:shd w:fill="F7F7F7"/>
          </w:tcPr>
          <w:p>
            <w:pPr>
              <w:spacing w:after="0" w:before="0" w:line="240" w:lineRule="auto"/>
            </w:pPr>
            <w:r>
              <w:rPr>
                <w:b w:val="0"/>
                <w:sz w:val="14"/>
              </w:rPr>
              <w:t>Dell 32 Plus 4K Monitor - S3225QS</w:t>
            </w:r>
          </w:p>
        </w:tc>
        <w:tc>
          <w:tcPr>
            <w:tcW w:type="dxa" w:w="1080"/>
            <w:vAlign w:val="top"/>
            <w:shd w:fill="F7F7F7"/>
          </w:tcPr>
          <w:p>
            <w:pPr>
              <w:spacing w:after="0" w:before="0" w:line="240" w:lineRule="auto"/>
            </w:pPr>
            <w:r>
              <w:rPr>
                <w:b w:val="0"/>
                <w:sz w:val="14"/>
              </w:rPr>
              <w:t>4</w:t>
            </w:r>
          </w:p>
        </w:tc>
        <w:tc>
          <w:tcPr>
            <w:tcW w:type="dxa" w:w="5760"/>
            <w:vAlign w:val="top"/>
            <w:shd w:fill="F7F7F7"/>
          </w:tcPr>
          <w:p>
            <w:pPr>
              <w:spacing w:after="0" w:before="0" w:line="240" w:lineRule="auto"/>
            </w:pPr>
            <w:r>
              <w:rPr>
                <w:b w:val="0"/>
                <w:sz w:val="14"/>
              </w:rPr>
              <w:t>Monitores 32 pulgadas 4K UHD; dos por estación de trabajo.</w:t>
            </w:r>
          </w:p>
        </w:tc>
        <w:tc>
          <w:tcPr>
            <w:tcW w:type="dxa" w:w="4320"/>
            <w:vAlign w:val="top"/>
            <w:shd w:fill="F7F7F7"/>
          </w:tcPr>
          <w:p>
            <w:pPr>
              <w:spacing w:after="0" w:before="0" w:line="240" w:lineRule="auto"/>
            </w:pPr>
            <w:r>
              <w:rPr>
                <w:b w:val="0"/>
                <w:sz w:val="14"/>
              </w:rPr>
              <w:t>Visualización extendida para operación, análisis y gestión.</w:t>
            </w:r>
          </w:p>
        </w:tc>
      </w:tr>
      <w:tr>
        <w:tc>
          <w:tcPr>
            <w:tcW w:type="dxa" w:w="1800"/>
            <w:vAlign w:val="top"/>
          </w:tcPr>
          <w:p>
            <w:pPr>
              <w:spacing w:after="0" w:before="0" w:line="240" w:lineRule="auto"/>
            </w:pPr>
            <w:r>
              <w:rPr>
                <w:b/>
                <w:sz w:val="14"/>
              </w:rPr>
              <w:t>Accesorios</w:t>
            </w:r>
          </w:p>
        </w:tc>
        <w:tc>
          <w:tcPr>
            <w:tcW w:type="dxa" w:w="2880"/>
            <w:vAlign w:val="top"/>
          </w:tcPr>
          <w:p>
            <w:pPr>
              <w:spacing w:after="0" w:before="0" w:line="240" w:lineRule="auto"/>
            </w:pPr>
            <w:r>
              <w:rPr>
                <w:b w:val="0"/>
                <w:sz w:val="14"/>
              </w:rPr>
              <w:t>Brazos duales MDA20 + teclado/mouse KM332W</w:t>
            </w:r>
          </w:p>
        </w:tc>
        <w:tc>
          <w:tcPr>
            <w:tcW w:type="dxa" w:w="1080"/>
            <w:vAlign w:val="top"/>
          </w:tcPr>
          <w:p>
            <w:pPr>
              <w:spacing w:after="0" w:before="0" w:line="240" w:lineRule="auto"/>
            </w:pPr>
            <w:r>
              <w:rPr>
                <w:b w:val="0"/>
                <w:sz w:val="14"/>
              </w:rPr>
              <w:t>2 sets</w:t>
            </w:r>
          </w:p>
        </w:tc>
        <w:tc>
          <w:tcPr>
            <w:tcW w:type="dxa" w:w="5760"/>
            <w:vAlign w:val="top"/>
          </w:tcPr>
          <w:p>
            <w:pPr>
              <w:spacing w:after="0" w:before="0" w:line="240" w:lineRule="auto"/>
            </w:pPr>
            <w:r>
              <w:rPr>
                <w:b w:val="0"/>
                <w:sz w:val="14"/>
              </w:rPr>
              <w:t>Brazos duales para monitores y periféricos Dell.</w:t>
            </w:r>
          </w:p>
        </w:tc>
        <w:tc>
          <w:tcPr>
            <w:tcW w:type="dxa" w:w="4320"/>
            <w:vAlign w:val="top"/>
          </w:tcPr>
          <w:p>
            <w:pPr>
              <w:spacing w:after="0" w:before="0" w:line="240" w:lineRule="auto"/>
            </w:pPr>
            <w:r>
              <w:rPr>
                <w:b w:val="0"/>
                <w:sz w:val="14"/>
              </w:rPr>
              <w:t>Ergonomía y productividad de estaciones.</w:t>
            </w:r>
          </w:p>
        </w:tc>
      </w:tr>
      <w:tr>
        <w:tc>
          <w:tcPr>
            <w:tcW w:type="dxa" w:w="1800"/>
            <w:vAlign w:val="top"/>
            <w:shd w:fill="F7F7F7"/>
          </w:tcPr>
          <w:p>
            <w:pPr>
              <w:spacing w:after="0" w:before="0" w:line="240" w:lineRule="auto"/>
            </w:pPr>
            <w:r>
              <w:rPr>
                <w:b/>
                <w:sz w:val="14"/>
              </w:rPr>
              <w:t>Soporte fabricante</w:t>
            </w:r>
          </w:p>
        </w:tc>
        <w:tc>
          <w:tcPr>
            <w:tcW w:type="dxa" w:w="2880"/>
            <w:vAlign w:val="top"/>
            <w:shd w:fill="F7F7F7"/>
          </w:tcPr>
          <w:p>
            <w:pPr>
              <w:spacing w:after="0" w:before="0" w:line="240" w:lineRule="auto"/>
            </w:pPr>
            <w:r>
              <w:rPr>
                <w:b w:val="0"/>
                <w:sz w:val="14"/>
              </w:rPr>
              <w:t>Dell ProSupport Plus Mission Critical</w:t>
            </w:r>
          </w:p>
        </w:tc>
        <w:tc>
          <w:tcPr>
            <w:tcW w:type="dxa" w:w="1080"/>
            <w:vAlign w:val="top"/>
            <w:shd w:fill="F7F7F7"/>
          </w:tcPr>
          <w:p>
            <w:pPr>
              <w:spacing w:after="0" w:before="0" w:line="240" w:lineRule="auto"/>
            </w:pPr>
            <w:r>
              <w:rPr>
                <w:b w:val="0"/>
                <w:sz w:val="14"/>
              </w:rPr>
              <w:t>3 años</w:t>
            </w:r>
          </w:p>
        </w:tc>
        <w:tc>
          <w:tcPr>
            <w:tcW w:type="dxa" w:w="5760"/>
            <w:vAlign w:val="top"/>
            <w:shd w:fill="F7F7F7"/>
          </w:tcPr>
          <w:p>
            <w:pPr>
              <w:spacing w:after="0" w:before="0" w:line="240" w:lineRule="auto"/>
            </w:pPr>
            <w:r>
              <w:rPr>
                <w:b w:val="0"/>
                <w:sz w:val="14"/>
              </w:rPr>
              <w:t>Soporte técnico especializado 24x7, diagnóstico remoto, respuesta según SLA, reemplazo de partes críticas, herramientas Dell AI Ops/Secure Connect/TechDirect/MyService360.</w:t>
            </w:r>
          </w:p>
        </w:tc>
        <w:tc>
          <w:tcPr>
            <w:tcW w:type="dxa" w:w="4320"/>
            <w:vAlign w:val="top"/>
            <w:shd w:fill="F7F7F7"/>
          </w:tcPr>
          <w:p>
            <w:pPr>
              <w:spacing w:after="0" w:before="0" w:line="240" w:lineRule="auto"/>
            </w:pPr>
            <w:r>
              <w:rPr>
                <w:b w:val="0"/>
                <w:sz w:val="14"/>
              </w:rPr>
              <w:t>Continuidad y soporte de infraestructura; responsabilidad de CEL/proveedor.</w:t>
            </w:r>
          </w:p>
        </w:tc>
      </w:tr>
      <w:tr>
        <w:tc>
          <w:tcPr>
            <w:tcW w:type="dxa" w:w="1800"/>
            <w:vAlign w:val="top"/>
          </w:tcPr>
          <w:p>
            <w:pPr>
              <w:spacing w:after="0" w:before="0" w:line="240" w:lineRule="auto"/>
            </w:pPr>
            <w:r>
              <w:rPr>
                <w:b/>
                <w:sz w:val="14"/>
              </w:rPr>
              <w:t>Soporte/licencia GPU</w:t>
            </w:r>
          </w:p>
        </w:tc>
        <w:tc>
          <w:tcPr>
            <w:tcW w:type="dxa" w:w="2880"/>
            <w:vAlign w:val="top"/>
          </w:tcPr>
          <w:p>
            <w:pPr>
              <w:spacing w:after="0" w:before="0" w:line="240" w:lineRule="auto"/>
            </w:pPr>
            <w:r>
              <w:rPr>
                <w:b w:val="0"/>
                <w:sz w:val="14"/>
              </w:rPr>
              <w:t>NVIDIA AI Enterprise</w:t>
            </w:r>
          </w:p>
        </w:tc>
        <w:tc>
          <w:tcPr>
            <w:tcW w:type="dxa" w:w="1080"/>
            <w:vAlign w:val="top"/>
          </w:tcPr>
          <w:p>
            <w:pPr>
              <w:spacing w:after="0" w:before="0" w:line="240" w:lineRule="auto"/>
            </w:pPr>
            <w:r>
              <w:rPr>
                <w:b w:val="0"/>
                <w:sz w:val="14"/>
              </w:rPr>
              <w:t>3 años por GPU</w:t>
            </w:r>
          </w:p>
        </w:tc>
        <w:tc>
          <w:tcPr>
            <w:tcW w:type="dxa" w:w="5760"/>
            <w:vAlign w:val="top"/>
          </w:tcPr>
          <w:p>
            <w:pPr>
              <w:spacing w:after="0" w:before="0" w:line="240" w:lineRule="auto"/>
            </w:pPr>
            <w:r>
              <w:rPr>
                <w:b w:val="0"/>
                <w:sz w:val="14"/>
              </w:rPr>
              <w:t>Subscription y soporte 24x7 por GPU; frameworks optimizados, contenedores certificados, bibliotecas aceleradas y soporte especializado.</w:t>
            </w:r>
          </w:p>
        </w:tc>
        <w:tc>
          <w:tcPr>
            <w:tcW w:type="dxa" w:w="4320"/>
            <w:vAlign w:val="top"/>
          </w:tcPr>
          <w:p>
            <w:pPr>
              <w:spacing w:after="0" w:before="0" w:line="240" w:lineRule="auto"/>
            </w:pPr>
            <w:r>
              <w:rPr>
                <w:b w:val="0"/>
                <w:sz w:val="14"/>
              </w:rPr>
              <w:t>Habilitador de entorno acelerado NVIDIA; administración/licenciamiento bajo CEL/proveedor.</w:t>
            </w:r>
          </w:p>
        </w:tc>
      </w:tr>
      <w:tr>
        <w:tc>
          <w:tcPr>
            <w:tcW w:type="dxa" w:w="1800"/>
            <w:vAlign w:val="top"/>
            <w:shd w:fill="F7F7F7"/>
          </w:tcPr>
          <w:p>
            <w:pPr>
              <w:spacing w:after="0" w:before="0" w:line="240" w:lineRule="auto"/>
            </w:pPr>
            <w:r>
              <w:rPr>
                <w:b/>
                <w:sz w:val="14"/>
              </w:rPr>
              <w:t>Acompañamiento técnico</w:t>
            </w:r>
          </w:p>
        </w:tc>
        <w:tc>
          <w:tcPr>
            <w:tcW w:type="dxa" w:w="2880"/>
            <w:vAlign w:val="top"/>
            <w:shd w:fill="F7F7F7"/>
          </w:tcPr>
          <w:p>
            <w:pPr>
              <w:spacing w:after="0" w:before="0" w:line="240" w:lineRule="auto"/>
            </w:pPr>
            <w:r>
              <w:rPr>
                <w:b w:val="0"/>
                <w:sz w:val="14"/>
              </w:rPr>
              <w:t>TechCircle</w:t>
            </w:r>
          </w:p>
        </w:tc>
        <w:tc>
          <w:tcPr>
            <w:tcW w:type="dxa" w:w="1080"/>
            <w:vAlign w:val="top"/>
            <w:shd w:fill="F7F7F7"/>
          </w:tcPr>
          <w:p>
            <w:pPr>
              <w:spacing w:after="0" w:before="0" w:line="240" w:lineRule="auto"/>
            </w:pPr>
            <w:r>
              <w:rPr>
                <w:b w:val="0"/>
                <w:sz w:val="14"/>
              </w:rPr>
              <w:t>30 horas remotas</w:t>
            </w:r>
          </w:p>
        </w:tc>
        <w:tc>
          <w:tcPr>
            <w:tcW w:type="dxa" w:w="5760"/>
            <w:vAlign w:val="top"/>
            <w:shd w:fill="F7F7F7"/>
          </w:tcPr>
          <w:p>
            <w:pPr>
              <w:spacing w:after="0" w:before="0" w:line="240" w:lineRule="auto"/>
            </w:pPr>
            <w:r>
              <w:rPr>
                <w:b w:val="0"/>
                <w:sz w:val="14"/>
              </w:rPr>
              <w:t>Asistencia especializada para evolución, revisión de arquitectura, recomendaciones de crecimiento, desempeño inicial, ajustes de red/almacenamiento/virtualización y buenas prácticas de IA/datos.</w:t>
            </w:r>
          </w:p>
        </w:tc>
        <w:tc>
          <w:tcPr>
            <w:tcW w:type="dxa" w:w="4320"/>
            <w:vAlign w:val="top"/>
            <w:shd w:fill="F7F7F7"/>
          </w:tcPr>
          <w:p>
            <w:pPr>
              <w:spacing w:after="0" w:before="0" w:line="240" w:lineRule="auto"/>
            </w:pPr>
            <w:r>
              <w:rPr>
                <w:b w:val="0"/>
                <w:sz w:val="14"/>
              </w:rPr>
              <w:t>Recurso de soporte de CEL/proveedor; no sustituye obligaciones de la Consultora ni las amplía.</w:t>
            </w:r>
          </w:p>
        </w:tc>
      </w:tr>
    </w:tbl>
    <w:p/>
    <w:p>
      <w:pPr>
        <w:pStyle w:val="Heading1"/>
      </w:pPr>
      <w:r>
        <w:t>4. Nuevo BOM de software, runtime y servicios</w:t>
      </w:r>
    </w:p>
    <w:p>
      <w:r>
        <w:t>La siguiente tabla separa el software/plataforma provisto o habilitado por la adquisición de CEL de los componentes funcionales que la Consultora configura, desarrolla o utiliza para el piloto. Esta separación evita que herramientas base de data center, licenciamiento enterprise o administración continua se confundan con entregables del plan piloto.</w:t>
      </w:r>
    </w:p>
    <w:tbl>
      <w:tblPr>
        <w:tblStyle w:val="TableGrid"/>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851"/>
        <w:gridCol w:w="2851"/>
        <w:gridCol w:w="2851"/>
        <w:gridCol w:w="2851"/>
        <w:gridCol w:w="2851"/>
      </w:tblGrid>
      <w:tr>
        <w:trPr>
          <w:tblHeader w:val="true"/>
        </w:trPr>
        <w:tc>
          <w:tcPr>
            <w:tcW w:type="dxa" w:w="2016"/>
            <w:vAlign w:val="top"/>
            <w:shd w:fill="1F4E79"/>
          </w:tcPr>
          <w:p>
            <w:pPr>
              <w:spacing w:after="0" w:before="0" w:line="240" w:lineRule="auto"/>
            </w:pPr>
            <w:r>
              <w:rPr>
                <w:b/>
                <w:color w:val="FFFFFF"/>
                <w:sz w:val="14"/>
              </w:rPr>
              <w:t>Categoría</w:t>
            </w:r>
          </w:p>
        </w:tc>
        <w:tc>
          <w:tcPr>
            <w:tcW w:type="dxa" w:w="2880"/>
            <w:vAlign w:val="top"/>
            <w:shd w:fill="1F4E79"/>
          </w:tcPr>
          <w:p>
            <w:pPr>
              <w:spacing w:after="0" w:before="0" w:line="240" w:lineRule="auto"/>
            </w:pPr>
            <w:r>
              <w:rPr>
                <w:b/>
                <w:color w:val="FFFFFF"/>
                <w:sz w:val="14"/>
              </w:rPr>
              <w:t>Componente</w:t>
            </w:r>
          </w:p>
        </w:tc>
        <w:tc>
          <w:tcPr>
            <w:tcW w:type="dxa" w:w="4608"/>
            <w:vAlign w:val="top"/>
            <w:shd w:fill="1F4E79"/>
          </w:tcPr>
          <w:p>
            <w:pPr>
              <w:spacing w:after="0" w:before="0" w:line="240" w:lineRule="auto"/>
            </w:pPr>
            <w:r>
              <w:rPr>
                <w:b/>
                <w:color w:val="FFFFFF"/>
                <w:sz w:val="14"/>
              </w:rPr>
              <w:t>Función</w:t>
            </w:r>
          </w:p>
        </w:tc>
        <w:tc>
          <w:tcPr>
            <w:tcW w:type="dxa" w:w="3168"/>
            <w:vAlign w:val="top"/>
            <w:shd w:fill="1F4E79"/>
          </w:tcPr>
          <w:p>
            <w:pPr>
              <w:spacing w:after="0" w:before="0" w:line="240" w:lineRule="auto"/>
            </w:pPr>
            <w:r>
              <w:rPr>
                <w:b/>
                <w:color w:val="FFFFFF"/>
                <w:sz w:val="14"/>
              </w:rPr>
              <w:t>Responsable primario</w:t>
            </w:r>
          </w:p>
        </w:tc>
        <w:tc>
          <w:tcPr>
            <w:tcW w:type="dxa" w:w="4320"/>
            <w:vAlign w:val="top"/>
            <w:shd w:fill="1F4E79"/>
          </w:tcPr>
          <w:p>
            <w:pPr>
              <w:spacing w:after="0" w:before="0" w:line="240" w:lineRule="auto"/>
            </w:pPr>
            <w:r>
              <w:rPr>
                <w:b/>
                <w:color w:val="FFFFFF"/>
                <w:sz w:val="14"/>
              </w:rPr>
              <w:t>Implicación para Fase 0</w:t>
            </w:r>
          </w:p>
        </w:tc>
      </w:tr>
      <w:tr>
        <w:tc>
          <w:tcPr>
            <w:tcW w:type="dxa" w:w="2016"/>
            <w:vAlign w:val="top"/>
            <w:shd w:fill="F7F7F7"/>
          </w:tcPr>
          <w:p>
            <w:pPr>
              <w:spacing w:after="0" w:before="0" w:line="240" w:lineRule="auto"/>
            </w:pPr>
            <w:r>
              <w:rPr>
                <w:b/>
                <w:sz w:val="14"/>
              </w:rPr>
              <w:t>Base provista por plataforma</w:t>
            </w:r>
          </w:p>
        </w:tc>
        <w:tc>
          <w:tcPr>
            <w:tcW w:type="dxa" w:w="2880"/>
            <w:vAlign w:val="top"/>
            <w:shd w:fill="F7F7F7"/>
          </w:tcPr>
          <w:p>
            <w:pPr>
              <w:spacing w:after="0" w:before="0" w:line="240" w:lineRule="auto"/>
            </w:pPr>
            <w:r>
              <w:rPr>
                <w:b w:val="0"/>
                <w:sz w:val="14"/>
              </w:rPr>
              <w:t>Ubuntu Server 24.04 LTS</w:t>
            </w:r>
          </w:p>
        </w:tc>
        <w:tc>
          <w:tcPr>
            <w:tcW w:type="dxa" w:w="4608"/>
            <w:vAlign w:val="top"/>
            <w:shd w:fill="F7F7F7"/>
          </w:tcPr>
          <w:p>
            <w:pPr>
              <w:spacing w:after="0" w:before="0" w:line="240" w:lineRule="auto"/>
            </w:pPr>
            <w:r>
              <w:rPr>
                <w:b w:val="0"/>
                <w:sz w:val="14"/>
              </w:rPr>
              <w:t>Instalación base contemplada en actividades de proveedor para servidores Linux según oferta.</w:t>
            </w:r>
          </w:p>
        </w:tc>
        <w:tc>
          <w:tcPr>
            <w:tcW w:type="dxa" w:w="3168"/>
            <w:vAlign w:val="top"/>
            <w:shd w:fill="F7F7F7"/>
          </w:tcPr>
          <w:p>
            <w:pPr>
              <w:spacing w:after="0" w:before="0" w:line="240" w:lineRule="auto"/>
            </w:pPr>
            <w:r>
              <w:rPr>
                <w:b w:val="0"/>
                <w:sz w:val="14"/>
              </w:rPr>
              <w:t>CEL / Martinexsa / Dell</w:t>
            </w:r>
          </w:p>
        </w:tc>
        <w:tc>
          <w:tcPr>
            <w:tcW w:type="dxa" w:w="4320"/>
            <w:vAlign w:val="top"/>
            <w:shd w:fill="F7F7F7"/>
          </w:tcPr>
          <w:p>
            <w:pPr>
              <w:spacing w:after="0" w:before="0" w:line="240" w:lineRule="auto"/>
            </w:pPr>
            <w:r>
              <w:rPr>
                <w:b w:val="0"/>
                <w:sz w:val="14"/>
              </w:rPr>
              <w:t>Debe estar instalado, actualizado, accesible y documentado antes de la certificación funcional.</w:t>
            </w:r>
          </w:p>
        </w:tc>
      </w:tr>
      <w:tr>
        <w:tc>
          <w:tcPr>
            <w:tcW w:type="dxa" w:w="2016"/>
            <w:vAlign w:val="top"/>
          </w:tcPr>
          <w:p>
            <w:pPr>
              <w:spacing w:after="0" w:before="0" w:line="240" w:lineRule="auto"/>
            </w:pPr>
            <w:r>
              <w:rPr>
                <w:b/>
                <w:sz w:val="14"/>
              </w:rPr>
              <w:t>Base provista por plataforma</w:t>
            </w:r>
          </w:p>
        </w:tc>
        <w:tc>
          <w:tcPr>
            <w:tcW w:type="dxa" w:w="2880"/>
            <w:vAlign w:val="top"/>
          </w:tcPr>
          <w:p>
            <w:pPr>
              <w:spacing w:after="0" w:before="0" w:line="240" w:lineRule="auto"/>
            </w:pPr>
            <w:r>
              <w:rPr>
                <w:b w:val="0"/>
                <w:sz w:val="14"/>
              </w:rPr>
              <w:t>Docker Engine + Docker Compose</w:t>
            </w:r>
          </w:p>
        </w:tc>
        <w:tc>
          <w:tcPr>
            <w:tcW w:type="dxa" w:w="4608"/>
            <w:vAlign w:val="top"/>
          </w:tcPr>
          <w:p>
            <w:pPr>
              <w:spacing w:after="0" w:before="0" w:line="240" w:lineRule="auto"/>
            </w:pPr>
            <w:r>
              <w:rPr>
                <w:b w:val="0"/>
                <w:sz w:val="14"/>
              </w:rPr>
              <w:t>Runtime de contenedores instalado en el servidor ML/IA y/o host designado.</w:t>
            </w:r>
          </w:p>
        </w:tc>
        <w:tc>
          <w:tcPr>
            <w:tcW w:type="dxa" w:w="3168"/>
            <w:vAlign w:val="top"/>
          </w:tcPr>
          <w:p>
            <w:pPr>
              <w:spacing w:after="0" w:before="0" w:line="240" w:lineRule="auto"/>
            </w:pPr>
            <w:r>
              <w:rPr>
                <w:b w:val="0"/>
                <w:sz w:val="14"/>
              </w:rPr>
              <w:t>CEL / Martinexsa / Dell</w:t>
            </w:r>
          </w:p>
        </w:tc>
        <w:tc>
          <w:tcPr>
            <w:tcW w:type="dxa" w:w="4320"/>
            <w:vAlign w:val="top"/>
          </w:tcPr>
          <w:p>
            <w:pPr>
              <w:spacing w:after="0" w:before="0" w:line="240" w:lineRule="auto"/>
            </w:pPr>
            <w:r>
              <w:rPr>
                <w:b w:val="0"/>
                <w:sz w:val="14"/>
              </w:rPr>
              <w:t>La Consultora puede usarlo para desplegar Mage y servicios del piloto; administración base queda fuera.</w:t>
            </w:r>
          </w:p>
        </w:tc>
      </w:tr>
      <w:tr>
        <w:tc>
          <w:tcPr>
            <w:tcW w:type="dxa" w:w="2016"/>
            <w:vAlign w:val="top"/>
            <w:shd w:fill="F7F7F7"/>
          </w:tcPr>
          <w:p>
            <w:pPr>
              <w:spacing w:after="0" w:before="0" w:line="240" w:lineRule="auto"/>
            </w:pPr>
            <w:r>
              <w:rPr>
                <w:b/>
                <w:sz w:val="14"/>
              </w:rPr>
              <w:t>Base provista por plataforma</w:t>
            </w:r>
          </w:p>
        </w:tc>
        <w:tc>
          <w:tcPr>
            <w:tcW w:type="dxa" w:w="2880"/>
            <w:vAlign w:val="top"/>
            <w:shd w:fill="F7F7F7"/>
          </w:tcPr>
          <w:p>
            <w:pPr>
              <w:spacing w:after="0" w:before="0" w:line="240" w:lineRule="auto"/>
            </w:pPr>
            <w:r>
              <w:rPr>
                <w:b w:val="0"/>
                <w:sz w:val="14"/>
              </w:rPr>
              <w:t>Windows Server 2025 Standard</w:t>
            </w:r>
          </w:p>
        </w:tc>
        <w:tc>
          <w:tcPr>
            <w:tcW w:type="dxa" w:w="4608"/>
            <w:vAlign w:val="top"/>
            <w:shd w:fill="F7F7F7"/>
          </w:tcPr>
          <w:p>
            <w:pPr>
              <w:spacing w:after="0" w:before="0" w:line="240" w:lineRule="auto"/>
            </w:pPr>
            <w:r>
              <w:rPr>
                <w:b w:val="0"/>
                <w:sz w:val="14"/>
              </w:rPr>
              <w:t>Sistema operativo del NAS/File Server R570.</w:t>
            </w:r>
          </w:p>
        </w:tc>
        <w:tc>
          <w:tcPr>
            <w:tcW w:type="dxa" w:w="3168"/>
            <w:vAlign w:val="top"/>
            <w:shd w:fill="F7F7F7"/>
          </w:tcPr>
          <w:p>
            <w:pPr>
              <w:spacing w:after="0" w:before="0" w:line="240" w:lineRule="auto"/>
            </w:pPr>
            <w:r>
              <w:rPr>
                <w:b w:val="0"/>
                <w:sz w:val="14"/>
              </w:rPr>
              <w:t>CEL / Martinexsa / Dell</w:t>
            </w:r>
          </w:p>
        </w:tc>
        <w:tc>
          <w:tcPr>
            <w:tcW w:type="dxa" w:w="4320"/>
            <w:vAlign w:val="top"/>
            <w:shd w:fill="F7F7F7"/>
          </w:tcPr>
          <w:p>
            <w:pPr>
              <w:spacing w:after="0" w:before="0" w:line="240" w:lineRule="auto"/>
            </w:pPr>
            <w:r>
              <w:rPr>
                <w:b w:val="0"/>
                <w:sz w:val="14"/>
              </w:rPr>
              <w:t>Habilita SMB/NFS y servicios de archivo; su administración no corresponde a la Consultora.</w:t>
            </w:r>
          </w:p>
        </w:tc>
      </w:tr>
      <w:tr>
        <w:tc>
          <w:tcPr>
            <w:tcW w:type="dxa" w:w="2016"/>
            <w:vAlign w:val="top"/>
          </w:tcPr>
          <w:p>
            <w:pPr>
              <w:spacing w:after="0" w:before="0" w:line="240" w:lineRule="auto"/>
            </w:pPr>
            <w:r>
              <w:rPr>
                <w:b/>
                <w:sz w:val="14"/>
              </w:rPr>
              <w:t>Base provista por plataforma</w:t>
            </w:r>
          </w:p>
        </w:tc>
        <w:tc>
          <w:tcPr>
            <w:tcW w:type="dxa" w:w="2880"/>
            <w:vAlign w:val="top"/>
          </w:tcPr>
          <w:p>
            <w:pPr>
              <w:spacing w:after="0" w:before="0" w:line="240" w:lineRule="auto"/>
            </w:pPr>
            <w:r>
              <w:rPr>
                <w:b w:val="0"/>
                <w:sz w:val="14"/>
              </w:rPr>
              <w:t>Dell SmartFabric OS10</w:t>
            </w:r>
          </w:p>
        </w:tc>
        <w:tc>
          <w:tcPr>
            <w:tcW w:type="dxa" w:w="4608"/>
            <w:vAlign w:val="top"/>
          </w:tcPr>
          <w:p>
            <w:pPr>
              <w:spacing w:after="0" w:before="0" w:line="240" w:lineRule="auto"/>
            </w:pPr>
            <w:r>
              <w:rPr>
                <w:b w:val="0"/>
                <w:sz w:val="14"/>
              </w:rPr>
              <w:t>Sistema operativo del switch S5224F-ON.</w:t>
            </w:r>
          </w:p>
        </w:tc>
        <w:tc>
          <w:tcPr>
            <w:tcW w:type="dxa" w:w="3168"/>
            <w:vAlign w:val="top"/>
          </w:tcPr>
          <w:p>
            <w:pPr>
              <w:spacing w:after="0" w:before="0" w:line="240" w:lineRule="auto"/>
            </w:pPr>
            <w:r>
              <w:rPr>
                <w:b w:val="0"/>
                <w:sz w:val="14"/>
              </w:rPr>
              <w:t>CEL / Martinexsa / Dell</w:t>
            </w:r>
          </w:p>
        </w:tc>
        <w:tc>
          <w:tcPr>
            <w:tcW w:type="dxa" w:w="4320"/>
            <w:vAlign w:val="top"/>
          </w:tcPr>
          <w:p>
            <w:pPr>
              <w:spacing w:after="0" w:before="0" w:line="240" w:lineRule="auto"/>
            </w:pPr>
            <w:r>
              <w:rPr>
                <w:b w:val="0"/>
                <w:sz w:val="14"/>
              </w:rPr>
              <w:t>Configuración de red, VLANs, ACLs y routing bajo CEL/proveedor.</w:t>
            </w:r>
          </w:p>
        </w:tc>
      </w:tr>
      <w:tr>
        <w:tc>
          <w:tcPr>
            <w:tcW w:type="dxa" w:w="2016"/>
            <w:vAlign w:val="top"/>
            <w:shd w:fill="F7F7F7"/>
          </w:tcPr>
          <w:p>
            <w:pPr>
              <w:spacing w:after="0" w:before="0" w:line="240" w:lineRule="auto"/>
            </w:pPr>
            <w:r>
              <w:rPr>
                <w:b/>
                <w:sz w:val="14"/>
              </w:rPr>
              <w:t>Base provista por plataforma</w:t>
            </w:r>
          </w:p>
        </w:tc>
        <w:tc>
          <w:tcPr>
            <w:tcW w:type="dxa" w:w="2880"/>
            <w:vAlign w:val="top"/>
            <w:shd w:fill="F7F7F7"/>
          </w:tcPr>
          <w:p>
            <w:pPr>
              <w:spacing w:after="0" w:before="0" w:line="240" w:lineRule="auto"/>
            </w:pPr>
            <w:r>
              <w:rPr>
                <w:b w:val="0"/>
                <w:sz w:val="14"/>
              </w:rPr>
              <w:t>iDRAC Enterprise</w:t>
            </w:r>
          </w:p>
        </w:tc>
        <w:tc>
          <w:tcPr>
            <w:tcW w:type="dxa" w:w="4608"/>
            <w:vAlign w:val="top"/>
            <w:shd w:fill="F7F7F7"/>
          </w:tcPr>
          <w:p>
            <w:pPr>
              <w:spacing w:after="0" w:before="0" w:line="240" w:lineRule="auto"/>
            </w:pPr>
            <w:r>
              <w:rPr>
                <w:b w:val="0"/>
                <w:sz w:val="14"/>
              </w:rPr>
              <w:t>Administración remota de servidores Dell.</w:t>
            </w:r>
          </w:p>
        </w:tc>
        <w:tc>
          <w:tcPr>
            <w:tcW w:type="dxa" w:w="3168"/>
            <w:vAlign w:val="top"/>
            <w:shd w:fill="F7F7F7"/>
          </w:tcPr>
          <w:p>
            <w:pPr>
              <w:spacing w:after="0" w:before="0" w:line="240" w:lineRule="auto"/>
            </w:pPr>
            <w:r>
              <w:rPr>
                <w:b w:val="0"/>
                <w:sz w:val="14"/>
              </w:rPr>
              <w:t>CEL / Martinexsa / Dell</w:t>
            </w:r>
          </w:p>
        </w:tc>
        <w:tc>
          <w:tcPr>
            <w:tcW w:type="dxa" w:w="4320"/>
            <w:vAlign w:val="top"/>
            <w:shd w:fill="F7F7F7"/>
          </w:tcPr>
          <w:p>
            <w:pPr>
              <w:spacing w:after="0" w:before="0" w:line="240" w:lineRule="auto"/>
            </w:pPr>
            <w:r>
              <w:rPr>
                <w:b w:val="0"/>
                <w:sz w:val="14"/>
              </w:rPr>
              <w:t>Credenciales/uso restringido a TI/proveedor salvo que CEL otorgue acceso específico.</w:t>
            </w:r>
          </w:p>
        </w:tc>
      </w:tr>
      <w:tr>
        <w:tc>
          <w:tcPr>
            <w:tcW w:type="dxa" w:w="2016"/>
            <w:vAlign w:val="top"/>
          </w:tcPr>
          <w:p>
            <w:pPr>
              <w:spacing w:after="0" w:before="0" w:line="240" w:lineRule="auto"/>
            </w:pPr>
            <w:r>
              <w:rPr>
                <w:b/>
                <w:sz w:val="14"/>
              </w:rPr>
              <w:t>Base provista por plataforma</w:t>
            </w:r>
          </w:p>
        </w:tc>
        <w:tc>
          <w:tcPr>
            <w:tcW w:type="dxa" w:w="2880"/>
            <w:vAlign w:val="top"/>
          </w:tcPr>
          <w:p>
            <w:pPr>
              <w:spacing w:after="0" w:before="0" w:line="240" w:lineRule="auto"/>
            </w:pPr>
            <w:r>
              <w:rPr>
                <w:b w:val="0"/>
                <w:sz w:val="14"/>
              </w:rPr>
              <w:t>NVIDIA AI Enterprise + soporte 24x7</w:t>
            </w:r>
          </w:p>
        </w:tc>
        <w:tc>
          <w:tcPr>
            <w:tcW w:type="dxa" w:w="4608"/>
            <w:vAlign w:val="top"/>
          </w:tcPr>
          <w:p>
            <w:pPr>
              <w:spacing w:after="0" w:before="0" w:line="240" w:lineRule="auto"/>
            </w:pPr>
            <w:r>
              <w:rPr>
                <w:b w:val="0"/>
                <w:sz w:val="14"/>
              </w:rPr>
              <w:t>Licencia/soporte por GPU para uso enterprise de aceleración NVIDIA.</w:t>
            </w:r>
          </w:p>
        </w:tc>
        <w:tc>
          <w:tcPr>
            <w:tcW w:type="dxa" w:w="3168"/>
            <w:vAlign w:val="top"/>
          </w:tcPr>
          <w:p>
            <w:pPr>
              <w:spacing w:after="0" w:before="0" w:line="240" w:lineRule="auto"/>
            </w:pPr>
            <w:r>
              <w:rPr>
                <w:b w:val="0"/>
                <w:sz w:val="14"/>
              </w:rPr>
              <w:t>CEL / Martinexsa / Dell / NVIDIA</w:t>
            </w:r>
          </w:p>
        </w:tc>
        <w:tc>
          <w:tcPr>
            <w:tcW w:type="dxa" w:w="4320"/>
            <w:vAlign w:val="top"/>
          </w:tcPr>
          <w:p>
            <w:pPr>
              <w:spacing w:after="0" w:before="0" w:line="240" w:lineRule="auto"/>
            </w:pPr>
            <w:r>
              <w:rPr>
                <w:b w:val="0"/>
                <w:sz w:val="14"/>
              </w:rPr>
              <w:t>Debe confirmarse activación, drivers, CUDA/container runtime y acceso NGC si aplica.</w:t>
            </w:r>
          </w:p>
        </w:tc>
      </w:tr>
      <w:tr>
        <w:tc>
          <w:tcPr>
            <w:tcW w:type="dxa" w:w="2016"/>
            <w:vAlign w:val="top"/>
            <w:shd w:fill="F7F7F7"/>
          </w:tcPr>
          <w:p>
            <w:pPr>
              <w:spacing w:after="0" w:before="0" w:line="240" w:lineRule="auto"/>
            </w:pPr>
            <w:r>
              <w:rPr>
                <w:b/>
                <w:sz w:val="14"/>
              </w:rPr>
              <w:t>Base provista por plataforma</w:t>
            </w:r>
          </w:p>
        </w:tc>
        <w:tc>
          <w:tcPr>
            <w:tcW w:type="dxa" w:w="2880"/>
            <w:vAlign w:val="top"/>
            <w:shd w:fill="F7F7F7"/>
          </w:tcPr>
          <w:p>
            <w:pPr>
              <w:spacing w:after="0" w:before="0" w:line="240" w:lineRule="auto"/>
            </w:pPr>
            <w:r>
              <w:rPr>
                <w:b w:val="0"/>
                <w:sz w:val="14"/>
              </w:rPr>
              <w:t>Dell AI Ops, Secure Connect Gateway, TechDirect, MyService360</w:t>
            </w:r>
          </w:p>
        </w:tc>
        <w:tc>
          <w:tcPr>
            <w:tcW w:type="dxa" w:w="4608"/>
            <w:vAlign w:val="top"/>
            <w:shd w:fill="F7F7F7"/>
          </w:tcPr>
          <w:p>
            <w:pPr>
              <w:spacing w:after="0" w:before="0" w:line="240" w:lineRule="auto"/>
            </w:pPr>
            <w:r>
              <w:rPr>
                <w:b w:val="0"/>
                <w:sz w:val="14"/>
              </w:rPr>
              <w:t>Herramientas de soporte/telemetría asociadas a Dell ProSupport.</w:t>
            </w:r>
          </w:p>
        </w:tc>
        <w:tc>
          <w:tcPr>
            <w:tcW w:type="dxa" w:w="3168"/>
            <w:vAlign w:val="top"/>
            <w:shd w:fill="F7F7F7"/>
          </w:tcPr>
          <w:p>
            <w:pPr>
              <w:spacing w:after="0" w:before="0" w:line="240" w:lineRule="auto"/>
            </w:pPr>
            <w:r>
              <w:rPr>
                <w:b w:val="0"/>
                <w:sz w:val="14"/>
              </w:rPr>
              <w:t>CEL / Dell / Martinexsa</w:t>
            </w:r>
          </w:p>
        </w:tc>
        <w:tc>
          <w:tcPr>
            <w:tcW w:type="dxa" w:w="4320"/>
            <w:vAlign w:val="top"/>
            <w:shd w:fill="F7F7F7"/>
          </w:tcPr>
          <w:p>
            <w:pPr>
              <w:spacing w:after="0" w:before="0" w:line="240" w:lineRule="auto"/>
            </w:pPr>
            <w:r>
              <w:rPr>
                <w:b w:val="0"/>
                <w:sz w:val="14"/>
              </w:rPr>
              <w:t>Monitoreo/soporte de fabricante; no es monitoreo operativo del pipeline del piloto.</w:t>
            </w:r>
          </w:p>
        </w:tc>
      </w:tr>
      <w:tr>
        <w:tc>
          <w:tcPr>
            <w:tcW w:type="dxa" w:w="2016"/>
            <w:vAlign w:val="top"/>
          </w:tcPr>
          <w:p>
            <w:pPr>
              <w:spacing w:after="0" w:before="0" w:line="240" w:lineRule="auto"/>
            </w:pPr>
            <w:r>
              <w:rPr>
                <w:b/>
                <w:sz w:val="14"/>
              </w:rPr>
              <w:t>Stack funcional del piloto</w:t>
            </w:r>
          </w:p>
        </w:tc>
        <w:tc>
          <w:tcPr>
            <w:tcW w:type="dxa" w:w="2880"/>
            <w:vAlign w:val="top"/>
          </w:tcPr>
          <w:p>
            <w:pPr>
              <w:spacing w:after="0" w:before="0" w:line="240" w:lineRule="auto"/>
            </w:pPr>
            <w:r>
              <w:rPr>
                <w:b w:val="0"/>
                <w:sz w:val="14"/>
              </w:rPr>
              <w:t>Mage</w:t>
            </w:r>
          </w:p>
        </w:tc>
        <w:tc>
          <w:tcPr>
            <w:tcW w:type="dxa" w:w="4608"/>
            <w:vAlign w:val="top"/>
          </w:tcPr>
          <w:p>
            <w:pPr>
              <w:spacing w:after="0" w:before="0" w:line="240" w:lineRule="auto"/>
            </w:pPr>
            <w:r>
              <w:rPr>
                <w:b w:val="0"/>
                <w:sz w:val="14"/>
              </w:rPr>
              <w:t>Orquestación de pipelines, ejecución diaria, dependencias, logs, retries y monitoreo operacional del flujo.</w:t>
            </w:r>
          </w:p>
        </w:tc>
        <w:tc>
          <w:tcPr>
            <w:tcW w:type="dxa" w:w="3168"/>
            <w:vAlign w:val="top"/>
          </w:tcPr>
          <w:p>
            <w:pPr>
              <w:spacing w:after="0" w:before="0" w:line="240" w:lineRule="auto"/>
            </w:pPr>
            <w:r>
              <w:rPr>
                <w:b w:val="0"/>
                <w:sz w:val="14"/>
              </w:rPr>
              <w:t>Consultora configura/desarrolla; CEL/TI provee host/accesos</w:t>
            </w:r>
          </w:p>
        </w:tc>
        <w:tc>
          <w:tcPr>
            <w:tcW w:type="dxa" w:w="4320"/>
            <w:vAlign w:val="top"/>
          </w:tcPr>
          <w:p>
            <w:pPr>
              <w:spacing w:after="0" w:before="0" w:line="240" w:lineRule="auto"/>
            </w:pPr>
            <w:r>
              <w:rPr>
                <w:b w:val="0"/>
                <w:sz w:val="14"/>
              </w:rPr>
              <w:t>Sustituye Pentaho/Grafana para el plano operativo del piloto.</w:t>
            </w:r>
          </w:p>
        </w:tc>
      </w:tr>
      <w:tr>
        <w:tc>
          <w:tcPr>
            <w:tcW w:type="dxa" w:w="2016"/>
            <w:vAlign w:val="top"/>
            <w:shd w:fill="F7F7F7"/>
          </w:tcPr>
          <w:p>
            <w:pPr>
              <w:spacing w:after="0" w:before="0" w:line="240" w:lineRule="auto"/>
            </w:pPr>
            <w:r>
              <w:rPr>
                <w:b/>
                <w:sz w:val="14"/>
              </w:rPr>
              <w:t>Stack funcional del piloto</w:t>
            </w:r>
          </w:p>
        </w:tc>
        <w:tc>
          <w:tcPr>
            <w:tcW w:type="dxa" w:w="2880"/>
            <w:vAlign w:val="top"/>
            <w:shd w:fill="F7F7F7"/>
          </w:tcPr>
          <w:p>
            <w:pPr>
              <w:spacing w:after="0" w:before="0" w:line="240" w:lineRule="auto"/>
            </w:pPr>
            <w:r>
              <w:rPr>
                <w:b w:val="0"/>
                <w:sz w:val="14"/>
              </w:rPr>
              <w:t>Python + librerías científicas</w:t>
            </w:r>
          </w:p>
        </w:tc>
        <w:tc>
          <w:tcPr>
            <w:tcW w:type="dxa" w:w="4608"/>
            <w:vAlign w:val="top"/>
            <w:shd w:fill="F7F7F7"/>
          </w:tcPr>
          <w:p>
            <w:pPr>
              <w:spacing w:after="0" w:before="0" w:line="240" w:lineRule="auto"/>
            </w:pPr>
            <w:r>
              <w:rPr>
                <w:b w:val="0"/>
                <w:sz w:val="14"/>
              </w:rPr>
              <w:t>Pandas, NumPy, GeoPandas, Rasterio/GDAL, scikit-learn, requests, psycopg2, pymongo, etc.</w:t>
            </w:r>
          </w:p>
        </w:tc>
        <w:tc>
          <w:tcPr>
            <w:tcW w:type="dxa" w:w="3168"/>
            <w:vAlign w:val="top"/>
            <w:shd w:fill="F7F7F7"/>
          </w:tcPr>
          <w:p>
            <w:pPr>
              <w:spacing w:after="0" w:before="0" w:line="240" w:lineRule="auto"/>
            </w:pPr>
            <w:r>
              <w:rPr>
                <w:b w:val="0"/>
                <w:sz w:val="14"/>
              </w:rPr>
              <w:t>Consultora</w:t>
            </w:r>
          </w:p>
        </w:tc>
        <w:tc>
          <w:tcPr>
            <w:tcW w:type="dxa" w:w="4320"/>
            <w:vAlign w:val="top"/>
            <w:shd w:fill="F7F7F7"/>
          </w:tcPr>
          <w:p>
            <w:pPr>
              <w:spacing w:after="0" w:before="0" w:line="240" w:lineRule="auto"/>
            </w:pPr>
            <w:r>
              <w:rPr>
                <w:b w:val="0"/>
                <w:sz w:val="14"/>
              </w:rPr>
              <w:t>ETL, QA/QC, features, procesamiento geoespacial y conectividad de datos.</w:t>
            </w:r>
          </w:p>
        </w:tc>
      </w:tr>
      <w:tr>
        <w:tc>
          <w:tcPr>
            <w:tcW w:type="dxa" w:w="2016"/>
            <w:vAlign w:val="top"/>
          </w:tcPr>
          <w:p>
            <w:pPr>
              <w:spacing w:after="0" w:before="0" w:line="240" w:lineRule="auto"/>
            </w:pPr>
            <w:r>
              <w:rPr>
                <w:b/>
                <w:sz w:val="14"/>
              </w:rPr>
              <w:t>Stack funcional del piloto</w:t>
            </w:r>
          </w:p>
        </w:tc>
        <w:tc>
          <w:tcPr>
            <w:tcW w:type="dxa" w:w="2880"/>
            <w:vAlign w:val="top"/>
          </w:tcPr>
          <w:p>
            <w:pPr>
              <w:spacing w:after="0" w:before="0" w:line="240" w:lineRule="auto"/>
            </w:pPr>
            <w:r>
              <w:rPr>
                <w:b w:val="0"/>
                <w:sz w:val="14"/>
              </w:rPr>
              <w:t>PyTorch + NeuralHydrology + Optuna</w:t>
            </w:r>
          </w:p>
        </w:tc>
        <w:tc>
          <w:tcPr>
            <w:tcW w:type="dxa" w:w="4608"/>
            <w:vAlign w:val="top"/>
          </w:tcPr>
          <w:p>
            <w:pPr>
              <w:spacing w:after="0" w:before="0" w:line="240" w:lineRule="auto"/>
            </w:pPr>
            <w:r>
              <w:rPr>
                <w:b w:val="0"/>
                <w:sz w:val="14"/>
              </w:rPr>
              <w:t>Framework de modelado LSTM, entrenamiento, validación, inferencia y optimización bayesiana.</w:t>
            </w:r>
          </w:p>
        </w:tc>
        <w:tc>
          <w:tcPr>
            <w:tcW w:type="dxa" w:w="3168"/>
            <w:vAlign w:val="top"/>
          </w:tcPr>
          <w:p>
            <w:pPr>
              <w:spacing w:after="0" w:before="0" w:line="240" w:lineRule="auto"/>
            </w:pPr>
            <w:r>
              <w:rPr>
                <w:b w:val="0"/>
                <w:sz w:val="14"/>
              </w:rPr>
              <w:t>Consultora</w:t>
            </w:r>
          </w:p>
        </w:tc>
        <w:tc>
          <w:tcPr>
            <w:tcW w:type="dxa" w:w="4320"/>
            <w:vAlign w:val="top"/>
          </w:tcPr>
          <w:p>
            <w:pPr>
              <w:spacing w:after="0" w:before="0" w:line="240" w:lineRule="auto"/>
            </w:pPr>
            <w:r>
              <w:rPr>
                <w:b w:val="0"/>
                <w:sz w:val="14"/>
              </w:rPr>
              <w:t>Usa GPU disponible para entrenamiento/inferencia del piloto.</w:t>
            </w:r>
          </w:p>
        </w:tc>
      </w:tr>
      <w:tr>
        <w:tc>
          <w:tcPr>
            <w:tcW w:type="dxa" w:w="2016"/>
            <w:vAlign w:val="top"/>
            <w:shd w:fill="F7F7F7"/>
          </w:tcPr>
          <w:p>
            <w:pPr>
              <w:spacing w:after="0" w:before="0" w:line="240" w:lineRule="auto"/>
            </w:pPr>
            <w:r>
              <w:rPr>
                <w:b/>
                <w:sz w:val="14"/>
              </w:rPr>
              <w:t>Stack funcional del piloto</w:t>
            </w:r>
          </w:p>
        </w:tc>
        <w:tc>
          <w:tcPr>
            <w:tcW w:type="dxa" w:w="2880"/>
            <w:vAlign w:val="top"/>
            <w:shd w:fill="F7F7F7"/>
          </w:tcPr>
          <w:p>
            <w:pPr>
              <w:spacing w:after="0" w:before="0" w:line="240" w:lineRule="auto"/>
            </w:pPr>
            <w:r>
              <w:rPr>
                <w:b w:val="0"/>
                <w:sz w:val="14"/>
              </w:rPr>
              <w:t>PostgreSQL/PostGIS</w:t>
            </w:r>
          </w:p>
        </w:tc>
        <w:tc>
          <w:tcPr>
            <w:tcW w:type="dxa" w:w="4608"/>
            <w:vAlign w:val="top"/>
            <w:shd w:fill="F7F7F7"/>
          </w:tcPr>
          <w:p>
            <w:pPr>
              <w:spacing w:after="0" w:before="0" w:line="240" w:lineRule="auto"/>
            </w:pPr>
            <w:r>
              <w:rPr>
                <w:b w:val="0"/>
                <w:sz w:val="14"/>
              </w:rPr>
              <w:t>Repositorio histórico/geoespacial del piloto.</w:t>
            </w:r>
          </w:p>
        </w:tc>
        <w:tc>
          <w:tcPr>
            <w:tcW w:type="dxa" w:w="3168"/>
            <w:vAlign w:val="top"/>
            <w:shd w:fill="F7F7F7"/>
          </w:tcPr>
          <w:p>
            <w:pPr>
              <w:spacing w:after="0" w:before="0" w:line="240" w:lineRule="auto"/>
            </w:pPr>
            <w:r>
              <w:rPr>
                <w:b w:val="0"/>
                <w:sz w:val="14"/>
              </w:rPr>
              <w:t>Consultora diseña/configura funcionalmente; CEL/TI define host y seguridad</w:t>
            </w:r>
          </w:p>
        </w:tc>
        <w:tc>
          <w:tcPr>
            <w:tcW w:type="dxa" w:w="4320"/>
            <w:vAlign w:val="top"/>
            <w:shd w:fill="F7F7F7"/>
          </w:tcPr>
          <w:p>
            <w:pPr>
              <w:spacing w:after="0" w:before="0" w:line="240" w:lineRule="auto"/>
            </w:pPr>
            <w:r>
              <w:rPr>
                <w:b w:val="0"/>
                <w:sz w:val="14"/>
              </w:rPr>
              <w:t>Debe existir endpoint, credenciales, storage y política de backup definidos por CEL/TI.</w:t>
            </w:r>
          </w:p>
        </w:tc>
      </w:tr>
      <w:tr>
        <w:tc>
          <w:tcPr>
            <w:tcW w:type="dxa" w:w="2016"/>
            <w:vAlign w:val="top"/>
          </w:tcPr>
          <w:p>
            <w:pPr>
              <w:spacing w:after="0" w:before="0" w:line="240" w:lineRule="auto"/>
            </w:pPr>
            <w:r>
              <w:rPr>
                <w:b/>
                <w:sz w:val="14"/>
              </w:rPr>
              <w:t>Stack funcional del piloto</w:t>
            </w:r>
          </w:p>
        </w:tc>
        <w:tc>
          <w:tcPr>
            <w:tcW w:type="dxa" w:w="2880"/>
            <w:vAlign w:val="top"/>
          </w:tcPr>
          <w:p>
            <w:pPr>
              <w:spacing w:after="0" w:before="0" w:line="240" w:lineRule="auto"/>
            </w:pPr>
            <w:r>
              <w:rPr>
                <w:b w:val="0"/>
                <w:sz w:val="14"/>
              </w:rPr>
              <w:t>MongoDB</w:t>
            </w:r>
          </w:p>
        </w:tc>
        <w:tc>
          <w:tcPr>
            <w:tcW w:type="dxa" w:w="4608"/>
            <w:vAlign w:val="top"/>
          </w:tcPr>
          <w:p>
            <w:pPr>
              <w:spacing w:after="0" w:before="0" w:line="240" w:lineRule="auto"/>
            </w:pPr>
            <w:r>
              <w:rPr>
                <w:b w:val="0"/>
                <w:sz w:val="14"/>
              </w:rPr>
              <w:t>Repositorio operativo/tiempo real para pronósticos, estados y documentos flexibles.</w:t>
            </w:r>
          </w:p>
        </w:tc>
        <w:tc>
          <w:tcPr>
            <w:tcW w:type="dxa" w:w="3168"/>
            <w:vAlign w:val="top"/>
          </w:tcPr>
          <w:p>
            <w:pPr>
              <w:spacing w:after="0" w:before="0" w:line="240" w:lineRule="auto"/>
            </w:pPr>
            <w:r>
              <w:rPr>
                <w:b w:val="0"/>
                <w:sz w:val="14"/>
              </w:rPr>
              <w:t>Consultora diseña/configura funcionalmente; CEL/TI define host y seguridad</w:t>
            </w:r>
          </w:p>
        </w:tc>
        <w:tc>
          <w:tcPr>
            <w:tcW w:type="dxa" w:w="4320"/>
            <w:vAlign w:val="top"/>
          </w:tcPr>
          <w:p>
            <w:pPr>
              <w:spacing w:after="0" w:before="0" w:line="240" w:lineRule="auto"/>
            </w:pPr>
            <w:r>
              <w:rPr>
                <w:b w:val="0"/>
                <w:sz w:val="14"/>
              </w:rPr>
              <w:t>Debe existir endpoint, credenciales, storage y política de backup definidos por CEL/TI.</w:t>
            </w:r>
          </w:p>
        </w:tc>
      </w:tr>
      <w:tr>
        <w:tc>
          <w:tcPr>
            <w:tcW w:type="dxa" w:w="2016"/>
            <w:vAlign w:val="top"/>
            <w:shd w:fill="F7F7F7"/>
          </w:tcPr>
          <w:p>
            <w:pPr>
              <w:spacing w:after="0" w:before="0" w:line="240" w:lineRule="auto"/>
            </w:pPr>
            <w:r>
              <w:rPr>
                <w:b/>
                <w:sz w:val="14"/>
              </w:rPr>
              <w:t>Stack funcional del piloto</w:t>
            </w:r>
          </w:p>
        </w:tc>
        <w:tc>
          <w:tcPr>
            <w:tcW w:type="dxa" w:w="2880"/>
            <w:vAlign w:val="top"/>
            <w:shd w:fill="F7F7F7"/>
          </w:tcPr>
          <w:p>
            <w:pPr>
              <w:spacing w:after="0" w:before="0" w:line="240" w:lineRule="auto"/>
            </w:pPr>
            <w:r>
              <w:rPr>
                <w:b w:val="0"/>
                <w:sz w:val="14"/>
              </w:rPr>
              <w:t>Git/GitLab o repositorio definido por CEL</w:t>
            </w:r>
          </w:p>
        </w:tc>
        <w:tc>
          <w:tcPr>
            <w:tcW w:type="dxa" w:w="4608"/>
            <w:vAlign w:val="top"/>
            <w:shd w:fill="F7F7F7"/>
          </w:tcPr>
          <w:p>
            <w:pPr>
              <w:spacing w:after="0" w:before="0" w:line="240" w:lineRule="auto"/>
            </w:pPr>
            <w:r>
              <w:rPr>
                <w:b w:val="0"/>
                <w:sz w:val="14"/>
              </w:rPr>
              <w:t>Versionamiento de código, scripts, configuración y documentación técnica.</w:t>
            </w:r>
          </w:p>
        </w:tc>
        <w:tc>
          <w:tcPr>
            <w:tcW w:type="dxa" w:w="3168"/>
            <w:vAlign w:val="top"/>
            <w:shd w:fill="F7F7F7"/>
          </w:tcPr>
          <w:p>
            <w:pPr>
              <w:spacing w:after="0" w:before="0" w:line="240" w:lineRule="auto"/>
            </w:pPr>
            <w:r>
              <w:rPr>
                <w:b w:val="0"/>
                <w:sz w:val="14"/>
              </w:rPr>
              <w:t>CEL/TI provee repositorio; Consultora versiona entregables</w:t>
            </w:r>
          </w:p>
        </w:tc>
        <w:tc>
          <w:tcPr>
            <w:tcW w:type="dxa" w:w="4320"/>
            <w:vAlign w:val="top"/>
            <w:shd w:fill="F7F7F7"/>
          </w:tcPr>
          <w:p>
            <w:pPr>
              <w:spacing w:after="0" w:before="0" w:line="240" w:lineRule="auto"/>
            </w:pPr>
            <w:r>
              <w:rPr>
                <w:b w:val="0"/>
                <w:sz w:val="14"/>
              </w:rPr>
              <w:t>Debe confirmarse plataforma, permisos, ramas y política de acceso.</w:t>
            </w:r>
          </w:p>
        </w:tc>
      </w:tr>
      <w:tr>
        <w:tc>
          <w:tcPr>
            <w:tcW w:type="dxa" w:w="2016"/>
            <w:vAlign w:val="top"/>
          </w:tcPr>
          <w:p>
            <w:pPr>
              <w:spacing w:after="0" w:before="0" w:line="240" w:lineRule="auto"/>
            </w:pPr>
            <w:r>
              <w:rPr>
                <w:b/>
                <w:sz w:val="14"/>
              </w:rPr>
              <w:t>Stack funcional del piloto</w:t>
            </w:r>
          </w:p>
        </w:tc>
        <w:tc>
          <w:tcPr>
            <w:tcW w:type="dxa" w:w="2880"/>
            <w:vAlign w:val="top"/>
          </w:tcPr>
          <w:p>
            <w:pPr>
              <w:spacing w:after="0" w:before="0" w:line="240" w:lineRule="auto"/>
            </w:pPr>
            <w:r>
              <w:rPr>
                <w:b w:val="0"/>
                <w:sz w:val="14"/>
              </w:rPr>
              <w:t>Node.js / React / Leaflet o Mapbox GL JS</w:t>
            </w:r>
          </w:p>
        </w:tc>
        <w:tc>
          <w:tcPr>
            <w:tcW w:type="dxa" w:w="4608"/>
            <w:vAlign w:val="top"/>
          </w:tcPr>
          <w:p>
            <w:pPr>
              <w:spacing w:after="0" w:before="0" w:line="240" w:lineRule="auto"/>
            </w:pPr>
            <w:r>
              <w:rPr>
                <w:b w:val="0"/>
                <w:sz w:val="14"/>
              </w:rPr>
              <w:t>Dashboard, mapa interactivo, visualización de pronósticos y capas de riesgo.</w:t>
            </w:r>
          </w:p>
        </w:tc>
        <w:tc>
          <w:tcPr>
            <w:tcW w:type="dxa" w:w="3168"/>
            <w:vAlign w:val="top"/>
          </w:tcPr>
          <w:p>
            <w:pPr>
              <w:spacing w:after="0" w:before="0" w:line="240" w:lineRule="auto"/>
            </w:pPr>
            <w:r>
              <w:rPr>
                <w:b w:val="0"/>
                <w:sz w:val="14"/>
              </w:rPr>
              <w:t>Consultora desarrolla; CEL/TI define hosting</w:t>
            </w:r>
          </w:p>
        </w:tc>
        <w:tc>
          <w:tcPr>
            <w:tcW w:type="dxa" w:w="4320"/>
            <w:vAlign w:val="top"/>
          </w:tcPr>
          <w:p>
            <w:pPr>
              <w:spacing w:after="0" w:before="0" w:line="240" w:lineRule="auto"/>
            </w:pPr>
            <w:r>
              <w:rPr>
                <w:b w:val="0"/>
                <w:sz w:val="14"/>
              </w:rPr>
              <w:t>Mapbox/API externa solo si CEL aprueba; alternativa OSM/Leaflet.</w:t>
            </w:r>
          </w:p>
        </w:tc>
      </w:tr>
      <w:tr>
        <w:tc>
          <w:tcPr>
            <w:tcW w:type="dxa" w:w="2016"/>
            <w:vAlign w:val="top"/>
            <w:shd w:fill="F7F7F7"/>
          </w:tcPr>
          <w:p>
            <w:pPr>
              <w:spacing w:after="0" w:before="0" w:line="240" w:lineRule="auto"/>
            </w:pPr>
            <w:r>
              <w:rPr>
                <w:b/>
                <w:sz w:val="14"/>
              </w:rPr>
              <w:t>Integraciones</w:t>
            </w:r>
          </w:p>
        </w:tc>
        <w:tc>
          <w:tcPr>
            <w:tcW w:type="dxa" w:w="2880"/>
            <w:vAlign w:val="top"/>
            <w:shd w:fill="F7F7F7"/>
          </w:tcPr>
          <w:p>
            <w:pPr>
              <w:spacing w:after="0" w:before="0" w:line="240" w:lineRule="auto"/>
            </w:pPr>
            <w:r>
              <w:rPr>
                <w:b w:val="0"/>
                <w:sz w:val="14"/>
              </w:rPr>
              <w:t>SMTP CEL / gateway SMS</w:t>
            </w:r>
          </w:p>
        </w:tc>
        <w:tc>
          <w:tcPr>
            <w:tcW w:type="dxa" w:w="4608"/>
            <w:vAlign w:val="top"/>
            <w:shd w:fill="F7F7F7"/>
          </w:tcPr>
          <w:p>
            <w:pPr>
              <w:spacing w:after="0" w:before="0" w:line="240" w:lineRule="auto"/>
            </w:pPr>
            <w:r>
              <w:rPr>
                <w:b w:val="0"/>
                <w:sz w:val="14"/>
              </w:rPr>
              <w:t>Canales de notificación de alertas.</w:t>
            </w:r>
          </w:p>
        </w:tc>
        <w:tc>
          <w:tcPr>
            <w:tcW w:type="dxa" w:w="3168"/>
            <w:vAlign w:val="top"/>
            <w:shd w:fill="F7F7F7"/>
          </w:tcPr>
          <w:p>
            <w:pPr>
              <w:spacing w:after="0" w:before="0" w:line="240" w:lineRule="auto"/>
            </w:pPr>
            <w:r>
              <w:rPr>
                <w:b w:val="0"/>
                <w:sz w:val="14"/>
              </w:rPr>
              <w:t>CEL/TI provee; Consultora integra si se habilita</w:t>
            </w:r>
          </w:p>
        </w:tc>
        <w:tc>
          <w:tcPr>
            <w:tcW w:type="dxa" w:w="4320"/>
            <w:vAlign w:val="top"/>
            <w:shd w:fill="F7F7F7"/>
          </w:tcPr>
          <w:p>
            <w:pPr>
              <w:spacing w:after="0" w:before="0" w:line="240" w:lineRule="auto"/>
            </w:pPr>
            <w:r>
              <w:rPr>
                <w:b w:val="0"/>
                <w:sz w:val="14"/>
              </w:rPr>
              <w:t>SMTP, remitente, listas, credenciales y reglas de envío deben confirmarse.</w:t>
            </w:r>
          </w:p>
        </w:tc>
      </w:tr>
      <w:tr>
        <w:tc>
          <w:tcPr>
            <w:tcW w:type="dxa" w:w="2016"/>
            <w:vAlign w:val="top"/>
          </w:tcPr>
          <w:p>
            <w:pPr>
              <w:spacing w:after="0" w:before="0" w:line="240" w:lineRule="auto"/>
            </w:pPr>
            <w:r>
              <w:rPr>
                <w:b/>
                <w:sz w:val="14"/>
              </w:rPr>
              <w:t>Integraciones</w:t>
            </w:r>
          </w:p>
        </w:tc>
        <w:tc>
          <w:tcPr>
            <w:tcW w:type="dxa" w:w="2880"/>
            <w:vAlign w:val="top"/>
          </w:tcPr>
          <w:p>
            <w:pPr>
              <w:spacing w:after="0" w:before="0" w:line="240" w:lineRule="auto"/>
            </w:pPr>
            <w:r>
              <w:rPr>
                <w:b w:val="0"/>
                <w:sz w:val="14"/>
              </w:rPr>
              <w:t>ECMWF/Copernicus, ERA5, GPM/IMERG, CHIRPS, Sentinel, OSM</w:t>
            </w:r>
          </w:p>
        </w:tc>
        <w:tc>
          <w:tcPr>
            <w:tcW w:type="dxa" w:w="4608"/>
            <w:vAlign w:val="top"/>
          </w:tcPr>
          <w:p>
            <w:pPr>
              <w:spacing w:after="0" w:before="0" w:line="240" w:lineRule="auto"/>
            </w:pPr>
            <w:r>
              <w:rPr>
                <w:b w:val="0"/>
                <w:sz w:val="14"/>
              </w:rPr>
              <w:t>Fuentes externas de datos abiertos y geoespaciales.</w:t>
            </w:r>
          </w:p>
        </w:tc>
        <w:tc>
          <w:tcPr>
            <w:tcW w:type="dxa" w:w="3168"/>
            <w:vAlign w:val="top"/>
          </w:tcPr>
          <w:p>
            <w:pPr>
              <w:spacing w:after="0" w:before="0" w:line="240" w:lineRule="auto"/>
            </w:pPr>
            <w:r>
              <w:rPr>
                <w:b w:val="0"/>
                <w:sz w:val="14"/>
              </w:rPr>
              <w:t>Consultora consume; CEL/TI habilita egress</w:t>
            </w:r>
          </w:p>
        </w:tc>
        <w:tc>
          <w:tcPr>
            <w:tcW w:type="dxa" w:w="4320"/>
            <w:vAlign w:val="top"/>
          </w:tcPr>
          <w:p>
            <w:pPr>
              <w:spacing w:after="0" w:before="0" w:line="240" w:lineRule="auto"/>
            </w:pPr>
            <w:r>
              <w:rPr>
                <w:b w:val="0"/>
                <w:sz w:val="14"/>
              </w:rPr>
              <w:t>Se requieren reglas de salida a internet, credenciales/API keys cuando aplique.</w:t>
            </w:r>
          </w:p>
        </w:tc>
      </w:tr>
    </w:tbl>
    <w:p/>
    <w:p>
      <w:pPr>
        <w:pStyle w:val="Heading1"/>
      </w:pPr>
      <w:r>
        <w:t>5. Elementos explícitamente no asumidos como parte del stack del piloto</w:t>
      </w:r>
    </w:p>
    <w:tbl>
      <w:tblPr>
        <w:tblStyle w:val="TableGrid"/>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752"/>
        <w:gridCol w:w="4752"/>
        <w:gridCol w:w="4752"/>
      </w:tblGrid>
      <w:tr>
        <w:trPr>
          <w:tblHeader w:val="true"/>
        </w:trPr>
        <w:tc>
          <w:tcPr>
            <w:tcW w:type="dxa" w:w="2304"/>
            <w:vAlign w:val="top"/>
            <w:shd w:fill="1F4E79"/>
          </w:tcPr>
          <w:p>
            <w:pPr>
              <w:spacing w:after="0" w:before="0" w:line="240" w:lineRule="auto"/>
            </w:pPr>
            <w:r>
              <w:rPr>
                <w:b/>
                <w:color w:val="FFFFFF"/>
                <w:sz w:val="16"/>
              </w:rPr>
              <w:t>Dominio</w:t>
            </w:r>
          </w:p>
        </w:tc>
        <w:tc>
          <w:tcPr>
            <w:tcW w:type="dxa" w:w="4608"/>
            <w:vAlign w:val="top"/>
            <w:shd w:fill="1F4E79"/>
          </w:tcPr>
          <w:p>
            <w:pPr>
              <w:spacing w:after="0" w:before="0" w:line="240" w:lineRule="auto"/>
            </w:pPr>
            <w:r>
              <w:rPr>
                <w:b/>
                <w:color w:val="FFFFFF"/>
                <w:sz w:val="16"/>
              </w:rPr>
              <w:t>Elemento no asumido</w:t>
            </w:r>
          </w:p>
        </w:tc>
        <w:tc>
          <w:tcPr>
            <w:tcW w:type="dxa" w:w="8640"/>
            <w:vAlign w:val="top"/>
            <w:shd w:fill="1F4E79"/>
          </w:tcPr>
          <w:p>
            <w:pPr>
              <w:spacing w:after="0" w:before="0" w:line="240" w:lineRule="auto"/>
            </w:pPr>
            <w:r>
              <w:rPr>
                <w:b/>
                <w:color w:val="FFFFFF"/>
                <w:sz w:val="16"/>
              </w:rPr>
              <w:t>Tratamiento</w:t>
            </w:r>
          </w:p>
        </w:tc>
      </w:tr>
      <w:tr>
        <w:tc>
          <w:tcPr>
            <w:tcW w:type="dxa" w:w="2304"/>
            <w:vAlign w:val="top"/>
            <w:shd w:fill="F7F7F7"/>
          </w:tcPr>
          <w:p>
            <w:pPr>
              <w:spacing w:after="0" w:before="0" w:line="240" w:lineRule="auto"/>
            </w:pPr>
            <w:r>
              <w:rPr>
                <w:b/>
                <w:sz w:val="16"/>
              </w:rPr>
              <w:t>ETL / monitoreo</w:t>
            </w:r>
          </w:p>
        </w:tc>
        <w:tc>
          <w:tcPr>
            <w:tcW w:type="dxa" w:w="4608"/>
            <w:vAlign w:val="top"/>
            <w:shd w:fill="F7F7F7"/>
          </w:tcPr>
          <w:p>
            <w:pPr>
              <w:spacing w:after="0" w:before="0" w:line="240" w:lineRule="auto"/>
            </w:pPr>
            <w:r>
              <w:rPr>
                <w:b w:val="0"/>
                <w:sz w:val="16"/>
              </w:rPr>
              <w:t>Pentaho PDI, Grafana</w:t>
            </w:r>
          </w:p>
        </w:tc>
        <w:tc>
          <w:tcPr>
            <w:tcW w:type="dxa" w:w="8640"/>
            <w:vAlign w:val="top"/>
            <w:shd w:fill="F7F7F7"/>
          </w:tcPr>
          <w:p>
            <w:pPr>
              <w:spacing w:after="0" w:before="0" w:line="240" w:lineRule="auto"/>
            </w:pPr>
            <w:r>
              <w:rPr>
                <w:b w:val="0"/>
                <w:sz w:val="16"/>
              </w:rPr>
              <w:t>Quedan sustituidos por Mage como capa de orquestación y monitoreo operativo de pipelines del piloto.</w:t>
            </w:r>
          </w:p>
        </w:tc>
      </w:tr>
      <w:tr>
        <w:tc>
          <w:tcPr>
            <w:tcW w:type="dxa" w:w="2304"/>
            <w:vAlign w:val="top"/>
          </w:tcPr>
          <w:p>
            <w:pPr>
              <w:spacing w:after="0" w:before="0" w:line="240" w:lineRule="auto"/>
            </w:pPr>
            <w:r>
              <w:rPr>
                <w:b/>
                <w:sz w:val="16"/>
              </w:rPr>
              <w:t>Contenedores / orquestación</w:t>
            </w:r>
          </w:p>
        </w:tc>
        <w:tc>
          <w:tcPr>
            <w:tcW w:type="dxa" w:w="4608"/>
            <w:vAlign w:val="top"/>
          </w:tcPr>
          <w:p>
            <w:pPr>
              <w:spacing w:after="0" w:before="0" w:line="240" w:lineRule="auto"/>
            </w:pPr>
            <w:r>
              <w:rPr>
                <w:b w:val="0"/>
                <w:sz w:val="16"/>
              </w:rPr>
              <w:t>Kubernetes, OpenShift, Docker Enterprise, Ubuntu Enterprise</w:t>
            </w:r>
          </w:p>
        </w:tc>
        <w:tc>
          <w:tcPr>
            <w:tcW w:type="dxa" w:w="8640"/>
            <w:vAlign w:val="top"/>
          </w:tcPr>
          <w:p>
            <w:pPr>
              <w:spacing w:after="0" w:before="0" w:line="240" w:lineRule="auto"/>
            </w:pPr>
            <w:r>
              <w:rPr>
                <w:b w:val="0"/>
                <w:sz w:val="16"/>
              </w:rPr>
              <w:t>No se asumen salvo decisión y provisión expresa de CEL/proveedor.</w:t>
            </w:r>
          </w:p>
        </w:tc>
      </w:tr>
      <w:tr>
        <w:tc>
          <w:tcPr>
            <w:tcW w:type="dxa" w:w="2304"/>
            <w:vAlign w:val="top"/>
            <w:shd w:fill="F7F7F7"/>
          </w:tcPr>
          <w:p>
            <w:pPr>
              <w:spacing w:after="0" w:before="0" w:line="240" w:lineRule="auto"/>
            </w:pPr>
            <w:r>
              <w:rPr>
                <w:b/>
                <w:sz w:val="16"/>
              </w:rPr>
              <w:t>Identidad</w:t>
            </w:r>
          </w:p>
        </w:tc>
        <w:tc>
          <w:tcPr>
            <w:tcW w:type="dxa" w:w="4608"/>
            <w:vAlign w:val="top"/>
            <w:shd w:fill="F7F7F7"/>
          </w:tcPr>
          <w:p>
            <w:pPr>
              <w:spacing w:after="0" w:before="0" w:line="240" w:lineRule="auto"/>
            </w:pPr>
            <w:r>
              <w:rPr>
                <w:b w:val="0"/>
                <w:sz w:val="16"/>
              </w:rPr>
              <w:t>AD/LDAP avanzado, SSO corporativo, RBAC enterprise</w:t>
            </w:r>
          </w:p>
        </w:tc>
        <w:tc>
          <w:tcPr>
            <w:tcW w:type="dxa" w:w="8640"/>
            <w:vAlign w:val="top"/>
            <w:shd w:fill="F7F7F7"/>
          </w:tcPr>
          <w:p>
            <w:pPr>
              <w:spacing w:after="0" w:before="0" w:line="240" w:lineRule="auto"/>
            </w:pPr>
            <w:r>
              <w:rPr>
                <w:b w:val="0"/>
                <w:sz w:val="16"/>
              </w:rPr>
              <w:t>No se asume como entregable de la Consultora; CEL/TI define identidad/accesos.</w:t>
            </w:r>
          </w:p>
        </w:tc>
      </w:tr>
      <w:tr>
        <w:tc>
          <w:tcPr>
            <w:tcW w:type="dxa" w:w="2304"/>
            <w:vAlign w:val="top"/>
          </w:tcPr>
          <w:p>
            <w:pPr>
              <w:spacing w:after="0" w:before="0" w:line="240" w:lineRule="auto"/>
            </w:pPr>
            <w:r>
              <w:rPr>
                <w:b/>
                <w:sz w:val="16"/>
              </w:rPr>
              <w:t>Seguridad</w:t>
            </w:r>
          </w:p>
        </w:tc>
        <w:tc>
          <w:tcPr>
            <w:tcW w:type="dxa" w:w="4608"/>
            <w:vAlign w:val="top"/>
          </w:tcPr>
          <w:p>
            <w:pPr>
              <w:spacing w:after="0" w:before="0" w:line="240" w:lineRule="auto"/>
            </w:pPr>
            <w:r>
              <w:rPr>
                <w:b w:val="0"/>
                <w:sz w:val="16"/>
              </w:rPr>
              <w:t>Hardening CIS completo, auditorías de seguridad, SIEM, NAC, microsegmentación, redes overlay</w:t>
            </w:r>
          </w:p>
        </w:tc>
        <w:tc>
          <w:tcPr>
            <w:tcW w:type="dxa" w:w="8640"/>
            <w:vAlign w:val="top"/>
          </w:tcPr>
          <w:p>
            <w:pPr>
              <w:spacing w:after="0" w:before="0" w:line="240" w:lineRule="auto"/>
            </w:pPr>
            <w:r>
              <w:rPr>
                <w:b w:val="0"/>
                <w:sz w:val="16"/>
              </w:rPr>
              <w:t>Exclusiones de proveedor o responsabilidades institucionales; no se transfieren a la Consultora.</w:t>
            </w:r>
          </w:p>
        </w:tc>
      </w:tr>
      <w:tr>
        <w:tc>
          <w:tcPr>
            <w:tcW w:type="dxa" w:w="2304"/>
            <w:vAlign w:val="top"/>
            <w:shd w:fill="F7F7F7"/>
          </w:tcPr>
          <w:p>
            <w:pPr>
              <w:spacing w:after="0" w:before="0" w:line="240" w:lineRule="auto"/>
            </w:pPr>
            <w:r>
              <w:rPr>
                <w:b/>
                <w:sz w:val="16"/>
              </w:rPr>
              <w:t>Continuidad</w:t>
            </w:r>
          </w:p>
        </w:tc>
        <w:tc>
          <w:tcPr>
            <w:tcW w:type="dxa" w:w="4608"/>
            <w:vAlign w:val="top"/>
            <w:shd w:fill="F7F7F7"/>
          </w:tcPr>
          <w:p>
            <w:pPr>
              <w:spacing w:after="0" w:before="0" w:line="240" w:lineRule="auto"/>
            </w:pPr>
            <w:r>
              <w:rPr>
                <w:b w:val="0"/>
                <w:sz w:val="16"/>
              </w:rPr>
              <w:t>HA, clustering, DR, replicación multisite, monitoreo 24x7</w:t>
            </w:r>
          </w:p>
        </w:tc>
        <w:tc>
          <w:tcPr>
            <w:tcW w:type="dxa" w:w="8640"/>
            <w:vAlign w:val="top"/>
            <w:shd w:fill="F7F7F7"/>
          </w:tcPr>
          <w:p>
            <w:pPr>
              <w:spacing w:after="0" w:before="0" w:line="240" w:lineRule="auto"/>
            </w:pPr>
            <w:r>
              <w:rPr>
                <w:b w:val="0"/>
                <w:sz w:val="16"/>
              </w:rPr>
              <w:t>Fuera de alcance del piloto salvo adenda o decisión institucional de CEL.</w:t>
            </w:r>
          </w:p>
        </w:tc>
      </w:tr>
      <w:tr>
        <w:tc>
          <w:tcPr>
            <w:tcW w:type="dxa" w:w="2304"/>
            <w:vAlign w:val="top"/>
          </w:tcPr>
          <w:p>
            <w:pPr>
              <w:spacing w:after="0" w:before="0" w:line="240" w:lineRule="auto"/>
            </w:pPr>
            <w:r>
              <w:rPr>
                <w:b/>
                <w:sz w:val="16"/>
              </w:rPr>
              <w:t>Backup empresarial</w:t>
            </w:r>
          </w:p>
        </w:tc>
        <w:tc>
          <w:tcPr>
            <w:tcW w:type="dxa" w:w="4608"/>
            <w:vAlign w:val="top"/>
          </w:tcPr>
          <w:p>
            <w:pPr>
              <w:spacing w:after="0" w:before="0" w:line="240" w:lineRule="auto"/>
            </w:pPr>
            <w:r>
              <w:rPr>
                <w:b w:val="0"/>
                <w:sz w:val="16"/>
              </w:rPr>
              <w:t>Herramientas de backup del cliente, migración de históricos, restore corporativo</w:t>
            </w:r>
          </w:p>
        </w:tc>
        <w:tc>
          <w:tcPr>
            <w:tcW w:type="dxa" w:w="8640"/>
            <w:vAlign w:val="top"/>
          </w:tcPr>
          <w:p>
            <w:pPr>
              <w:spacing w:after="0" w:before="0" w:line="240" w:lineRule="auto"/>
            </w:pPr>
            <w:r>
              <w:rPr>
                <w:b w:val="0"/>
                <w:sz w:val="16"/>
              </w:rPr>
              <w:t>CEL/TI/proveedor deben definir política, herramienta, RPO/RTO y responsable operativo.</w:t>
            </w:r>
          </w:p>
        </w:tc>
      </w:tr>
      <w:tr>
        <w:tc>
          <w:tcPr>
            <w:tcW w:type="dxa" w:w="2304"/>
            <w:vAlign w:val="top"/>
            <w:shd w:fill="F7F7F7"/>
          </w:tcPr>
          <w:p>
            <w:pPr>
              <w:spacing w:after="0" w:before="0" w:line="240" w:lineRule="auto"/>
            </w:pPr>
            <w:r>
              <w:rPr>
                <w:b/>
                <w:sz w:val="16"/>
              </w:rPr>
              <w:t>Administración continua</w:t>
            </w:r>
          </w:p>
        </w:tc>
        <w:tc>
          <w:tcPr>
            <w:tcW w:type="dxa" w:w="4608"/>
            <w:vAlign w:val="top"/>
            <w:shd w:fill="F7F7F7"/>
          </w:tcPr>
          <w:p>
            <w:pPr>
              <w:spacing w:after="0" w:before="0" w:line="240" w:lineRule="auto"/>
            </w:pPr>
            <w:r>
              <w:rPr>
                <w:b w:val="0"/>
                <w:sz w:val="16"/>
              </w:rPr>
              <w:t>Operación permanente de servidores, NAS, switch, licencias y soporte</w:t>
            </w:r>
          </w:p>
        </w:tc>
        <w:tc>
          <w:tcPr>
            <w:tcW w:type="dxa" w:w="8640"/>
            <w:vAlign w:val="top"/>
            <w:shd w:fill="F7F7F7"/>
          </w:tcPr>
          <w:p>
            <w:pPr>
              <w:spacing w:after="0" w:before="0" w:line="240" w:lineRule="auto"/>
            </w:pPr>
            <w:r>
              <w:rPr>
                <w:b w:val="0"/>
                <w:sz w:val="16"/>
              </w:rPr>
              <w:t>Responsabilidad de CEL/proveedor. La Consultora valida funcionalmente el entorno para el piloto.</w:t>
            </w:r>
          </w:p>
        </w:tc>
      </w:tr>
    </w:tbl>
    <w:p/>
    <w:p>
      <w:pPr>
        <w:pStyle w:val="Heading1"/>
      </w:pPr>
      <w:r>
        <w:t>6. Diagrama final de arquitectura y alcance</w:t>
      </w:r>
    </w:p>
    <w:p>
      <w:r>
        <w:t>El siguiente diagrama representa la arquitectura final de trabajo desde la perspectiva del piloto. La plataforma física es habilitante y pertenece al ámbito CEL/Martinexsa/Dell; el alcance de la Consultora se concentra en el stack funcional del piloto: Mage, pipelines, bases del piloto, modelo IA, dashboard/API, alertas, documentación y validación funcional.</w:t>
      </w:r>
    </w:p>
    <w:p>
      <w:r>
        <w:drawing>
          <wp:inline xmlns:a="http://schemas.openxmlformats.org/drawingml/2006/main" xmlns:pic="http://schemas.openxmlformats.org/drawingml/2006/picture">
            <wp:extent cx="8869680" cy="5204247"/>
            <wp:docPr id="1" name="Picture 1"/>
            <wp:cNvGraphicFramePr>
              <a:graphicFrameLocks noChangeAspect="1"/>
            </wp:cNvGraphicFramePr>
            <a:graphic>
              <a:graphicData uri="http://schemas.openxmlformats.org/drawingml/2006/picture">
                <pic:pic>
                  <pic:nvPicPr>
                    <pic:cNvPr id="0" name="architecture_scope_final.png"/>
                    <pic:cNvPicPr/>
                  </pic:nvPicPr>
                  <pic:blipFill>
                    <a:blip r:embed="rId11"/>
                    <a:stretch>
                      <a:fillRect/>
                    </a:stretch>
                  </pic:blipFill>
                  <pic:spPr>
                    <a:xfrm>
                      <a:off x="0" y="0"/>
                      <a:ext cx="8869680" cy="5204247"/>
                    </a:xfrm>
                    <a:prstGeom prst="rect"/>
                  </pic:spPr>
                </pic:pic>
              </a:graphicData>
            </a:graphic>
          </wp:inline>
        </w:drawing>
      </w:r>
    </w:p>
    <w:p>
      <w:pPr>
        <w:pStyle w:val="CaptionSmall"/>
      </w:pPr>
      <w:r>
        <w:t>Figura 1. Arquitectura lógica y frontera de alcance. Las dependencias de hosting, red, GPU, storage, VPN y base OS deben ser entregadas por CEL/proveedor como condición habilitante para Fase 0.</w:t>
      </w:r>
    </w:p>
    <w:p>
      <w:pPr>
        <w:pStyle w:val="Heading1"/>
      </w:pPr>
      <w:r>
        <w:t>7. Diagrama de frontera de responsabilidad para Fase 0</w:t>
      </w:r>
    </w:p>
    <w:p>
      <w:r>
        <w:drawing>
          <wp:inline xmlns:a="http://schemas.openxmlformats.org/drawingml/2006/main" xmlns:pic="http://schemas.openxmlformats.org/drawingml/2006/picture">
            <wp:extent cx="8046720" cy="1786732"/>
            <wp:docPr id="2" name="Picture 2"/>
            <wp:cNvGraphicFramePr>
              <a:graphicFrameLocks noChangeAspect="1"/>
            </wp:cNvGraphicFramePr>
            <a:graphic>
              <a:graphicData uri="http://schemas.openxmlformats.org/drawingml/2006/picture">
                <pic:pic>
                  <pic:nvPicPr>
                    <pic:cNvPr id="0" name="handoff_scope_boundary.png"/>
                    <pic:cNvPicPr/>
                  </pic:nvPicPr>
                  <pic:blipFill>
                    <a:blip r:embed="rId12"/>
                    <a:stretch>
                      <a:fillRect/>
                    </a:stretch>
                  </pic:blipFill>
                  <pic:spPr>
                    <a:xfrm>
                      <a:off x="0" y="0"/>
                      <a:ext cx="8046720" cy="1786732"/>
                    </a:xfrm>
                    <a:prstGeom prst="rect"/>
                  </pic:spPr>
                </pic:pic>
              </a:graphicData>
            </a:graphic>
          </wp:inline>
        </w:drawing>
      </w:r>
    </w:p>
    <w:p>
      <w:pPr>
        <w:pStyle w:val="CaptionSmall"/>
      </w:pPr>
      <w:r>
        <w:t>Figura 2. Fase 0 depende de un handoff técnico mínimo. La Consultora no puede certificar el ambiente si CEL/proveedor no entrega accesos, hostnames, red, GPU, storage, soporte y decisiones de ubicación del stack.</w:t>
      </w:r>
    </w:p>
    <w:p>
      <w:pPr>
        <w:pStyle w:val="Heading1"/>
      </w:pPr>
      <w:r>
        <w:t>8. Decisiones técnicas pendientes que deben quedar resueltas antes de certificar Fase 0</w:t>
      </w:r>
    </w:p>
    <w:tbl>
      <w:tblPr>
        <w:tblStyle w:val="TableGrid"/>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564"/>
        <w:gridCol w:w="3564"/>
        <w:gridCol w:w="3564"/>
        <w:gridCol w:w="3564"/>
      </w:tblGrid>
      <w:tr>
        <w:trPr>
          <w:tblHeader w:val="true"/>
        </w:trPr>
        <w:tc>
          <w:tcPr>
            <w:tcW w:type="dxa" w:w="792"/>
            <w:vAlign w:val="top"/>
            <w:shd w:fill="1F4E79"/>
          </w:tcPr>
          <w:p>
            <w:pPr>
              <w:spacing w:after="0" w:before="0" w:line="240" w:lineRule="auto"/>
            </w:pPr>
            <w:r>
              <w:rPr>
                <w:b/>
                <w:color w:val="FFFFFF"/>
                <w:sz w:val="15"/>
              </w:rPr>
              <w:t>ID</w:t>
            </w:r>
          </w:p>
        </w:tc>
        <w:tc>
          <w:tcPr>
            <w:tcW w:type="dxa" w:w="2880"/>
            <w:vAlign w:val="top"/>
            <w:shd w:fill="1F4E79"/>
          </w:tcPr>
          <w:p>
            <w:pPr>
              <w:spacing w:after="0" w:before="0" w:line="240" w:lineRule="auto"/>
            </w:pPr>
            <w:r>
              <w:rPr>
                <w:b/>
                <w:color w:val="FFFFFF"/>
                <w:sz w:val="15"/>
              </w:rPr>
              <w:t>Decisión</w:t>
            </w:r>
          </w:p>
        </w:tc>
        <w:tc>
          <w:tcPr>
            <w:tcW w:type="dxa" w:w="7632"/>
            <w:vAlign w:val="top"/>
            <w:shd w:fill="1F4E79"/>
          </w:tcPr>
          <w:p>
            <w:pPr>
              <w:spacing w:after="0" w:before="0" w:line="240" w:lineRule="auto"/>
            </w:pPr>
            <w:r>
              <w:rPr>
                <w:b/>
                <w:color w:val="FFFFFF"/>
                <w:sz w:val="15"/>
              </w:rPr>
              <w:t>Confirmación requerida</w:t>
            </w:r>
          </w:p>
        </w:tc>
        <w:tc>
          <w:tcPr>
            <w:tcW w:type="dxa" w:w="4752"/>
            <w:vAlign w:val="top"/>
            <w:shd w:fill="1F4E79"/>
          </w:tcPr>
          <w:p>
            <w:pPr>
              <w:spacing w:after="0" w:before="0" w:line="240" w:lineRule="auto"/>
            </w:pPr>
            <w:r>
              <w:rPr>
                <w:b/>
                <w:color w:val="FFFFFF"/>
                <w:sz w:val="15"/>
              </w:rPr>
              <w:t>Efecto</w:t>
            </w:r>
          </w:p>
        </w:tc>
      </w:tr>
      <w:tr>
        <w:tc>
          <w:tcPr>
            <w:tcW w:type="dxa" w:w="792"/>
            <w:vAlign w:val="top"/>
            <w:shd w:fill="F7F7F7"/>
          </w:tcPr>
          <w:p>
            <w:pPr>
              <w:spacing w:after="0" w:before="0" w:line="240" w:lineRule="auto"/>
            </w:pPr>
            <w:r>
              <w:rPr>
                <w:b/>
                <w:sz w:val="15"/>
              </w:rPr>
              <w:t>D-01</w:t>
            </w:r>
          </w:p>
        </w:tc>
        <w:tc>
          <w:tcPr>
            <w:tcW w:type="dxa" w:w="2880"/>
            <w:vAlign w:val="top"/>
            <w:shd w:fill="F7F7F7"/>
          </w:tcPr>
          <w:p>
            <w:pPr>
              <w:spacing w:after="0" w:before="0" w:line="240" w:lineRule="auto"/>
            </w:pPr>
            <w:r>
              <w:rPr>
                <w:b w:val="0"/>
                <w:sz w:val="15"/>
              </w:rPr>
              <w:t>Ubicación de Mage</w:t>
            </w:r>
          </w:p>
        </w:tc>
        <w:tc>
          <w:tcPr>
            <w:tcW w:type="dxa" w:w="7632"/>
            <w:vAlign w:val="top"/>
            <w:shd w:fill="F7F7F7"/>
          </w:tcPr>
          <w:p>
            <w:pPr>
              <w:spacing w:after="0" w:before="0" w:line="240" w:lineRule="auto"/>
            </w:pPr>
            <w:r>
              <w:rPr>
                <w:b w:val="0"/>
                <w:sz w:val="15"/>
              </w:rPr>
              <w:t>CEL/TI debe confirmar si Mage se alojará en una VM del servidor de virtualización, en el servidor ML/IA o en otro host institucional.</w:t>
            </w:r>
          </w:p>
        </w:tc>
        <w:tc>
          <w:tcPr>
            <w:tcW w:type="dxa" w:w="4752"/>
            <w:vAlign w:val="top"/>
            <w:shd w:fill="F7F7F7"/>
          </w:tcPr>
          <w:p>
            <w:pPr>
              <w:spacing w:after="0" w:before="0" w:line="240" w:lineRule="auto"/>
            </w:pPr>
            <w:r>
              <w:rPr>
                <w:b w:val="0"/>
                <w:sz w:val="15"/>
              </w:rPr>
              <w:t>Crítica. Sin host/puertos/storage no puede cerrarse el stack de orquestación.</w:t>
            </w:r>
          </w:p>
        </w:tc>
      </w:tr>
      <w:tr>
        <w:tc>
          <w:tcPr>
            <w:tcW w:type="dxa" w:w="792"/>
            <w:vAlign w:val="top"/>
          </w:tcPr>
          <w:p>
            <w:pPr>
              <w:spacing w:after="0" w:before="0" w:line="240" w:lineRule="auto"/>
            </w:pPr>
            <w:r>
              <w:rPr>
                <w:b/>
                <w:sz w:val="15"/>
              </w:rPr>
              <w:t>D-02</w:t>
            </w:r>
          </w:p>
        </w:tc>
        <w:tc>
          <w:tcPr>
            <w:tcW w:type="dxa" w:w="2880"/>
            <w:vAlign w:val="top"/>
          </w:tcPr>
          <w:p>
            <w:pPr>
              <w:spacing w:after="0" w:before="0" w:line="240" w:lineRule="auto"/>
            </w:pPr>
            <w:r>
              <w:rPr>
                <w:b w:val="0"/>
                <w:sz w:val="15"/>
              </w:rPr>
              <w:t>Ubicación de PostgreSQL/PostGIS y MongoDB</w:t>
            </w:r>
          </w:p>
        </w:tc>
        <w:tc>
          <w:tcPr>
            <w:tcW w:type="dxa" w:w="7632"/>
            <w:vAlign w:val="top"/>
          </w:tcPr>
          <w:p>
            <w:pPr>
              <w:spacing w:after="0" w:before="0" w:line="240" w:lineRule="auto"/>
            </w:pPr>
            <w:r>
              <w:rPr>
                <w:b w:val="0"/>
                <w:sz w:val="15"/>
              </w:rPr>
              <w:t>CEL/TI debe confirmar hosts, puertos, credenciales, storage, backup y segmentación.</w:t>
            </w:r>
          </w:p>
        </w:tc>
        <w:tc>
          <w:tcPr>
            <w:tcW w:type="dxa" w:w="4752"/>
            <w:vAlign w:val="top"/>
          </w:tcPr>
          <w:p>
            <w:pPr>
              <w:spacing w:after="0" w:before="0" w:line="240" w:lineRule="auto"/>
            </w:pPr>
            <w:r>
              <w:rPr>
                <w:b w:val="0"/>
                <w:sz w:val="15"/>
              </w:rPr>
              <w:t>Crítica. Sin endpoints no puede cerrarse el modelo de datos del piloto.</w:t>
            </w:r>
          </w:p>
        </w:tc>
      </w:tr>
      <w:tr>
        <w:tc>
          <w:tcPr>
            <w:tcW w:type="dxa" w:w="792"/>
            <w:vAlign w:val="top"/>
            <w:shd w:fill="F7F7F7"/>
          </w:tcPr>
          <w:p>
            <w:pPr>
              <w:spacing w:after="0" w:before="0" w:line="240" w:lineRule="auto"/>
            </w:pPr>
            <w:r>
              <w:rPr>
                <w:b/>
                <w:sz w:val="15"/>
              </w:rPr>
              <w:t>D-03</w:t>
            </w:r>
          </w:p>
        </w:tc>
        <w:tc>
          <w:tcPr>
            <w:tcW w:type="dxa" w:w="2880"/>
            <w:vAlign w:val="top"/>
            <w:shd w:fill="F7F7F7"/>
          </w:tcPr>
          <w:p>
            <w:pPr>
              <w:spacing w:after="0" w:before="0" w:line="240" w:lineRule="auto"/>
            </w:pPr>
            <w:r>
              <w:rPr>
                <w:b w:val="0"/>
                <w:sz w:val="15"/>
              </w:rPr>
              <w:t>Uso de GPU</w:t>
            </w:r>
          </w:p>
        </w:tc>
        <w:tc>
          <w:tcPr>
            <w:tcW w:type="dxa" w:w="7632"/>
            <w:vAlign w:val="top"/>
            <w:shd w:fill="F7F7F7"/>
          </w:tcPr>
          <w:p>
            <w:pPr>
              <w:spacing w:after="0" w:before="0" w:line="240" w:lineRule="auto"/>
            </w:pPr>
            <w:r>
              <w:rPr>
                <w:b w:val="0"/>
                <w:sz w:val="15"/>
              </w:rPr>
              <w:t>Confirmar GPU efectiva instalada, drivers, CUDA/NVIDIA runtime, acceso al servidor y política de uso.</w:t>
            </w:r>
          </w:p>
        </w:tc>
        <w:tc>
          <w:tcPr>
            <w:tcW w:type="dxa" w:w="4752"/>
            <w:vAlign w:val="top"/>
            <w:shd w:fill="F7F7F7"/>
          </w:tcPr>
          <w:p>
            <w:pPr>
              <w:spacing w:after="0" w:before="0" w:line="240" w:lineRule="auto"/>
            </w:pPr>
            <w:r>
              <w:rPr>
                <w:b w:val="0"/>
                <w:sz w:val="15"/>
              </w:rPr>
              <w:t>Crítica para validación/benchmark GPU y entrenamiento/inferencia.</w:t>
            </w:r>
          </w:p>
        </w:tc>
      </w:tr>
      <w:tr>
        <w:tc>
          <w:tcPr>
            <w:tcW w:type="dxa" w:w="792"/>
            <w:vAlign w:val="top"/>
          </w:tcPr>
          <w:p>
            <w:pPr>
              <w:spacing w:after="0" w:before="0" w:line="240" w:lineRule="auto"/>
            </w:pPr>
            <w:r>
              <w:rPr>
                <w:b/>
                <w:sz w:val="15"/>
              </w:rPr>
              <w:t>D-04</w:t>
            </w:r>
          </w:p>
        </w:tc>
        <w:tc>
          <w:tcPr>
            <w:tcW w:type="dxa" w:w="2880"/>
            <w:vAlign w:val="top"/>
          </w:tcPr>
          <w:p>
            <w:pPr>
              <w:spacing w:after="0" w:before="0" w:line="240" w:lineRule="auto"/>
            </w:pPr>
            <w:r>
              <w:rPr>
                <w:b w:val="0"/>
                <w:sz w:val="15"/>
              </w:rPr>
              <w:t>Storage persistente del piloto</w:t>
            </w:r>
          </w:p>
        </w:tc>
        <w:tc>
          <w:tcPr>
            <w:tcW w:type="dxa" w:w="7632"/>
            <w:vAlign w:val="top"/>
          </w:tcPr>
          <w:p>
            <w:pPr>
              <w:spacing w:after="0" w:before="0" w:line="240" w:lineRule="auto"/>
            </w:pPr>
            <w:r>
              <w:rPr>
                <w:b w:val="0"/>
                <w:sz w:val="15"/>
              </w:rPr>
              <w:t>Confirmar rutas NAS/volúmenes, cuotas, permisos, retención y owner.</w:t>
            </w:r>
          </w:p>
        </w:tc>
        <w:tc>
          <w:tcPr>
            <w:tcW w:type="dxa" w:w="4752"/>
            <w:vAlign w:val="top"/>
          </w:tcPr>
          <w:p>
            <w:pPr>
              <w:spacing w:after="0" w:before="0" w:line="240" w:lineRule="auto"/>
            </w:pPr>
            <w:r>
              <w:rPr>
                <w:b w:val="0"/>
                <w:sz w:val="15"/>
              </w:rPr>
              <w:t>Crítica para datasets, artefactos, logs y checkpoints.</w:t>
            </w:r>
          </w:p>
        </w:tc>
      </w:tr>
      <w:tr>
        <w:tc>
          <w:tcPr>
            <w:tcW w:type="dxa" w:w="792"/>
            <w:vAlign w:val="top"/>
            <w:shd w:fill="F7F7F7"/>
          </w:tcPr>
          <w:p>
            <w:pPr>
              <w:spacing w:after="0" w:before="0" w:line="240" w:lineRule="auto"/>
            </w:pPr>
            <w:r>
              <w:rPr>
                <w:b/>
                <w:sz w:val="15"/>
              </w:rPr>
              <w:t>D-05</w:t>
            </w:r>
          </w:p>
        </w:tc>
        <w:tc>
          <w:tcPr>
            <w:tcW w:type="dxa" w:w="2880"/>
            <w:vAlign w:val="top"/>
            <w:shd w:fill="F7F7F7"/>
          </w:tcPr>
          <w:p>
            <w:pPr>
              <w:spacing w:after="0" w:before="0" w:line="240" w:lineRule="auto"/>
            </w:pPr>
            <w:r>
              <w:rPr>
                <w:b w:val="0"/>
                <w:sz w:val="15"/>
              </w:rPr>
              <w:t>Acceso remoto seguro</w:t>
            </w:r>
          </w:p>
        </w:tc>
        <w:tc>
          <w:tcPr>
            <w:tcW w:type="dxa" w:w="7632"/>
            <w:vAlign w:val="top"/>
            <w:shd w:fill="F7F7F7"/>
          </w:tcPr>
          <w:p>
            <w:pPr>
              <w:spacing w:after="0" w:before="0" w:line="240" w:lineRule="auto"/>
            </w:pPr>
            <w:r>
              <w:rPr>
                <w:b w:val="0"/>
                <w:sz w:val="15"/>
              </w:rPr>
              <w:t>Confirmar VPN/bastion, usuarios, MFA, horarios, IP allowlist y procedimientos de soporte.</w:t>
            </w:r>
          </w:p>
        </w:tc>
        <w:tc>
          <w:tcPr>
            <w:tcW w:type="dxa" w:w="4752"/>
            <w:vAlign w:val="top"/>
            <w:shd w:fill="F7F7F7"/>
          </w:tcPr>
          <w:p>
            <w:pPr>
              <w:spacing w:after="0" w:before="0" w:line="240" w:lineRule="auto"/>
            </w:pPr>
            <w:r>
              <w:rPr>
                <w:b w:val="0"/>
                <w:sz w:val="15"/>
              </w:rPr>
              <w:t>Crítica para ejecución remota y soporte desde Boston.</w:t>
            </w:r>
          </w:p>
        </w:tc>
      </w:tr>
      <w:tr>
        <w:tc>
          <w:tcPr>
            <w:tcW w:type="dxa" w:w="792"/>
            <w:vAlign w:val="top"/>
          </w:tcPr>
          <w:p>
            <w:pPr>
              <w:spacing w:after="0" w:before="0" w:line="240" w:lineRule="auto"/>
            </w:pPr>
            <w:r>
              <w:rPr>
                <w:b/>
                <w:sz w:val="15"/>
              </w:rPr>
              <w:t>D-06</w:t>
            </w:r>
          </w:p>
        </w:tc>
        <w:tc>
          <w:tcPr>
            <w:tcW w:type="dxa" w:w="2880"/>
            <w:vAlign w:val="top"/>
          </w:tcPr>
          <w:p>
            <w:pPr>
              <w:spacing w:after="0" w:before="0" w:line="240" w:lineRule="auto"/>
            </w:pPr>
            <w:r>
              <w:rPr>
                <w:b w:val="0"/>
                <w:sz w:val="15"/>
              </w:rPr>
              <w:t>Egress a fuentes externas</w:t>
            </w:r>
          </w:p>
        </w:tc>
        <w:tc>
          <w:tcPr>
            <w:tcW w:type="dxa" w:w="7632"/>
            <w:vAlign w:val="top"/>
          </w:tcPr>
          <w:p>
            <w:pPr>
              <w:spacing w:after="0" w:before="0" w:line="240" w:lineRule="auto"/>
            </w:pPr>
            <w:r>
              <w:rPr>
                <w:b w:val="0"/>
                <w:sz w:val="15"/>
              </w:rPr>
              <w:t>Confirmar permisos firewall/DNS/HTTPS para ECMWF/Copernicus, NASA, CHIRPS, Sentinel/OSM/Mapbox o equivalentes.</w:t>
            </w:r>
          </w:p>
        </w:tc>
        <w:tc>
          <w:tcPr>
            <w:tcW w:type="dxa" w:w="4752"/>
            <w:vAlign w:val="top"/>
          </w:tcPr>
          <w:p>
            <w:pPr>
              <w:spacing w:after="0" w:before="0" w:line="240" w:lineRule="auto"/>
            </w:pPr>
            <w:r>
              <w:rPr>
                <w:b w:val="0"/>
                <w:sz w:val="15"/>
              </w:rPr>
              <w:t>Crítica para ingesta diaria.</w:t>
            </w:r>
          </w:p>
        </w:tc>
      </w:tr>
      <w:tr>
        <w:tc>
          <w:tcPr>
            <w:tcW w:type="dxa" w:w="792"/>
            <w:vAlign w:val="top"/>
            <w:shd w:fill="F7F7F7"/>
          </w:tcPr>
          <w:p>
            <w:pPr>
              <w:spacing w:after="0" w:before="0" w:line="240" w:lineRule="auto"/>
            </w:pPr>
            <w:r>
              <w:rPr>
                <w:b/>
                <w:sz w:val="15"/>
              </w:rPr>
              <w:t>D-07</w:t>
            </w:r>
          </w:p>
        </w:tc>
        <w:tc>
          <w:tcPr>
            <w:tcW w:type="dxa" w:w="2880"/>
            <w:vAlign w:val="top"/>
            <w:shd w:fill="F7F7F7"/>
          </w:tcPr>
          <w:p>
            <w:pPr>
              <w:spacing w:after="0" w:before="0" w:line="240" w:lineRule="auto"/>
            </w:pPr>
            <w:r>
              <w:rPr>
                <w:b w:val="0"/>
                <w:sz w:val="15"/>
              </w:rPr>
              <w:t>Data handoff CEL</w:t>
            </w:r>
          </w:p>
        </w:tc>
        <w:tc>
          <w:tcPr>
            <w:tcW w:type="dxa" w:w="7632"/>
            <w:vAlign w:val="top"/>
            <w:shd w:fill="F7F7F7"/>
          </w:tcPr>
          <w:p>
            <w:pPr>
              <w:spacing w:after="0" w:before="0" w:line="240" w:lineRule="auto"/>
            </w:pPr>
            <w:r>
              <w:rPr>
                <w:b w:val="0"/>
                <w:sz w:val="15"/>
              </w:rPr>
              <w:t>Confirmar fuentes internas, esquemas, archivos Excel, owners, frecuencia, units/timezones y permisos read-only.</w:t>
            </w:r>
          </w:p>
        </w:tc>
        <w:tc>
          <w:tcPr>
            <w:tcW w:type="dxa" w:w="4752"/>
            <w:vAlign w:val="top"/>
            <w:shd w:fill="F7F7F7"/>
          </w:tcPr>
          <w:p>
            <w:pPr>
              <w:spacing w:after="0" w:before="0" w:line="240" w:lineRule="auto"/>
            </w:pPr>
            <w:r>
              <w:rPr>
                <w:b w:val="0"/>
                <w:sz w:val="15"/>
              </w:rPr>
              <w:t>Crítica para Fase 1, pero debe iniciarse desde Fase 0.</w:t>
            </w:r>
          </w:p>
        </w:tc>
      </w:tr>
      <w:tr>
        <w:tc>
          <w:tcPr>
            <w:tcW w:type="dxa" w:w="792"/>
            <w:vAlign w:val="top"/>
          </w:tcPr>
          <w:p>
            <w:pPr>
              <w:spacing w:after="0" w:before="0" w:line="240" w:lineRule="auto"/>
            </w:pPr>
            <w:r>
              <w:rPr>
                <w:b/>
                <w:sz w:val="15"/>
              </w:rPr>
              <w:t>D-08</w:t>
            </w:r>
          </w:p>
        </w:tc>
        <w:tc>
          <w:tcPr>
            <w:tcW w:type="dxa" w:w="2880"/>
            <w:vAlign w:val="top"/>
          </w:tcPr>
          <w:p>
            <w:pPr>
              <w:spacing w:after="0" w:before="0" w:line="240" w:lineRule="auto"/>
            </w:pPr>
            <w:r>
              <w:rPr>
                <w:b w:val="0"/>
                <w:sz w:val="15"/>
              </w:rPr>
              <w:t>SMTP/SMS y alertas</w:t>
            </w:r>
          </w:p>
        </w:tc>
        <w:tc>
          <w:tcPr>
            <w:tcW w:type="dxa" w:w="7632"/>
            <w:vAlign w:val="top"/>
          </w:tcPr>
          <w:p>
            <w:pPr>
              <w:spacing w:after="0" w:before="0" w:line="240" w:lineRule="auto"/>
            </w:pPr>
            <w:r>
              <w:rPr>
                <w:b w:val="0"/>
                <w:sz w:val="15"/>
              </w:rPr>
              <w:t>Confirmar canal, remitente, destinatarios, niveles de alerta, umbrales y protocolo de comunicación.</w:t>
            </w:r>
          </w:p>
        </w:tc>
        <w:tc>
          <w:tcPr>
            <w:tcW w:type="dxa" w:w="4752"/>
            <w:vAlign w:val="top"/>
          </w:tcPr>
          <w:p>
            <w:pPr>
              <w:spacing w:after="0" w:before="0" w:line="240" w:lineRule="auto"/>
            </w:pPr>
            <w:r>
              <w:rPr>
                <w:b w:val="0"/>
                <w:sz w:val="15"/>
              </w:rPr>
              <w:t>Necesario antes de operacionalización/alertas.</w:t>
            </w:r>
          </w:p>
        </w:tc>
      </w:tr>
      <w:tr>
        <w:tc>
          <w:tcPr>
            <w:tcW w:type="dxa" w:w="792"/>
            <w:vAlign w:val="top"/>
            <w:shd w:fill="F7F7F7"/>
          </w:tcPr>
          <w:p>
            <w:pPr>
              <w:spacing w:after="0" w:before="0" w:line="240" w:lineRule="auto"/>
            </w:pPr>
            <w:r>
              <w:rPr>
                <w:b/>
                <w:sz w:val="15"/>
              </w:rPr>
              <w:t>D-09</w:t>
            </w:r>
          </w:p>
        </w:tc>
        <w:tc>
          <w:tcPr>
            <w:tcW w:type="dxa" w:w="2880"/>
            <w:vAlign w:val="top"/>
            <w:shd w:fill="F7F7F7"/>
          </w:tcPr>
          <w:p>
            <w:pPr>
              <w:spacing w:after="0" w:before="0" w:line="240" w:lineRule="auto"/>
            </w:pPr>
            <w:r>
              <w:rPr>
                <w:b w:val="0"/>
                <w:sz w:val="15"/>
              </w:rPr>
              <w:t>Backups y restore</w:t>
            </w:r>
          </w:p>
        </w:tc>
        <w:tc>
          <w:tcPr>
            <w:tcW w:type="dxa" w:w="7632"/>
            <w:vAlign w:val="top"/>
            <w:shd w:fill="F7F7F7"/>
          </w:tcPr>
          <w:p>
            <w:pPr>
              <w:spacing w:after="0" w:before="0" w:line="240" w:lineRule="auto"/>
            </w:pPr>
            <w:r>
              <w:rPr>
                <w:b w:val="0"/>
                <w:sz w:val="15"/>
              </w:rPr>
              <w:t>Confirmar herramienta, responsables, RPO/RTO, retención y prueba de restauración.</w:t>
            </w:r>
          </w:p>
        </w:tc>
        <w:tc>
          <w:tcPr>
            <w:tcW w:type="dxa" w:w="4752"/>
            <w:vAlign w:val="top"/>
            <w:shd w:fill="F7F7F7"/>
          </w:tcPr>
          <w:p>
            <w:pPr>
              <w:spacing w:after="0" w:before="0" w:line="240" w:lineRule="auto"/>
            </w:pPr>
            <w:r>
              <w:rPr>
                <w:b w:val="0"/>
                <w:sz w:val="15"/>
              </w:rPr>
              <w:t>No es administración de la Consultora; sí es dependencia de operación segura.</w:t>
            </w:r>
          </w:p>
        </w:tc>
      </w:tr>
      <w:tr>
        <w:tc>
          <w:tcPr>
            <w:tcW w:type="dxa" w:w="792"/>
            <w:vAlign w:val="top"/>
          </w:tcPr>
          <w:p>
            <w:pPr>
              <w:spacing w:after="0" w:before="0" w:line="240" w:lineRule="auto"/>
            </w:pPr>
            <w:r>
              <w:rPr>
                <w:b/>
                <w:sz w:val="15"/>
              </w:rPr>
              <w:t>D-10</w:t>
            </w:r>
          </w:p>
        </w:tc>
        <w:tc>
          <w:tcPr>
            <w:tcW w:type="dxa" w:w="2880"/>
            <w:vAlign w:val="top"/>
          </w:tcPr>
          <w:p>
            <w:pPr>
              <w:spacing w:after="0" w:before="0" w:line="240" w:lineRule="auto"/>
            </w:pPr>
            <w:r>
              <w:rPr>
                <w:b w:val="0"/>
                <w:sz w:val="15"/>
              </w:rPr>
              <w:t>Soporte y escalación</w:t>
            </w:r>
          </w:p>
        </w:tc>
        <w:tc>
          <w:tcPr>
            <w:tcW w:type="dxa" w:w="7632"/>
            <w:vAlign w:val="top"/>
          </w:tcPr>
          <w:p>
            <w:pPr>
              <w:spacing w:after="0" w:before="0" w:line="240" w:lineRule="auto"/>
            </w:pPr>
            <w:r>
              <w:rPr>
                <w:b w:val="0"/>
                <w:sz w:val="15"/>
              </w:rPr>
              <w:t>Confirmar contactos CEL, Martinexsa, Dell/NVIDIA, SLA, portal de tickets y uso de TechCircle.</w:t>
            </w:r>
          </w:p>
        </w:tc>
        <w:tc>
          <w:tcPr>
            <w:tcW w:type="dxa" w:w="4752"/>
            <w:vAlign w:val="top"/>
          </w:tcPr>
          <w:p>
            <w:pPr>
              <w:spacing w:after="0" w:before="0" w:line="240" w:lineRule="auto"/>
            </w:pPr>
            <w:r>
              <w:rPr>
                <w:b w:val="0"/>
                <w:sz w:val="15"/>
              </w:rPr>
              <w:t>Necesario para que incidentes de plataforma no se imputen al piloto funcional.</w:t>
            </w:r>
          </w:p>
        </w:tc>
      </w:tr>
    </w:tbl>
    <w:p/>
    <w:p>
      <w:pPr>
        <w:pStyle w:val="Heading1"/>
      </w:pPr>
      <w:r>
        <w:t>9. Redacción sustitutiva recomendada para el Anexo Técnico B/C del DSP</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4256"/>
      </w:tblGrid>
      <w:tr>
        <w:tc>
          <w:tcPr>
            <w:tcW w:type="dxa" w:w="14256"/>
            <w:shd w:fill="FFF2CC"/>
          </w:tcPr>
          <w:p>
            <w:pPr>
              <w:spacing w:after="40"/>
            </w:pPr>
            <w:r>
              <w:rPr>
                <w:rFonts w:ascii="Arial" w:hAnsi="Arial"/>
                <w:b/>
                <w:color w:val="1F4E79"/>
                <w:sz w:val="19"/>
              </w:rPr>
              <w:t>Texto propuesto para insertar como nota de actualización</w:t>
              <w:br/>
            </w:r>
            <w:r>
              <w:rPr>
                <w:rFonts w:ascii="Arial" w:hAnsi="Arial"/>
                <w:sz w:val="17"/>
              </w:rPr>
              <w:t>La infraestructura física del AI Silo se actualizará conforme a la plataforma adquirida por CEL mediante la oferta aceptada de Martinexsa/Dell. En consecuencia, el BOM original de tres nodos incluido en el DSP se mantiene únicamente como antecedente de dimensionamiento y deja de ser la arquitectura física vigente para ejecución. La Consultora implementará, integrará y validará el stack funcional del piloto de pronóstico hidrológico basado en IA dentro de la infraestructura que CEL ponga formalmente a disposición, siempre que dicha infraestructura haya sido instalada, configurada, accesible y documentada por CEL y/o su proveedor. Esta actualización no amplía el alcance contractual de la Consultora hacia actividades de adquisición, racking, energía, cooling, switching, licenciamiento enterprise, hardening institucional, monitoreo 24x7, backup corporativo, administración continua, garantías, soporte de fabricante o servicios de data center no previstos expresamente en el contrato.</w:t>
              <w:br/>
            </w:r>
          </w:p>
        </w:tc>
      </w:tr>
    </w:tbl>
    <w:p/>
    <w:p>
      <w:pPr>
        <w:pStyle w:val="Heading1"/>
      </w:pPr>
      <w:r>
        <w:t>10. Criterio de aceptación técnica de este anexo</w:t>
      </w:r>
    </w:p>
    <w:p>
      <w:r>
        <w:t>Este anexo se considera aceptado para fines de alineación operativa cuando CEL confirme por escrito: (i) inventario final de equipos entregados; (ii) ubicación de Mage/BDs/dashboard; (iii) accesos remotos; (iv) GPU efectiva y runtime; (v) rutas de almacenamiento; (vi) reglas de red/firewall; (vii) responsables de backup/soporte; y (viii) contactos de escalación. Sin esta confirmación, la Consultora puede avanzar en diseño/documentación preparatoria, pero no debe considerarse que la Fase 0 está plenamente habilitada ni que los retrasos de infraestructura son imputables al alcance funcional del piloto.</w:t>
      </w:r>
    </w:p>
    <w:sectPr w:rsidR="00FC693F" w:rsidRPr="0006063C" w:rsidSect="00034616">
      <w:headerReference w:type="default" r:id="rId9"/>
      <w:footerReference w:type="default" r:id="rId10"/>
      <w:pgSz w:w="15840" w:h="12240" w:orient="landscape"/>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777777"/>
        <w:sz w:val="14"/>
      </w:rPr>
      <w:t>Documento técnico de alineación contractual-operativa | CEL-CFU 02/26 | Preparado para revisión institucional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66666"/>
        <w:sz w:val="15"/>
      </w:rPr>
      <w:t>Anexo Complementario No. 1 - BOM actualizado y diagrama final de alcance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597"/>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0404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Small">
    <w:name w:val="CaptionSmall"/>
    <w:pPr>
      <w:spacing w:after="80"/>
    </w:pPr>
    <w:rPr>
      <w:rFonts w:ascii="Arial" w:hAnsi="Arial" w:eastAsia="Arial"/>
      <w:i/>
      <w:color w:val="666666"/>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