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after="200"/>
        <w:jc w:val="center"/>
      </w:pPr>
      <w:r>
        <w:rPr>
          <w:rFonts w:ascii="Arial" w:cs="Arial" w:eastAsia="Arial" w:hAnsi="Arial"/>
          <w:b/>
          <w:bCs/>
          <w:color w:val="1B4F72"/>
          <w:sz w:val="52"/>
          <w:szCs w:val="52"/>
        </w:rPr>
        <w:t xml:space="preserve">CAHIER DES CHARGES</w:t>
      </w:r>
    </w:p>
    <w:p>
      <w:pPr>
        <w:spacing w:after="100"/>
        <w:jc w:val="center"/>
      </w:pPr>
      <w:r>
        <w:rPr>
          <w:rFonts w:ascii="Arial" w:cs="Arial" w:eastAsia="Arial" w:hAnsi="Arial"/>
          <w:color w:val="2980B9"/>
          <w:sz w:val="36"/>
          <w:szCs w:val="36"/>
        </w:rPr>
        <w:t xml:space="preserve">—</w:t>
      </w:r>
    </w:p>
    <w:p>
      <w:pPr>
        <w:spacing w:after="400"/>
        <w:jc w:val="center"/>
      </w:pPr>
      <w:r>
        <w:rPr>
          <w:rFonts w:ascii="Arial" w:cs="Arial" w:eastAsia="Arial" w:hAnsi="Arial"/>
          <w:b/>
          <w:bCs/>
          <w:color w:val="2C3E50"/>
          <w:sz w:val="44"/>
          <w:szCs w:val="44"/>
        </w:rPr>
        <w:t xml:space="preserve">ContaPFA.ro</w:t>
      </w:r>
    </w:p>
    <w:p>
      <w:pPr>
        <w:spacing w:after="200"/>
        <w:jc w:val="center"/>
      </w:pPr>
      <w:r>
        <w:rPr>
          <w:rFonts w:ascii="Arial" w:cs="Arial" w:eastAsia="Arial" w:hAnsi="Arial"/>
          <w:color w:val="555555"/>
          <w:sz w:val="24"/>
          <w:szCs w:val="24"/>
        </w:rPr>
        <w:t xml:space="preserve">Platformă SaaS de facturare, contabilitate și conformitate fiscală</w:t>
      </w:r>
    </w:p>
    <w:p>
      <w:pPr>
        <w:spacing w:after="100"/>
        <w:jc w:val="center"/>
      </w:pPr>
      <w:r>
        <w:rPr>
          <w:rFonts w:ascii="Arial" w:cs="Arial" w:eastAsia="Arial" w:hAnsi="Arial"/>
          <w:color w:val="555555"/>
          <w:sz w:val="24"/>
          <w:szCs w:val="24"/>
        </w:rPr>
        <w:t xml:space="preserve">pentru PFA-uri, Întreprinderi Individuale și Micro-SRL-uri din România</w:t>
      </w:r>
    </w:p>
    <w:p>
      <w:pPr>
        <w:spacing w:before="1500" w:after="0"/>
      </w:pPr>
    </w:p>
    <w:p>
      <w:pPr>
        <w:pBdr>
          <w:top w:val="single" w:color="2980B9" w:sz="2" w:space="8"/>
        </w:pBdr>
        <w:spacing w:after="100"/>
        <w:jc w:val="center"/>
      </w:pPr>
    </w:p>
    <w:p>
      <w:pPr>
        <w:spacing w:after="60"/>
        <w:jc w:val="center"/>
      </w:pPr>
      <w:r>
        <w:rPr>
          <w:rFonts w:ascii="Arial" w:cs="Arial" w:eastAsia="Arial" w:hAnsi="Arial"/>
          <w:color w:val="777777"/>
          <w:sz w:val="20"/>
          <w:szCs w:val="20"/>
        </w:rPr>
        <w:t xml:space="preserve">Versiune: 1.0  |  Data: Martie 2026</w:t>
      </w:r>
    </w:p>
    <w:p>
      <w:pPr>
        <w:spacing w:after="60"/>
        <w:jc w:val="center"/>
      </w:pPr>
      <w:r>
        <w:rPr>
          <w:rFonts w:ascii="Arial" w:cs="Arial" w:eastAsia="Arial" w:hAnsi="Arial"/>
          <w:i/>
          <w:iCs/>
          <w:color w:val="777777"/>
          <w:sz w:val="20"/>
          <w:szCs w:val="20"/>
        </w:rPr>
        <w:t xml:space="preserve">Document confidențial</w:t>
      </w:r>
    </w:p>
    <w:p>
      <w:pPr>
        <w:sectPr>
          <w:pgSz w:w="11906" w:h="16838"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4F72"/>
          <w:sz w:val="32"/>
          <w:szCs w:val="32"/>
        </w:rPr>
        <w:t xml:space="preserve">1. Prezentare Generală</w:t>
      </w:r>
    </w:p>
    <w:p>
      <w:pPr>
        <w:pStyle w:val="Heading2"/>
        <w:spacing w:before="300" w:after="150"/>
      </w:pPr>
      <w:r>
        <w:rPr>
          <w:rFonts w:ascii="Arial" w:cs="Arial" w:eastAsia="Arial" w:hAnsi="Arial"/>
          <w:b/>
          <w:bCs/>
          <w:color w:val="2C3E50"/>
          <w:sz w:val="26"/>
          <w:szCs w:val="26"/>
        </w:rPr>
        <w:t xml:space="preserve">1.1 Contextul proiectului</w:t>
      </w:r>
    </w:p>
    <w:p>
      <w:pPr>
        <w:spacing w:after="120" w:line="276"/>
        <w:jc w:val="both"/>
      </w:pPr>
      <w:r>
        <w:rPr>
          <w:rFonts w:ascii="Arial" w:cs="Arial" w:eastAsia="Arial" w:hAnsi="Arial"/>
          <w:color w:val="333333"/>
          <w:sz w:val="21"/>
          <w:szCs w:val="21"/>
        </w:rPr>
        <w:t xml:space="preserve">România are peste 500.000 de PFA-uri active și nicio platformă SaaS pură de tip self-service care să combine facturarea electronică (e-Factura), calculul automat al taxelor, sincronizarea bancară și pregătirea declarațiilor fiscale într-un singur instrument simplu, destinat persoanelor fizice autorizate.</w:t>
      </w:r>
    </w:p>
    <w:p>
      <w:pPr>
        <w:spacing w:after="120" w:line="276"/>
        <w:jc w:val="both"/>
      </w:pPr>
      <w:r>
        <w:rPr>
          <w:rFonts w:ascii="Arial" w:cs="Arial" w:eastAsia="Arial" w:hAnsi="Arial"/>
          <w:color w:val="333333"/>
          <w:sz w:val="21"/>
          <w:szCs w:val="21"/>
        </w:rPr>
        <w:t xml:space="preserve">Mandatul e-Factura (2024–2025) a forțat fiecare entitate economică din țară să treacă la facturarea digitală. Valul de schimbări fiscale din 2025–2026 (TVA 21%, praguri micro la 100.000€, CASS reformulat, acceptare obligatorie a plăților electronice) creează o cerere urgentă pentru un instrument care se adaptează automat.</w:t>
      </w:r>
    </w:p>
    <w:p>
      <w:pPr>
        <w:spacing w:after="120" w:line="276"/>
        <w:jc w:val="both"/>
      </w:pPr>
      <w:r>
        <w:rPr>
          <w:rFonts w:ascii="Arial" w:cs="Arial" w:eastAsia="Arial" w:hAnsi="Arial"/>
          <w:color w:val="333333"/>
          <w:sz w:val="21"/>
          <w:szCs w:val="21"/>
        </w:rPr>
        <w:t xml:space="preserve">Proiectul ContaPFA.ro își propune să fie echivalentul românesc al Compta by Mon-AutoEntreprise.fr — o platformă care a demonstrat deja modelul cu peste 10.000 de utilizatori auto-antreprenori în Franța.</w:t>
      </w:r>
    </w:p>
    <w:p>
      <w:pPr>
        <w:pStyle w:val="Heading2"/>
        <w:spacing w:before="300" w:after="150"/>
      </w:pPr>
      <w:r>
        <w:rPr>
          <w:rFonts w:ascii="Arial" w:cs="Arial" w:eastAsia="Arial" w:hAnsi="Arial"/>
          <w:b/>
          <w:bCs/>
          <w:color w:val="2C3E50"/>
          <w:sz w:val="26"/>
          <w:szCs w:val="26"/>
        </w:rPr>
        <w:t xml:space="preserve">1.2 Obiectivele proiectului</w:t>
      </w:r>
    </w:p>
    <w:p>
      <w:pPr>
        <w:pStyle w:val="ListParagraph"/>
        <w:numPr>
          <w:ilvl w:val="0"/>
          <w:numId w:val="2"/>
        </w:numPr>
        <w:spacing w:after="60" w:line="276"/>
      </w:pPr>
      <w:r>
        <w:rPr>
          <w:rFonts w:ascii="Arial" w:cs="Arial" w:eastAsia="Arial" w:hAnsi="Arial"/>
          <w:color w:val="333333"/>
          <w:sz w:val="21"/>
          <w:szCs w:val="21"/>
        </w:rPr>
        <w:t xml:space="preserve">Crearea unei platforme SaaS mobile-first de facturare, contabilitate și conformitate fiscală destinată PFA-urilor, II-urilor și micro-SRL-urilor din România</w:t>
      </w:r>
    </w:p>
    <w:p>
      <w:pPr>
        <w:pStyle w:val="ListParagraph"/>
        <w:numPr>
          <w:ilvl w:val="0"/>
          <w:numId w:val="2"/>
        </w:numPr>
        <w:spacing w:after="60" w:line="276"/>
      </w:pPr>
      <w:r>
        <w:rPr>
          <w:rFonts w:ascii="Arial" w:cs="Arial" w:eastAsia="Arial" w:hAnsi="Arial"/>
          <w:color w:val="333333"/>
          <w:sz w:val="21"/>
          <w:szCs w:val="21"/>
        </w:rPr>
        <w:t xml:space="preserve">Integrare nativă cu sistemul ANAF e-Factura (API REST, UBL 2.1 / CIUS-RO) pentru transmiterea automată a facturilor</w:t>
      </w:r>
    </w:p>
    <w:p>
      <w:pPr>
        <w:pStyle w:val="ListParagraph"/>
        <w:numPr>
          <w:ilvl w:val="0"/>
          <w:numId w:val="2"/>
        </w:numPr>
        <w:spacing w:after="60" w:line="276"/>
      </w:pPr>
      <w:r>
        <w:rPr>
          <w:rFonts w:ascii="Arial" w:cs="Arial" w:eastAsia="Arial" w:hAnsi="Arial"/>
          <w:color w:val="333333"/>
          <w:sz w:val="21"/>
          <w:szCs w:val="21"/>
        </w:rPr>
        <w:t xml:space="preserve">Calculator fiscal în timp real: CAS (25%), CASS (10% pe paliere), impozit pe venit (10%), cu actualizare automată la modificarea pragurilor</w:t>
      </w:r>
    </w:p>
    <w:p>
      <w:pPr>
        <w:pStyle w:val="ListParagraph"/>
        <w:numPr>
          <w:ilvl w:val="0"/>
          <w:numId w:val="2"/>
        </w:numPr>
        <w:spacing w:after="60" w:line="276"/>
      </w:pPr>
      <w:r>
        <w:rPr>
          <w:rFonts w:ascii="Arial" w:cs="Arial" w:eastAsia="Arial" w:hAnsi="Arial"/>
          <w:color w:val="333333"/>
          <w:sz w:val="21"/>
          <w:szCs w:val="21"/>
        </w:rPr>
        <w:t xml:space="preserve">Generator de Declarație Unică (D212) cu export PDF/XML compatibil SPV</w:t>
      </w:r>
    </w:p>
    <w:p>
      <w:pPr>
        <w:pStyle w:val="ListParagraph"/>
        <w:numPr>
          <w:ilvl w:val="0"/>
          <w:numId w:val="2"/>
        </w:numPr>
        <w:spacing w:after="60" w:line="276"/>
      </w:pPr>
      <w:r>
        <w:rPr>
          <w:rFonts w:ascii="Arial" w:cs="Arial" w:eastAsia="Arial" w:hAnsi="Arial"/>
          <w:color w:val="333333"/>
          <w:sz w:val="21"/>
          <w:szCs w:val="21"/>
        </w:rPr>
        <w:t xml:space="preserve">Sincronizare bancară prin Open Banking (Finqware / Salt Edge) pentru reconciliere automată</w:t>
      </w:r>
    </w:p>
    <w:p>
      <w:pPr>
        <w:pStyle w:val="ListParagraph"/>
        <w:numPr>
          <w:ilvl w:val="0"/>
          <w:numId w:val="2"/>
        </w:numPr>
        <w:spacing w:after="60" w:line="276"/>
      </w:pPr>
      <w:r>
        <w:rPr>
          <w:rFonts w:ascii="Arial" w:cs="Arial" w:eastAsia="Arial" w:hAnsi="Arial"/>
          <w:color w:val="333333"/>
          <w:sz w:val="21"/>
          <w:szCs w:val="21"/>
        </w:rPr>
        <w:t xml:space="preserve">Scanare și OCR pentru bonuri/chitanețe, cu categorizare automată a cheltuielilor</w:t>
      </w:r>
    </w:p>
    <w:p>
      <w:pPr>
        <w:pStyle w:val="ListParagraph"/>
        <w:numPr>
          <w:ilvl w:val="0"/>
          <w:numId w:val="2"/>
        </w:numPr>
        <w:spacing w:after="60" w:line="276"/>
      </w:pPr>
      <w:r>
        <w:rPr>
          <w:rFonts w:ascii="Arial" w:cs="Arial" w:eastAsia="Arial" w:hAnsi="Arial"/>
          <w:color w:val="333333"/>
          <w:sz w:val="21"/>
          <w:szCs w:val="21"/>
        </w:rPr>
        <w:t xml:space="preserve">Preț de 29–49 RON/lună (€6–10), poziționat între instrumentele pure de facturare (€3–5) și serviciile hibride cu contabil (€24–30+)</w:t>
      </w:r>
    </w:p>
    <w:p>
      <w:pPr>
        <w:pStyle w:val="Heading2"/>
        <w:spacing w:before="300" w:after="150"/>
      </w:pPr>
      <w:r>
        <w:rPr>
          <w:rFonts w:ascii="Arial" w:cs="Arial" w:eastAsia="Arial" w:hAnsi="Arial"/>
          <w:b/>
          <w:bCs/>
          <w:color w:val="2C3E50"/>
          <w:sz w:val="26"/>
          <w:szCs w:val="26"/>
        </w:rPr>
        <w:t xml:space="preserve">1.3 Piața țintă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26"/>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Segment</w:t>
            </w:r>
          </w:p>
        </w:tc>
        <w:tc>
          <w:tcPr>
            <w:tcW w:type="dxa" w:w="2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Entități active</w:t>
            </w:r>
          </w:p>
        </w:tc>
        <w:tc>
          <w:tcPr>
            <w:tcW w:type="dxa" w:w="28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Potențial SaaS anual</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PFA-uri (sistem real + normă de venit)</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~500.000–550.000</w:t>
            </w:r>
          </w:p>
        </w:tc>
        <w:tc>
          <w:tcPr>
            <w:tcW w:type="dxa" w:w="2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€60–66M</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Întreprinderi Individuale (II)</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~30.000–60.000</w:t>
            </w:r>
          </w:p>
        </w:tc>
        <w:tc>
          <w:tcPr>
            <w:tcW w:type="dxa" w:w="2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€3,6–7,2M</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Micro-SRL-uri (regim micro)</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~350.000–400.000</w:t>
            </w:r>
          </w:p>
        </w:tc>
        <w:tc>
          <w:tcPr>
            <w:tcW w:type="dxa" w:w="2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€52–60M</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SRL-uri mici (ieșite recent din micro)</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~200.000–300.000</w:t>
            </w:r>
          </w:p>
        </w:tc>
        <w:tc>
          <w:tcPr>
            <w:tcW w:type="dxa" w:w="2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€36–54M</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TOTAL TAM</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~1,1–1,3M</w:t>
            </w:r>
          </w:p>
        </w:tc>
        <w:tc>
          <w:tcPr>
            <w:tcW w:type="dxa" w:w="2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€150–187M/an</w:t>
            </w:r>
          </w:p>
        </w:tc>
      </w:tr>
    </w:tbl>
    <w:p>
      <w:pPr>
        <w:spacing w:before="100" w:after="0"/>
      </w:pPr>
    </w:p>
    <w:p>
      <w:pPr>
        <w:spacing w:after="120" w:line="276"/>
        <w:jc w:val="both"/>
      </w:pPr>
      <w:r>
        <w:rPr>
          <w:rFonts w:ascii="Arial" w:cs="Arial" w:eastAsia="Arial" w:hAnsi="Arial"/>
          <w:b/>
          <w:bCs/>
          <w:color w:val="2C3E50"/>
          <w:sz w:val="21"/>
          <w:szCs w:val="21"/>
        </w:rPr>
        <w:t xml:space="preserve">SAM (Serviceable Addressable Market): </w:t>
      </w:r>
      <w:r>
        <w:rPr>
          <w:rFonts w:ascii="Arial" w:cs="Arial" w:eastAsia="Arial" w:hAnsi="Arial"/>
          <w:color w:val="333333"/>
          <w:sz w:val="21"/>
          <w:szCs w:val="21"/>
        </w:rPr>
        <w:t xml:space="preserve">€30–50M anual, presupunând 20–30% adoptare instrumente digitale.</w:t>
      </w:r>
    </w:p>
    <w:p>
      <w:pPr>
        <w:pStyle w:val="Heading2"/>
        <w:spacing w:before="300" w:after="150"/>
      </w:pPr>
      <w:r>
        <w:rPr>
          <w:rFonts w:ascii="Arial" w:cs="Arial" w:eastAsia="Arial" w:hAnsi="Arial"/>
          <w:b/>
          <w:bCs/>
          <w:color w:val="2C3E50"/>
          <w:sz w:val="26"/>
          <w:szCs w:val="26"/>
        </w:rPr>
        <w:t xml:space="preserve">1.4 Analiza competitivă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163"/>
        <w:gridCol w:w="3163"/>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Competitor</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Preț/lună</w:t>
            </w:r>
          </w:p>
        </w:tc>
        <w:tc>
          <w:tcPr>
            <w:tcW w:type="dxa" w:w="31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Puncte forte</w:t>
            </w:r>
          </w:p>
        </w:tc>
        <w:tc>
          <w:tcPr>
            <w:tcW w:type="dxa" w:w="31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Gap-uri critice</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SmartBill</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€5,44–8,94</w:t>
            </w:r>
          </w:p>
        </w:tc>
        <w:tc>
          <w:tcPr>
            <w:tcW w:type="dxa" w:w="31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Lider de piață, integrări e-commerce, Visma backing</w:t>
            </w:r>
          </w:p>
        </w:tc>
        <w:tc>
          <w:tcPr>
            <w:tcW w:type="dxa" w:w="31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Fără calcul taxe PFA, fără Open Banking real</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FGO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15 RON (~€3)</w:t>
            </w:r>
          </w:p>
        </w:tc>
        <w:tc>
          <w:tcPr>
            <w:tcW w:type="dxa" w:w="31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Preț foarte mic, integrare SAGA, BT Go</w:t>
            </w:r>
          </w:p>
        </w:tc>
        <w:tc>
          <w:tcPr>
            <w:tcW w:type="dxa" w:w="31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Capuri pe automat, UI vechi</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Oblio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€3–5</w:t>
            </w:r>
          </w:p>
        </w:tc>
        <w:tc>
          <w:tcPr>
            <w:tcW w:type="dxa" w:w="31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 an gratuit, modul producție</w:t>
            </w:r>
          </w:p>
        </w:tc>
        <w:tc>
          <w:tcPr>
            <w:tcW w:type="dxa" w:w="31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Fără app mobil, fără sincr. bancară</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SOLO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121 RON (~€24)</w:t>
            </w:r>
          </w:p>
        </w:tc>
        <w:tc>
          <w:tcPr>
            <w:tcW w:type="dxa" w:w="31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Dedicat PFA, Decl. Unică, contabil în loop</w:t>
            </w:r>
          </w:p>
        </w:tc>
        <w:tc>
          <w:tcPr>
            <w:tcW w:type="dxa" w:w="31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Hibrid (neescalabil), doar Android, fără API</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Keez</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€30+</w:t>
            </w:r>
          </w:p>
        </w:tc>
        <w:tc>
          <w:tcPr>
            <w:tcW w:type="dxa" w:w="31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Contabil CECCAR dedicat, platformă completă</w:t>
            </w:r>
          </w:p>
        </w:tc>
        <w:tc>
          <w:tcPr>
            <w:tcW w:type="dxa" w:w="31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Hibrid, preț ridicat</w:t>
            </w:r>
          </w:p>
        </w:tc>
      </w:tr>
    </w:tbl>
    <w:p>
      <w:pPr>
        <w:spacing w:before="100" w:after="0"/>
      </w:pPr>
    </w:p>
    <w:p>
      <w:pPr>
        <w:spacing w:after="120" w:line="276"/>
        <w:jc w:val="both"/>
      </w:pPr>
      <w:r>
        <w:rPr>
          <w:rFonts w:ascii="Arial" w:cs="Arial" w:eastAsia="Arial" w:hAnsi="Arial"/>
          <w:b/>
          <w:bCs/>
          <w:color w:val="333333"/>
          <w:sz w:val="21"/>
          <w:szCs w:val="21"/>
        </w:rPr>
        <w:t xml:space="preserve">Niciun produs românesc nu combină în prezent: facturare e-Factura + dashboard fiscal în timp real + generator Declarație Unică + Open Banking + scanare cheltuieli + UX mobile-first, la un preț de €6–10/lună. Aceasta este poziția vacantă pe care ContaPFA.ro o va ocupa.</w:t>
      </w:r>
    </w:p>
    <w:p>
      <w:r>
        <w:br w:type="page"/>
      </w:r>
    </w:p>
    <w:p>
      <w:pPr>
        <w:pStyle w:val="Heading1"/>
        <w:spacing w:before="400" w:after="200"/>
      </w:pPr>
      <w:r>
        <w:rPr>
          <w:rFonts w:ascii="Arial" w:cs="Arial" w:eastAsia="Arial" w:hAnsi="Arial"/>
          <w:b/>
          <w:bCs/>
          <w:color w:val="1B4F72"/>
          <w:sz w:val="32"/>
          <w:szCs w:val="32"/>
        </w:rPr>
        <w:t xml:space="preserve">2. Specificații Funcționale</w:t>
      </w:r>
    </w:p>
    <w:p>
      <w:pPr>
        <w:pStyle w:val="Heading2"/>
        <w:spacing w:before="300" w:after="150"/>
      </w:pPr>
      <w:r>
        <w:rPr>
          <w:rFonts w:ascii="Arial" w:cs="Arial" w:eastAsia="Arial" w:hAnsi="Arial"/>
          <w:b/>
          <w:bCs/>
          <w:color w:val="2C3E50"/>
          <w:sz w:val="26"/>
          <w:szCs w:val="26"/>
        </w:rPr>
        <w:t xml:space="preserve">2.1 Modulul de Facturare</w:t>
      </w:r>
    </w:p>
    <w:p>
      <w:pPr>
        <w:spacing w:before="200" w:after="100"/>
      </w:pPr>
      <w:r>
        <w:rPr>
          <w:rFonts w:ascii="Arial" w:cs="Arial" w:eastAsia="Arial" w:hAnsi="Arial"/>
          <w:b/>
          <w:bCs/>
          <w:color w:val="2980B9"/>
          <w:sz w:val="22"/>
          <w:szCs w:val="22"/>
        </w:rPr>
        <w:t xml:space="preserve">2.1.1 Creare devize și facturi</w:t>
      </w:r>
    </w:p>
    <w:p>
      <w:pPr>
        <w:pStyle w:val="ListParagraph"/>
        <w:numPr>
          <w:ilvl w:val="0"/>
          <w:numId w:val="2"/>
        </w:numPr>
        <w:spacing w:after="60" w:line="276"/>
      </w:pPr>
      <w:r>
        <w:rPr>
          <w:rFonts w:ascii="Arial" w:cs="Arial" w:eastAsia="Arial" w:hAnsi="Arial"/>
          <w:color w:val="333333"/>
          <w:sz w:val="21"/>
          <w:szCs w:val="21"/>
        </w:rPr>
        <w:t xml:space="preserve">Creare factură/deviz în mai puțin de 60 de secunde, cu meniu minimal: client, articol, cantitate, preț</w:t>
      </w:r>
    </w:p>
    <w:p>
      <w:pPr>
        <w:pStyle w:val="ListParagraph"/>
        <w:numPr>
          <w:ilvl w:val="0"/>
          <w:numId w:val="2"/>
        </w:numPr>
        <w:spacing w:after="60" w:line="276"/>
      </w:pPr>
      <w:r>
        <w:rPr>
          <w:rFonts w:ascii="Arial" w:cs="Arial" w:eastAsia="Arial" w:hAnsi="Arial"/>
          <w:color w:val="333333"/>
          <w:sz w:val="21"/>
          <w:szCs w:val="21"/>
        </w:rPr>
        <w:t xml:space="preserve">Mențiuni obligatorii auto-completate conform OMFP 2634/2015: dată, părți, sume, natura tranzacției, CUI/CNP, nr. registru comerț</w:t>
      </w:r>
    </w:p>
    <w:p>
      <w:pPr>
        <w:pStyle w:val="ListParagraph"/>
        <w:numPr>
          <w:ilvl w:val="0"/>
          <w:numId w:val="2"/>
        </w:numPr>
        <w:spacing w:after="60" w:line="276"/>
      </w:pPr>
      <w:r>
        <w:rPr>
          <w:rFonts w:ascii="Arial" w:cs="Arial" w:eastAsia="Arial" w:hAnsi="Arial"/>
          <w:color w:val="333333"/>
          <w:sz w:val="21"/>
          <w:szCs w:val="21"/>
        </w:rPr>
        <w:t xml:space="preserve">Personalizare: logo, culori, font, template-uri predefinite (minim 5 modele profesionale)</w:t>
      </w:r>
    </w:p>
    <w:p>
      <w:pPr>
        <w:pStyle w:val="ListParagraph"/>
        <w:numPr>
          <w:ilvl w:val="0"/>
          <w:numId w:val="2"/>
        </w:numPr>
        <w:spacing w:after="60" w:line="276"/>
      </w:pPr>
      <w:r>
        <w:rPr>
          <w:rFonts w:ascii="Arial" w:cs="Arial" w:eastAsia="Arial" w:hAnsi="Arial"/>
          <w:color w:val="333333"/>
          <w:sz w:val="21"/>
          <w:szCs w:val="21"/>
        </w:rPr>
        <w:t xml:space="preserve">Conversie deviz → factură într-un singur clic</w:t>
      </w:r>
    </w:p>
    <w:p>
      <w:pPr>
        <w:pStyle w:val="ListParagraph"/>
        <w:numPr>
          <w:ilvl w:val="0"/>
          <w:numId w:val="2"/>
        </w:numPr>
        <w:spacing w:after="60" w:line="276"/>
      </w:pPr>
      <w:r>
        <w:rPr>
          <w:rFonts w:ascii="Arial" w:cs="Arial" w:eastAsia="Arial" w:hAnsi="Arial"/>
          <w:color w:val="333333"/>
          <w:sz w:val="21"/>
          <w:szCs w:val="21"/>
        </w:rPr>
        <w:t xml:space="preserve">Suport pentru facturi în RON și EUR (curs BNR automat)</w:t>
      </w:r>
    </w:p>
    <w:p>
      <w:pPr>
        <w:pStyle w:val="ListParagraph"/>
        <w:numPr>
          <w:ilvl w:val="0"/>
          <w:numId w:val="2"/>
        </w:numPr>
        <w:spacing w:after="60" w:line="276"/>
      </w:pPr>
      <w:r>
        <w:rPr>
          <w:rFonts w:ascii="Arial" w:cs="Arial" w:eastAsia="Arial" w:hAnsi="Arial"/>
          <w:color w:val="333333"/>
          <w:sz w:val="21"/>
          <w:szCs w:val="21"/>
        </w:rPr>
        <w:t xml:space="preserve">Generare factură proforma, factură de avans, notă de creditare (storno)</w:t>
      </w:r>
    </w:p>
    <w:p>
      <w:pPr>
        <w:pStyle w:val="ListParagraph"/>
        <w:numPr>
          <w:ilvl w:val="0"/>
          <w:numId w:val="2"/>
        </w:numPr>
        <w:spacing w:after="60" w:line="276"/>
      </w:pPr>
      <w:r>
        <w:rPr>
          <w:rFonts w:ascii="Arial" w:cs="Arial" w:eastAsia="Arial" w:hAnsi="Arial"/>
          <w:color w:val="333333"/>
          <w:sz w:val="21"/>
          <w:szCs w:val="21"/>
        </w:rPr>
        <w:t xml:space="preserve">Catalog articole și clienți cu auto-completare</w:t>
      </w:r>
    </w:p>
    <w:p>
      <w:pPr>
        <w:pStyle w:val="ListParagraph"/>
        <w:numPr>
          <w:ilvl w:val="0"/>
          <w:numId w:val="2"/>
        </w:numPr>
        <w:spacing w:after="60" w:line="276"/>
      </w:pPr>
      <w:r>
        <w:rPr>
          <w:rFonts w:ascii="Arial" w:cs="Arial" w:eastAsia="Arial" w:hAnsi="Arial"/>
          <w:color w:val="333333"/>
          <w:sz w:val="21"/>
          <w:szCs w:val="21"/>
        </w:rPr>
        <w:t xml:space="preserve">Numerotare automată secvențială cu prefix personalizabil</w:t>
      </w:r>
    </w:p>
    <w:p>
      <w:pPr>
        <w:spacing w:before="200" w:after="100"/>
      </w:pPr>
      <w:r>
        <w:rPr>
          <w:rFonts w:ascii="Arial" w:cs="Arial" w:eastAsia="Arial" w:hAnsi="Arial"/>
          <w:b/>
          <w:bCs/>
          <w:color w:val="2980B9"/>
          <w:sz w:val="22"/>
          <w:szCs w:val="22"/>
        </w:rPr>
        <w:t xml:space="preserve">2.1.2 Integrare RO e-Factura</w:t>
      </w:r>
    </w:p>
    <w:p>
      <w:pPr>
        <w:pStyle w:val="ListParagraph"/>
        <w:numPr>
          <w:ilvl w:val="0"/>
          <w:numId w:val="2"/>
        </w:numPr>
        <w:spacing w:after="60" w:line="276"/>
      </w:pPr>
      <w:r>
        <w:rPr>
          <w:rFonts w:ascii="Arial" w:cs="Arial" w:eastAsia="Arial" w:hAnsi="Arial"/>
          <w:color w:val="333333"/>
          <w:sz w:val="21"/>
          <w:szCs w:val="21"/>
        </w:rPr>
        <w:t xml:space="preserve">Transmitere automată a facturilor XML UBL 2.1 / CIUS-RO v1.0.8+ către API-ul ANAF (api.anaf.ro/prod/FCTEL/rest/)</w:t>
      </w:r>
    </w:p>
    <w:p>
      <w:pPr>
        <w:pStyle w:val="ListParagraph"/>
        <w:numPr>
          <w:ilvl w:val="0"/>
          <w:numId w:val="2"/>
        </w:numPr>
        <w:spacing w:after="60" w:line="276"/>
      </w:pPr>
      <w:r>
        <w:rPr>
          <w:rFonts w:ascii="Arial" w:cs="Arial" w:eastAsia="Arial" w:hAnsi="Arial"/>
          <w:color w:val="333333"/>
          <w:sz w:val="21"/>
          <w:szCs w:val="21"/>
        </w:rPr>
        <w:t xml:space="preserve">Autentificare OAuth 2.0 cu certificat digital calificat (delegare SPV)</w:t>
      </w:r>
    </w:p>
    <w:p>
      <w:pPr>
        <w:pStyle w:val="ListParagraph"/>
        <w:numPr>
          <w:ilvl w:val="0"/>
          <w:numId w:val="2"/>
        </w:numPr>
        <w:spacing w:after="60" w:line="276"/>
      </w:pPr>
      <w:r>
        <w:rPr>
          <w:rFonts w:ascii="Arial" w:cs="Arial" w:eastAsia="Arial" w:hAnsi="Arial"/>
          <w:color w:val="333333"/>
          <w:sz w:val="21"/>
          <w:szCs w:val="21"/>
        </w:rPr>
        <w:t xml:space="preserve">Validare locală Schematron (reguli BR-RO-xxx) înainte de transmitere</w:t>
      </w:r>
    </w:p>
    <w:p>
      <w:pPr>
        <w:pStyle w:val="ListParagraph"/>
        <w:numPr>
          <w:ilvl w:val="0"/>
          <w:numId w:val="2"/>
        </w:numPr>
        <w:spacing w:after="60" w:line="276"/>
      </w:pPr>
      <w:r>
        <w:rPr>
          <w:rFonts w:ascii="Arial" w:cs="Arial" w:eastAsia="Arial" w:hAnsi="Arial"/>
          <w:color w:val="333333"/>
          <w:sz w:val="21"/>
          <w:szCs w:val="21"/>
        </w:rPr>
        <w:t xml:space="preserve">Verificare automată status (polling GET /stareMesaj) cu notificări push</w:t>
      </w:r>
    </w:p>
    <w:p>
      <w:pPr>
        <w:pStyle w:val="ListParagraph"/>
        <w:numPr>
          <w:ilvl w:val="0"/>
          <w:numId w:val="2"/>
        </w:numPr>
        <w:spacing w:after="60" w:line="276"/>
      </w:pPr>
      <w:r>
        <w:rPr>
          <w:rFonts w:ascii="Arial" w:cs="Arial" w:eastAsia="Arial" w:hAnsi="Arial"/>
          <w:color w:val="333333"/>
          <w:sz w:val="21"/>
          <w:szCs w:val="21"/>
        </w:rPr>
        <w:t xml:space="preserve">Descărcare și arhivare automată a facturilor validate de ANAF (reținere &gt;60 zile SPV)</w:t>
      </w:r>
    </w:p>
    <w:p>
      <w:pPr>
        <w:pStyle w:val="ListParagraph"/>
        <w:numPr>
          <w:ilvl w:val="0"/>
          <w:numId w:val="2"/>
        </w:numPr>
        <w:spacing w:after="60" w:line="276"/>
      </w:pPr>
      <w:r>
        <w:rPr>
          <w:rFonts w:ascii="Arial" w:cs="Arial" w:eastAsia="Arial" w:hAnsi="Arial"/>
          <w:color w:val="333333"/>
          <w:sz w:val="21"/>
          <w:szCs w:val="21"/>
        </w:rPr>
        <w:t xml:space="preserve">Suport complet B2B, B2G și B2C (cu CNP „0000000000000” pentru consumatori fără identificare)</w:t>
      </w:r>
    </w:p>
    <w:p>
      <w:pPr>
        <w:pStyle w:val="ListParagraph"/>
        <w:numPr>
          <w:ilvl w:val="0"/>
          <w:numId w:val="2"/>
        </w:numPr>
        <w:spacing w:after="60" w:line="276"/>
      </w:pPr>
      <w:r>
        <w:rPr>
          <w:rFonts w:ascii="Arial" w:cs="Arial" w:eastAsia="Arial" w:hAnsi="Arial"/>
          <w:color w:val="333333"/>
          <w:sz w:val="21"/>
          <w:szCs w:val="21"/>
        </w:rPr>
        <w:t xml:space="preserve">Respectarea termenului de 5 zile lucrătoare cu alertă automată înainte de expirare</w:t>
      </w:r>
    </w:p>
    <w:p>
      <w:pPr>
        <w:pStyle w:val="ListParagraph"/>
        <w:numPr>
          <w:ilvl w:val="0"/>
          <w:numId w:val="2"/>
        </w:numPr>
        <w:spacing w:after="60" w:line="276"/>
      </w:pPr>
      <w:r>
        <w:rPr>
          <w:rFonts w:ascii="Arial" w:cs="Arial" w:eastAsia="Arial" w:hAnsi="Arial"/>
          <w:color w:val="333333"/>
          <w:sz w:val="21"/>
          <w:szCs w:val="21"/>
        </w:rPr>
        <w:t xml:space="preserve">Mod sandbox pentru testare (api.anaf.ro/test/FCTEL/rest/)</w:t>
      </w:r>
    </w:p>
    <w:p>
      <w:pPr>
        <w:spacing w:before="200" w:after="100"/>
      </w:pPr>
      <w:r>
        <w:rPr>
          <w:rFonts w:ascii="Arial" w:cs="Arial" w:eastAsia="Arial" w:hAnsi="Arial"/>
          <w:b/>
          <w:bCs/>
          <w:color w:val="2980B9"/>
          <w:sz w:val="22"/>
          <w:szCs w:val="22"/>
        </w:rPr>
        <w:t xml:space="preserve">2.1.3 Gestiune TVA</w:t>
      </w:r>
    </w:p>
    <w:p>
      <w:pPr>
        <w:pStyle w:val="ListParagraph"/>
        <w:numPr>
          <w:ilvl w:val="0"/>
          <w:numId w:val="2"/>
        </w:numPr>
        <w:spacing w:after="60" w:line="276"/>
      </w:pPr>
      <w:r>
        <w:rPr>
          <w:rFonts w:ascii="Arial" w:cs="Arial" w:eastAsia="Arial" w:hAnsi="Arial"/>
          <w:color w:val="333333"/>
          <w:sz w:val="21"/>
          <w:szCs w:val="21"/>
        </w:rPr>
        <w:t xml:space="preserve">Monitorizare automată prag TVA (în vigoare: 300.000 RON, cu atenționare la 80% din prag)</w:t>
      </w:r>
    </w:p>
    <w:p>
      <w:pPr>
        <w:pStyle w:val="ListParagraph"/>
        <w:numPr>
          <w:ilvl w:val="0"/>
          <w:numId w:val="2"/>
        </w:numPr>
        <w:spacing w:after="60" w:line="276"/>
      </w:pPr>
      <w:r>
        <w:rPr>
          <w:rFonts w:ascii="Arial" w:cs="Arial" w:eastAsia="Arial" w:hAnsi="Arial"/>
          <w:color w:val="333333"/>
          <w:sz w:val="21"/>
          <w:szCs w:val="21"/>
        </w:rPr>
        <w:t xml:space="preserve">Comutare automată calcul TVA la depășirea pragului</w:t>
      </w:r>
    </w:p>
    <w:p>
      <w:pPr>
        <w:pStyle w:val="ListParagraph"/>
        <w:numPr>
          <w:ilvl w:val="0"/>
          <w:numId w:val="2"/>
        </w:numPr>
        <w:spacing w:after="60" w:line="276"/>
      </w:pPr>
      <w:r>
        <w:rPr>
          <w:rFonts w:ascii="Arial" w:cs="Arial" w:eastAsia="Arial" w:hAnsi="Arial"/>
          <w:color w:val="333333"/>
          <w:sz w:val="21"/>
          <w:szCs w:val="21"/>
        </w:rPr>
        <w:t xml:space="preserve">Suport cote TVA: 21% (standard din august 2025), 11% (redusă consolidată), 5%, scutit</w:t>
      </w:r>
    </w:p>
    <w:p>
      <w:pPr>
        <w:pStyle w:val="ListParagraph"/>
        <w:numPr>
          <w:ilvl w:val="0"/>
          <w:numId w:val="2"/>
        </w:numPr>
        <w:spacing w:after="60" w:line="276"/>
      </w:pPr>
      <w:r>
        <w:rPr>
          <w:rFonts w:ascii="Arial" w:cs="Arial" w:eastAsia="Arial" w:hAnsi="Arial"/>
          <w:color w:val="333333"/>
          <w:sz w:val="21"/>
          <w:szCs w:val="21"/>
        </w:rPr>
        <w:t xml:space="preserve">Pregătire Declarație D300 (TVA) pentru PFA-urile înregistrate în scopuri TVA</w:t>
      </w:r>
    </w:p>
    <w:p>
      <w:pPr>
        <w:pStyle w:val="ListParagraph"/>
        <w:numPr>
          <w:ilvl w:val="0"/>
          <w:numId w:val="2"/>
        </w:numPr>
        <w:spacing w:after="60" w:line="276"/>
      </w:pPr>
      <w:r>
        <w:rPr>
          <w:rFonts w:ascii="Arial" w:cs="Arial" w:eastAsia="Arial" w:hAnsi="Arial"/>
          <w:color w:val="333333"/>
          <w:sz w:val="21"/>
          <w:szCs w:val="21"/>
        </w:rPr>
        <w:t xml:space="preserve">Jurnal de cumpărări și vânzări generat automat</w:t>
      </w:r>
    </w:p>
    <w:p>
      <w:pPr>
        <w:pStyle w:val="Heading2"/>
        <w:spacing w:before="300" w:after="150"/>
      </w:pPr>
      <w:r>
        <w:rPr>
          <w:rFonts w:ascii="Arial" w:cs="Arial" w:eastAsia="Arial" w:hAnsi="Arial"/>
          <w:b/>
          <w:bCs/>
          <w:color w:val="2C3E50"/>
          <w:sz w:val="26"/>
          <w:szCs w:val="26"/>
        </w:rPr>
        <w:t xml:space="preserve">2.2 Modulul de Contabilitate</w:t>
      </w:r>
    </w:p>
    <w:p>
      <w:pPr>
        <w:spacing w:before="200" w:after="100"/>
      </w:pPr>
      <w:r>
        <w:rPr>
          <w:rFonts w:ascii="Arial" w:cs="Arial" w:eastAsia="Arial" w:hAnsi="Arial"/>
          <w:b/>
          <w:bCs/>
          <w:color w:val="2980B9"/>
          <w:sz w:val="22"/>
          <w:szCs w:val="22"/>
        </w:rPr>
        <w:t xml:space="preserve">2.2.1 Registre contabile obligatorii (contabilitate în partidă simplă)</w:t>
      </w:r>
    </w:p>
    <w:p>
      <w:pPr>
        <w:pStyle w:val="ListParagraph"/>
        <w:numPr>
          <w:ilvl w:val="0"/>
          <w:numId w:val="2"/>
        </w:numPr>
        <w:spacing w:after="60" w:line="276"/>
      </w:pPr>
      <w:r>
        <w:rPr>
          <w:rFonts w:ascii="Arial" w:cs="Arial" w:eastAsia="Arial" w:hAnsi="Arial"/>
          <w:color w:val="333333"/>
          <w:sz w:val="21"/>
          <w:szCs w:val="21"/>
        </w:rPr>
        <w:t xml:space="preserve">Registru-Jurnal de Încasări și Plăți (RJIP) — generat automat din facturi și tranzacții bancare, în ordine cronologică</w:t>
      </w:r>
    </w:p>
    <w:p>
      <w:pPr>
        <w:pStyle w:val="ListParagraph"/>
        <w:numPr>
          <w:ilvl w:val="0"/>
          <w:numId w:val="2"/>
        </w:numPr>
        <w:spacing w:after="60" w:line="276"/>
      </w:pPr>
      <w:r>
        <w:rPr>
          <w:rFonts w:ascii="Arial" w:cs="Arial" w:eastAsia="Arial" w:hAnsi="Arial"/>
          <w:color w:val="333333"/>
          <w:sz w:val="21"/>
          <w:szCs w:val="21"/>
        </w:rPr>
        <w:t xml:space="preserve">Registru-Inventar — actualizare anuală, cu alertă de completare la sfârșit de an fiscal</w:t>
      </w:r>
    </w:p>
    <w:p>
      <w:pPr>
        <w:pStyle w:val="ListParagraph"/>
        <w:numPr>
          <w:ilvl w:val="0"/>
          <w:numId w:val="2"/>
        </w:numPr>
        <w:spacing w:after="60" w:line="276"/>
      </w:pPr>
      <w:r>
        <w:rPr>
          <w:rFonts w:ascii="Arial" w:cs="Arial" w:eastAsia="Arial" w:hAnsi="Arial"/>
          <w:color w:val="333333"/>
          <w:sz w:val="21"/>
          <w:szCs w:val="21"/>
        </w:rPr>
        <w:t xml:space="preserve">Registru de Evidență Fiscală (REF) — calcul automat venituri impozabile vs. cheltuieli deductibile</w:t>
      </w:r>
    </w:p>
    <w:p>
      <w:pPr>
        <w:pStyle w:val="ListParagraph"/>
        <w:numPr>
          <w:ilvl w:val="0"/>
          <w:numId w:val="2"/>
        </w:numPr>
        <w:spacing w:after="60" w:line="276"/>
      </w:pPr>
      <w:r>
        <w:rPr>
          <w:rFonts w:ascii="Arial" w:cs="Arial" w:eastAsia="Arial" w:hAnsi="Arial"/>
          <w:color w:val="333333"/>
          <w:sz w:val="21"/>
          <w:szCs w:val="21"/>
        </w:rPr>
        <w:t xml:space="preserve">Export PDF/Excel pentru fiecare registru, cu format conform OMFP 170/2015</w:t>
      </w:r>
    </w:p>
    <w:p>
      <w:pPr>
        <w:spacing w:before="200" w:after="100"/>
      </w:pPr>
      <w:r>
        <w:rPr>
          <w:rFonts w:ascii="Arial" w:cs="Arial" w:eastAsia="Arial" w:hAnsi="Arial"/>
          <w:b/>
          <w:bCs/>
          <w:color w:val="2980B9"/>
          <w:sz w:val="22"/>
          <w:szCs w:val="22"/>
        </w:rPr>
        <w:t xml:space="preserve">2.2.2 Urmărire cheltuieli</w:t>
      </w:r>
    </w:p>
    <w:p>
      <w:pPr>
        <w:pStyle w:val="ListParagraph"/>
        <w:numPr>
          <w:ilvl w:val="0"/>
          <w:numId w:val="2"/>
        </w:numPr>
        <w:spacing w:after="60" w:line="276"/>
      </w:pPr>
      <w:r>
        <w:rPr>
          <w:rFonts w:ascii="Arial" w:cs="Arial" w:eastAsia="Arial" w:hAnsi="Arial"/>
          <w:color w:val="333333"/>
          <w:sz w:val="21"/>
          <w:szCs w:val="21"/>
        </w:rPr>
        <w:t xml:space="preserve">Scanare bon/chitanță prin cameră mobilă cu extragere OCR (furnizor, sumă, dată, TVA)</w:t>
      </w:r>
    </w:p>
    <w:p>
      <w:pPr>
        <w:pStyle w:val="ListParagraph"/>
        <w:numPr>
          <w:ilvl w:val="0"/>
          <w:numId w:val="2"/>
        </w:numPr>
        <w:spacing w:after="60" w:line="276"/>
      </w:pPr>
      <w:r>
        <w:rPr>
          <w:rFonts w:ascii="Arial" w:cs="Arial" w:eastAsia="Arial" w:hAnsi="Arial"/>
          <w:color w:val="333333"/>
          <w:sz w:val="21"/>
          <w:szCs w:val="21"/>
        </w:rPr>
        <w:t xml:space="preserve">Categorizare automată (deductibil integral / parțial / nedeductibil) cu posibilitate de corecție manuală</w:t>
      </w:r>
    </w:p>
    <w:p>
      <w:pPr>
        <w:pStyle w:val="ListParagraph"/>
        <w:numPr>
          <w:ilvl w:val="0"/>
          <w:numId w:val="2"/>
        </w:numPr>
        <w:spacing w:after="60" w:line="276"/>
      </w:pPr>
      <w:r>
        <w:rPr>
          <w:rFonts w:ascii="Arial" w:cs="Arial" w:eastAsia="Arial" w:hAnsi="Arial"/>
          <w:color w:val="333333"/>
          <w:sz w:val="21"/>
          <w:szCs w:val="21"/>
        </w:rPr>
        <w:t xml:space="preserve">Atașare documente justificative la fiecare tranzacție</w:t>
      </w:r>
    </w:p>
    <w:p>
      <w:pPr>
        <w:pStyle w:val="ListParagraph"/>
        <w:numPr>
          <w:ilvl w:val="0"/>
          <w:numId w:val="2"/>
        </w:numPr>
        <w:spacing w:after="60" w:line="276"/>
      </w:pPr>
      <w:r>
        <w:rPr>
          <w:rFonts w:ascii="Arial" w:cs="Arial" w:eastAsia="Arial" w:hAnsi="Arial"/>
          <w:color w:val="333333"/>
          <w:sz w:val="21"/>
          <w:szCs w:val="21"/>
        </w:rPr>
        <w:t xml:space="preserve">Reguli de deductibilitate pre-configurate: combustibil 50%, diurnă, amortizări, etc.</w:t>
      </w:r>
    </w:p>
    <w:p>
      <w:pPr>
        <w:spacing w:before="200" w:after="100"/>
      </w:pPr>
      <w:r>
        <w:rPr>
          <w:rFonts w:ascii="Arial" w:cs="Arial" w:eastAsia="Arial" w:hAnsi="Arial"/>
          <w:b/>
          <w:bCs/>
          <w:color w:val="2980B9"/>
          <w:sz w:val="22"/>
          <w:szCs w:val="22"/>
        </w:rPr>
        <w:t xml:space="preserve">2.2.3 Reconciliere bancară</w:t>
      </w:r>
    </w:p>
    <w:p>
      <w:pPr>
        <w:pStyle w:val="ListParagraph"/>
        <w:numPr>
          <w:ilvl w:val="0"/>
          <w:numId w:val="2"/>
        </w:numPr>
        <w:spacing w:after="60" w:line="276"/>
      </w:pPr>
      <w:r>
        <w:rPr>
          <w:rFonts w:ascii="Arial" w:cs="Arial" w:eastAsia="Arial" w:hAnsi="Arial"/>
          <w:color w:val="333333"/>
          <w:sz w:val="21"/>
          <w:szCs w:val="21"/>
        </w:rPr>
        <w:t xml:space="preserve">Conexiune Open Banking prin Finqware (15+ bănci, 95% acoperire) sau Salt Edge / Enable Banking ca fallback</w:t>
      </w:r>
    </w:p>
    <w:p>
      <w:pPr>
        <w:pStyle w:val="ListParagraph"/>
        <w:numPr>
          <w:ilvl w:val="0"/>
          <w:numId w:val="2"/>
        </w:numPr>
        <w:spacing w:after="60" w:line="276"/>
      </w:pPr>
      <w:r>
        <w:rPr>
          <w:rFonts w:ascii="Arial" w:cs="Arial" w:eastAsia="Arial" w:hAnsi="Arial"/>
          <w:color w:val="333333"/>
          <w:sz w:val="21"/>
          <w:szCs w:val="21"/>
        </w:rPr>
        <w:t xml:space="preserve">Import automat tranzacții bancare cu re-autentificare SCA la fiecare 90 de zile</w:t>
      </w:r>
    </w:p>
    <w:p>
      <w:pPr>
        <w:pStyle w:val="ListParagraph"/>
        <w:numPr>
          <w:ilvl w:val="0"/>
          <w:numId w:val="2"/>
        </w:numPr>
        <w:spacing w:after="60" w:line="276"/>
      </w:pPr>
      <w:r>
        <w:rPr>
          <w:rFonts w:ascii="Arial" w:cs="Arial" w:eastAsia="Arial" w:hAnsi="Arial"/>
          <w:color w:val="333333"/>
          <w:sz w:val="21"/>
          <w:szCs w:val="21"/>
        </w:rPr>
        <w:t xml:space="preserve">Matching inteligent (AI/reguli) între facturi emise și încasări</w:t>
      </w:r>
    </w:p>
    <w:p>
      <w:pPr>
        <w:pStyle w:val="ListParagraph"/>
        <w:numPr>
          <w:ilvl w:val="0"/>
          <w:numId w:val="2"/>
        </w:numPr>
        <w:spacing w:after="60" w:line="276"/>
      </w:pPr>
      <w:r>
        <w:rPr>
          <w:rFonts w:ascii="Arial" w:cs="Arial" w:eastAsia="Arial" w:hAnsi="Arial"/>
          <w:color w:val="333333"/>
          <w:sz w:val="21"/>
          <w:szCs w:val="21"/>
        </w:rPr>
        <w:t xml:space="preserve">Categorizare automată a tranzacțiilor (comisioane, taxe, plăți furnizori, etc.)</w:t>
      </w:r>
    </w:p>
    <w:p>
      <w:pPr>
        <w:pStyle w:val="ListParagraph"/>
        <w:numPr>
          <w:ilvl w:val="0"/>
          <w:numId w:val="2"/>
        </w:numPr>
        <w:spacing w:after="60" w:line="276"/>
      </w:pPr>
      <w:r>
        <w:rPr>
          <w:rFonts w:ascii="Arial" w:cs="Arial" w:eastAsia="Arial" w:hAnsi="Arial"/>
          <w:color w:val="333333"/>
          <w:sz w:val="21"/>
          <w:szCs w:val="21"/>
        </w:rPr>
        <w:t xml:space="preserve">Reconciliere manuală drag-and-drop pentru tranzacții nerecunoscute</w:t>
      </w:r>
    </w:p>
    <w:p>
      <w:pPr>
        <w:pStyle w:val="ListParagraph"/>
        <w:numPr>
          <w:ilvl w:val="0"/>
          <w:numId w:val="2"/>
        </w:numPr>
        <w:spacing w:after="60" w:line="276"/>
      </w:pPr>
      <w:r>
        <w:rPr>
          <w:rFonts w:ascii="Arial" w:cs="Arial" w:eastAsia="Arial" w:hAnsi="Arial"/>
          <w:color w:val="333333"/>
          <w:sz w:val="21"/>
          <w:szCs w:val="21"/>
        </w:rPr>
        <w:t xml:space="preserve">Notificări întârziere plată: facturi neîncasate peste termen</w:t>
      </w:r>
    </w:p>
    <w:p>
      <w:pPr>
        <w:pStyle w:val="Heading2"/>
        <w:spacing w:before="300" w:after="150"/>
      </w:pPr>
      <w:r>
        <w:rPr>
          <w:rFonts w:ascii="Arial" w:cs="Arial" w:eastAsia="Arial" w:hAnsi="Arial"/>
          <w:b/>
          <w:bCs/>
          <w:color w:val="2C3E50"/>
          <w:sz w:val="26"/>
          <w:szCs w:val="26"/>
        </w:rPr>
        <w:t xml:space="preserve">2.3 Modulul Fiscal — „Copilotul Fiscal”</w:t>
      </w:r>
    </w:p>
    <w:p>
      <w:pPr>
        <w:spacing w:before="200" w:after="100"/>
      </w:pPr>
      <w:r>
        <w:rPr>
          <w:rFonts w:ascii="Arial" w:cs="Arial" w:eastAsia="Arial" w:hAnsi="Arial"/>
          <w:b/>
          <w:bCs/>
          <w:color w:val="2980B9"/>
          <w:sz w:val="22"/>
          <w:szCs w:val="22"/>
        </w:rPr>
        <w:t xml:space="preserve">2.3.1 Dashboard fiscal în timp real</w:t>
      </w:r>
    </w:p>
    <w:p>
      <w:pPr>
        <w:pStyle w:val="ListParagraph"/>
        <w:numPr>
          <w:ilvl w:val="0"/>
          <w:numId w:val="2"/>
        </w:numPr>
        <w:spacing w:after="60" w:line="276"/>
      </w:pPr>
      <w:r>
        <w:rPr>
          <w:rFonts w:ascii="Arial" w:cs="Arial" w:eastAsia="Arial" w:hAnsi="Arial"/>
          <w:color w:val="333333"/>
          <w:sz w:val="21"/>
          <w:szCs w:val="21"/>
        </w:rPr>
        <w:t xml:space="preserve">„Rest în buzunar” (reste à vivre) — calculat în direct la crearea fiecărei facturi: venit brut − CAS − CASS − impozit = net</w:t>
      </w:r>
    </w:p>
    <w:p>
      <w:pPr>
        <w:pStyle w:val="ListParagraph"/>
        <w:numPr>
          <w:ilvl w:val="0"/>
          <w:numId w:val="2"/>
        </w:numPr>
        <w:spacing w:after="60" w:line="276"/>
      </w:pPr>
      <w:r>
        <w:rPr>
          <w:rFonts w:ascii="Arial" w:cs="Arial" w:eastAsia="Arial" w:hAnsi="Arial"/>
          <w:color w:val="333333"/>
          <w:sz w:val="21"/>
          <w:szCs w:val="21"/>
        </w:rPr>
        <w:t xml:space="preserve">Baremă CAS (pensie 25%): obligatoriu dacă venitul net ≥ 12 salarii minime brute (48.600 RON 2026); bază contribuție 12 sau 24 salarii</w:t>
      </w:r>
    </w:p>
    <w:p>
      <w:pPr>
        <w:pStyle w:val="ListParagraph"/>
        <w:numPr>
          <w:ilvl w:val="0"/>
          <w:numId w:val="2"/>
        </w:numPr>
        <w:spacing w:after="60" w:line="276"/>
      </w:pPr>
      <w:r>
        <w:rPr>
          <w:rFonts w:ascii="Arial" w:cs="Arial" w:eastAsia="Arial" w:hAnsi="Arial"/>
          <w:color w:val="333333"/>
          <w:sz w:val="21"/>
          <w:szCs w:val="21"/>
        </w:rPr>
        <w:t xml:space="preserve">Baremă CASS (sănătate 10%): paliere 0/6/12/24 salarii minime cu cap la 72 salarii (291.600 RON)</w:t>
      </w:r>
    </w:p>
    <w:p>
      <w:pPr>
        <w:pStyle w:val="ListParagraph"/>
        <w:numPr>
          <w:ilvl w:val="0"/>
          <w:numId w:val="2"/>
        </w:numPr>
        <w:spacing w:after="60" w:line="276"/>
      </w:pPr>
      <w:r>
        <w:rPr>
          <w:rFonts w:ascii="Arial" w:cs="Arial" w:eastAsia="Arial" w:hAnsi="Arial"/>
          <w:color w:val="333333"/>
          <w:sz w:val="21"/>
          <w:szCs w:val="21"/>
        </w:rPr>
        <w:t xml:space="preserve">Impozit pe venit: 10% din venitul net după deducere CAS/CASS</w:t>
      </w:r>
    </w:p>
    <w:p>
      <w:pPr>
        <w:pStyle w:val="ListParagraph"/>
        <w:numPr>
          <w:ilvl w:val="0"/>
          <w:numId w:val="2"/>
        </w:numPr>
        <w:spacing w:after="60" w:line="276"/>
      </w:pPr>
      <w:r>
        <w:rPr>
          <w:rFonts w:ascii="Arial" w:cs="Arial" w:eastAsia="Arial" w:hAnsi="Arial"/>
          <w:color w:val="333333"/>
          <w:sz w:val="21"/>
          <w:szCs w:val="21"/>
        </w:rPr>
        <w:t xml:space="preserve">Actualizare automată la modificarea salariului minim (4.050 RON → 4.325 RON din iulie 2026)</w:t>
      </w:r>
    </w:p>
    <w:p>
      <w:pPr>
        <w:pStyle w:val="ListParagraph"/>
        <w:numPr>
          <w:ilvl w:val="0"/>
          <w:numId w:val="2"/>
        </w:numPr>
        <w:spacing w:after="60" w:line="276"/>
      </w:pPr>
      <w:r>
        <w:rPr>
          <w:rFonts w:ascii="Arial" w:cs="Arial" w:eastAsia="Arial" w:hAnsi="Arial"/>
          <w:color w:val="333333"/>
          <w:sz w:val="21"/>
          <w:szCs w:val="21"/>
        </w:rPr>
        <w:t xml:space="preserve">Suport regim „normă de venit”: calcul simplu 10% din norma fixată de DGRFP județean</w:t>
      </w:r>
    </w:p>
    <w:p>
      <w:pPr>
        <w:spacing w:before="200" w:after="100"/>
      </w:pPr>
      <w:r>
        <w:rPr>
          <w:rFonts w:ascii="Arial" w:cs="Arial" w:eastAsia="Arial" w:hAnsi="Arial"/>
          <w:b/>
          <w:bCs/>
          <w:color w:val="2980B9"/>
          <w:sz w:val="22"/>
          <w:szCs w:val="22"/>
        </w:rPr>
        <w:t xml:space="preserve">2.3.2 Generator Declarație Unică (D212)</w:t>
      </w:r>
    </w:p>
    <w:p>
      <w:pPr>
        <w:pStyle w:val="ListParagraph"/>
        <w:numPr>
          <w:ilvl w:val="0"/>
          <w:numId w:val="2"/>
        </w:numPr>
        <w:spacing w:after="60" w:line="276"/>
      </w:pPr>
      <w:r>
        <w:rPr>
          <w:rFonts w:ascii="Arial" w:cs="Arial" w:eastAsia="Arial" w:hAnsi="Arial"/>
          <w:color w:val="333333"/>
          <w:sz w:val="21"/>
          <w:szCs w:val="21"/>
        </w:rPr>
        <w:t xml:space="preserve">Pre-completare automată a tuturor câmpurilor pe baza datelor din platformă</w:t>
      </w:r>
    </w:p>
    <w:p>
      <w:pPr>
        <w:pStyle w:val="ListParagraph"/>
        <w:numPr>
          <w:ilvl w:val="0"/>
          <w:numId w:val="2"/>
        </w:numPr>
        <w:spacing w:after="60" w:line="276"/>
      </w:pPr>
      <w:r>
        <w:rPr>
          <w:rFonts w:ascii="Arial" w:cs="Arial" w:eastAsia="Arial" w:hAnsi="Arial"/>
          <w:color w:val="333333"/>
          <w:sz w:val="21"/>
          <w:szCs w:val="21"/>
        </w:rPr>
        <w:t xml:space="preserve">Export PDF inteligent compatibil SPV (format acceptat de ANAF cu XML încorporat)</w:t>
      </w:r>
    </w:p>
    <w:p>
      <w:pPr>
        <w:pStyle w:val="ListParagraph"/>
        <w:numPr>
          <w:ilvl w:val="0"/>
          <w:numId w:val="2"/>
        </w:numPr>
        <w:spacing w:after="60" w:line="276"/>
      </w:pPr>
      <w:r>
        <w:rPr>
          <w:rFonts w:ascii="Arial" w:cs="Arial" w:eastAsia="Arial" w:hAnsi="Arial"/>
          <w:color w:val="333333"/>
          <w:sz w:val="21"/>
          <w:szCs w:val="21"/>
        </w:rPr>
        <w:t xml:space="preserve">Ghid pas-cu-pas pentru depunerea prin SPV (încărcare manuală — nu există API de depunere declarații)</w:t>
      </w:r>
    </w:p>
    <w:p>
      <w:pPr>
        <w:pStyle w:val="ListParagraph"/>
        <w:numPr>
          <w:ilvl w:val="0"/>
          <w:numId w:val="2"/>
        </w:numPr>
        <w:spacing w:after="60" w:line="276"/>
      </w:pPr>
      <w:r>
        <w:rPr>
          <w:rFonts w:ascii="Arial" w:cs="Arial" w:eastAsia="Arial" w:hAnsi="Arial"/>
          <w:color w:val="333333"/>
          <w:sz w:val="21"/>
          <w:szCs w:val="21"/>
        </w:rPr>
        <w:t xml:space="preserve">Calcul automat bonificație 3% pentru depunere anticipată (termen 15 aprilie an+1)</w:t>
      </w:r>
    </w:p>
    <w:p>
      <w:pPr>
        <w:pStyle w:val="ListParagraph"/>
        <w:numPr>
          <w:ilvl w:val="0"/>
          <w:numId w:val="2"/>
        </w:numPr>
        <w:spacing w:after="60" w:line="276"/>
      </w:pPr>
      <w:r>
        <w:rPr>
          <w:rFonts w:ascii="Arial" w:cs="Arial" w:eastAsia="Arial" w:hAnsi="Arial"/>
          <w:color w:val="333333"/>
          <w:sz w:val="21"/>
          <w:szCs w:val="21"/>
        </w:rPr>
        <w:t xml:space="preserve">Reminder calendar cu termenele legale (25 mai, 25 a fiecărei luni pentru D112/D300)</w:t>
      </w:r>
    </w:p>
    <w:p>
      <w:pPr>
        <w:spacing w:before="200" w:after="100"/>
      </w:pPr>
      <w:r>
        <w:rPr>
          <w:rFonts w:ascii="Arial" w:cs="Arial" w:eastAsia="Arial" w:hAnsi="Arial"/>
          <w:b/>
          <w:bCs/>
          <w:color w:val="2980B9"/>
          <w:sz w:val="22"/>
          <w:szCs w:val="22"/>
        </w:rPr>
        <w:t xml:space="preserve">2.3.3 Alertă schimbări legislative</w:t>
      </w:r>
    </w:p>
    <w:p>
      <w:pPr>
        <w:pStyle w:val="ListParagraph"/>
        <w:numPr>
          <w:ilvl w:val="0"/>
          <w:numId w:val="2"/>
        </w:numPr>
        <w:spacing w:after="60" w:line="276"/>
      </w:pPr>
      <w:r>
        <w:rPr>
          <w:rFonts w:ascii="Arial" w:cs="Arial" w:eastAsia="Arial" w:hAnsi="Arial"/>
          <w:color w:val="333333"/>
          <w:sz w:val="21"/>
          <w:szCs w:val="21"/>
        </w:rPr>
        <w:t xml:space="preserve">Motor de reguli fiscal care se actualizează centralizat la fiecare OUG/Lege nouă</w:t>
      </w:r>
    </w:p>
    <w:p>
      <w:pPr>
        <w:pStyle w:val="ListParagraph"/>
        <w:numPr>
          <w:ilvl w:val="0"/>
          <w:numId w:val="2"/>
        </w:numPr>
        <w:spacing w:after="60" w:line="276"/>
      </w:pPr>
      <w:r>
        <w:rPr>
          <w:rFonts w:ascii="Arial" w:cs="Arial" w:eastAsia="Arial" w:hAnsi="Arial"/>
          <w:color w:val="333333"/>
          <w:sz w:val="21"/>
          <w:szCs w:val="21"/>
        </w:rPr>
        <w:t xml:space="preserve">Notificări push/email la schimbări relevante: cote TVA, praguri CAS/CASS, termene</w:t>
      </w:r>
    </w:p>
    <w:p>
      <w:pPr>
        <w:pStyle w:val="ListParagraph"/>
        <w:numPr>
          <w:ilvl w:val="0"/>
          <w:numId w:val="2"/>
        </w:numPr>
        <w:spacing w:after="60" w:line="276"/>
      </w:pPr>
      <w:r>
        <w:rPr>
          <w:rFonts w:ascii="Arial" w:cs="Arial" w:eastAsia="Arial" w:hAnsi="Arial"/>
          <w:color w:val="333333"/>
          <w:sz w:val="21"/>
          <w:szCs w:val="21"/>
        </w:rPr>
        <w:t xml:space="preserve">Simulări „What-if”: „Ce se întâmplă dacă depășesc 250.000€?”, „Convine să trec pe SRL?”</w:t>
      </w:r>
    </w:p>
    <w:p>
      <w:pPr>
        <w:pStyle w:val="Heading2"/>
        <w:spacing w:before="300" w:after="150"/>
      </w:pPr>
      <w:r>
        <w:rPr>
          <w:rFonts w:ascii="Arial" w:cs="Arial" w:eastAsia="Arial" w:hAnsi="Arial"/>
          <w:b/>
          <w:bCs/>
          <w:color w:val="2C3E50"/>
          <w:sz w:val="26"/>
          <w:szCs w:val="26"/>
        </w:rPr>
        <w:t xml:space="preserve">2.4 Modulul Plăți și Relații</w:t>
      </w:r>
    </w:p>
    <w:p>
      <w:pPr>
        <w:pStyle w:val="ListParagraph"/>
        <w:numPr>
          <w:ilvl w:val="0"/>
          <w:numId w:val="2"/>
        </w:numPr>
        <w:spacing w:after="60" w:line="276"/>
      </w:pPr>
      <w:r>
        <w:rPr>
          <w:rFonts w:ascii="Arial" w:cs="Arial" w:eastAsia="Arial" w:hAnsi="Arial"/>
          <w:color w:val="333333"/>
          <w:sz w:val="21"/>
          <w:szCs w:val="21"/>
        </w:rPr>
        <w:t xml:space="preserve">Linkuri de plată integrate (Stripe, procesator local) atașate facturilor</w:t>
      </w:r>
    </w:p>
    <w:p>
      <w:pPr>
        <w:pStyle w:val="ListParagraph"/>
        <w:numPr>
          <w:ilvl w:val="0"/>
          <w:numId w:val="2"/>
        </w:numPr>
        <w:spacing w:after="60" w:line="276"/>
      </w:pPr>
      <w:r>
        <w:rPr>
          <w:rFonts w:ascii="Arial" w:cs="Arial" w:eastAsia="Arial" w:hAnsi="Arial"/>
          <w:color w:val="333333"/>
          <w:sz w:val="21"/>
          <w:szCs w:val="21"/>
        </w:rPr>
        <w:t xml:space="preserve">Relance automate: email/SMS la J+7, J+15, J+30 de la emiterea facturii</w:t>
      </w:r>
    </w:p>
    <w:p>
      <w:pPr>
        <w:pStyle w:val="ListParagraph"/>
        <w:numPr>
          <w:ilvl w:val="0"/>
          <w:numId w:val="2"/>
        </w:numPr>
        <w:spacing w:after="60" w:line="276"/>
      </w:pPr>
      <w:r>
        <w:rPr>
          <w:rFonts w:ascii="Arial" w:cs="Arial" w:eastAsia="Arial" w:hAnsi="Arial"/>
          <w:color w:val="333333"/>
          <w:sz w:val="21"/>
          <w:szCs w:val="21"/>
        </w:rPr>
        <w:t xml:space="preserve">Tracking statusuri: în așteptare, întârziată, relansată, încasată, anulată</w:t>
      </w:r>
    </w:p>
    <w:p>
      <w:pPr>
        <w:pStyle w:val="ListParagraph"/>
        <w:numPr>
          <w:ilvl w:val="0"/>
          <w:numId w:val="2"/>
        </w:numPr>
        <w:spacing w:after="60" w:line="276"/>
      </w:pPr>
      <w:r>
        <w:rPr>
          <w:rFonts w:ascii="Arial" w:cs="Arial" w:eastAsia="Arial" w:hAnsi="Arial"/>
          <w:color w:val="333333"/>
          <w:sz w:val="21"/>
          <w:szCs w:val="21"/>
        </w:rPr>
        <w:t xml:space="preserve">Generare automată confirmare de plată (chitanță) la înregistrarea încasării</w:t>
      </w:r>
    </w:p>
    <w:p>
      <w:pPr>
        <w:pStyle w:val="Heading2"/>
        <w:spacing w:before="300" w:after="150"/>
      </w:pPr>
      <w:r>
        <w:rPr>
          <w:rFonts w:ascii="Arial" w:cs="Arial" w:eastAsia="Arial" w:hAnsi="Arial"/>
          <w:b/>
          <w:bCs/>
          <w:color w:val="2C3E50"/>
          <w:sz w:val="26"/>
          <w:szCs w:val="26"/>
        </w:rPr>
        <w:t xml:space="preserve">2.5 Modulul Dashboard și Raportare</w:t>
      </w:r>
    </w:p>
    <w:p>
      <w:pPr>
        <w:pStyle w:val="ListParagraph"/>
        <w:numPr>
          <w:ilvl w:val="0"/>
          <w:numId w:val="2"/>
        </w:numPr>
        <w:spacing w:after="60" w:line="276"/>
      </w:pPr>
      <w:r>
        <w:rPr>
          <w:rFonts w:ascii="Arial" w:cs="Arial" w:eastAsia="Arial" w:hAnsi="Arial"/>
          <w:color w:val="333333"/>
          <w:sz w:val="21"/>
          <w:szCs w:val="21"/>
        </w:rPr>
        <w:t xml:space="preserve">Vizualizare cifră de afaceri (lunară, trimestrială, anuală) cu grafice interactive</w:t>
      </w:r>
    </w:p>
    <w:p>
      <w:pPr>
        <w:pStyle w:val="ListParagraph"/>
        <w:numPr>
          <w:ilvl w:val="0"/>
          <w:numId w:val="2"/>
        </w:numPr>
        <w:spacing w:after="60" w:line="276"/>
      </w:pPr>
      <w:r>
        <w:rPr>
          <w:rFonts w:ascii="Arial" w:cs="Arial" w:eastAsia="Arial" w:hAnsi="Arial"/>
          <w:color w:val="333333"/>
          <w:sz w:val="21"/>
          <w:szCs w:val="21"/>
        </w:rPr>
        <w:t xml:space="preserve">Flux de trezorerie în timp real (sold conturi sincronizate + facturi de încasat)</w:t>
      </w:r>
    </w:p>
    <w:p>
      <w:pPr>
        <w:pStyle w:val="ListParagraph"/>
        <w:numPr>
          <w:ilvl w:val="0"/>
          <w:numId w:val="2"/>
        </w:numPr>
        <w:spacing w:after="60" w:line="276"/>
      </w:pPr>
      <w:r>
        <w:rPr>
          <w:rFonts w:ascii="Arial" w:cs="Arial" w:eastAsia="Arial" w:hAnsi="Arial"/>
          <w:color w:val="333333"/>
          <w:sz w:val="21"/>
          <w:szCs w:val="21"/>
        </w:rPr>
        <w:t xml:space="preserve">Raport profitabilitate: venituri − cheltuieli − taxe = profit net</w:t>
      </w:r>
    </w:p>
    <w:p>
      <w:pPr>
        <w:pStyle w:val="ListParagraph"/>
        <w:numPr>
          <w:ilvl w:val="0"/>
          <w:numId w:val="2"/>
        </w:numPr>
        <w:spacing w:after="60" w:line="276"/>
      </w:pPr>
      <w:r>
        <w:rPr>
          <w:rFonts w:ascii="Arial" w:cs="Arial" w:eastAsia="Arial" w:hAnsi="Arial"/>
          <w:color w:val="333333"/>
          <w:sz w:val="21"/>
          <w:szCs w:val="21"/>
        </w:rPr>
        <w:t xml:space="preserve">To-do list inteligent: facturi de emis, declarații de depus, documente de scanat</w:t>
      </w:r>
    </w:p>
    <w:p>
      <w:pPr>
        <w:pStyle w:val="ListParagraph"/>
        <w:numPr>
          <w:ilvl w:val="0"/>
          <w:numId w:val="2"/>
        </w:numPr>
        <w:spacing w:after="60" w:line="276"/>
      </w:pPr>
      <w:r>
        <w:rPr>
          <w:rFonts w:ascii="Arial" w:cs="Arial" w:eastAsia="Arial" w:hAnsi="Arial"/>
          <w:color w:val="333333"/>
          <w:sz w:val="21"/>
          <w:szCs w:val="21"/>
        </w:rPr>
        <w:t xml:space="preserve">Export rapoarte PDF/Excel/CSV</w:t>
      </w:r>
    </w:p>
    <w:p>
      <w:pPr>
        <w:pStyle w:val="Heading2"/>
        <w:spacing w:before="300" w:after="150"/>
      </w:pPr>
      <w:r>
        <w:rPr>
          <w:rFonts w:ascii="Arial" w:cs="Arial" w:eastAsia="Arial" w:hAnsi="Arial"/>
          <w:b/>
          <w:bCs/>
          <w:color w:val="2C3E50"/>
          <w:sz w:val="26"/>
          <w:szCs w:val="26"/>
        </w:rPr>
        <w:t xml:space="preserve">2.6 Onboarding și Asistență</w:t>
      </w:r>
    </w:p>
    <w:p>
      <w:pPr>
        <w:pStyle w:val="ListParagraph"/>
        <w:numPr>
          <w:ilvl w:val="0"/>
          <w:numId w:val="2"/>
        </w:numPr>
        <w:spacing w:after="60" w:line="276"/>
      </w:pPr>
      <w:r>
        <w:rPr>
          <w:rFonts w:ascii="Arial" w:cs="Arial" w:eastAsia="Arial" w:hAnsi="Arial"/>
          <w:color w:val="333333"/>
          <w:sz w:val="21"/>
          <w:szCs w:val="21"/>
        </w:rPr>
        <w:t xml:space="preserve">Wizard de configurare inițială: tip entitate (PFA/II/SRL), regim fiscal, cod CAEN, date identificare</w:t>
      </w:r>
    </w:p>
    <w:p>
      <w:pPr>
        <w:pStyle w:val="ListParagraph"/>
        <w:numPr>
          <w:ilvl w:val="0"/>
          <w:numId w:val="2"/>
        </w:numPr>
        <w:spacing w:after="60" w:line="276"/>
      </w:pPr>
      <w:r>
        <w:rPr>
          <w:rFonts w:ascii="Arial" w:cs="Arial" w:eastAsia="Arial" w:hAnsi="Arial"/>
          <w:color w:val="333333"/>
          <w:sz w:val="21"/>
          <w:szCs w:val="21"/>
        </w:rPr>
        <w:t xml:space="preserve">Interogare automată ANAF API pentru pre-completare date fiscale (CUI, adresă, statut TVA)</w:t>
      </w:r>
    </w:p>
    <w:p>
      <w:pPr>
        <w:pStyle w:val="ListParagraph"/>
        <w:numPr>
          <w:ilvl w:val="0"/>
          <w:numId w:val="2"/>
        </w:numPr>
        <w:spacing w:after="60" w:line="276"/>
      </w:pPr>
      <w:r>
        <w:rPr>
          <w:rFonts w:ascii="Arial" w:cs="Arial" w:eastAsia="Arial" w:hAnsi="Arial"/>
          <w:color w:val="333333"/>
          <w:sz w:val="21"/>
          <w:szCs w:val="21"/>
        </w:rPr>
        <w:t xml:space="preserve">Import date din SmartBill/FGO/Oblio (CSV/Excel) pentru migrație ușoară</w:t>
      </w:r>
    </w:p>
    <w:p>
      <w:pPr>
        <w:pStyle w:val="ListParagraph"/>
        <w:numPr>
          <w:ilvl w:val="0"/>
          <w:numId w:val="2"/>
        </w:numPr>
        <w:spacing w:after="60" w:line="276"/>
      </w:pPr>
      <w:r>
        <w:rPr>
          <w:rFonts w:ascii="Arial" w:cs="Arial" w:eastAsia="Arial" w:hAnsi="Arial"/>
          <w:color w:val="333333"/>
          <w:sz w:val="21"/>
          <w:szCs w:val="21"/>
        </w:rPr>
        <w:t xml:space="preserve">Help contextual și tooltips cu explicații fiscale în limbaj accesibil</w:t>
      </w:r>
    </w:p>
    <w:p>
      <w:pPr>
        <w:pStyle w:val="ListParagraph"/>
        <w:numPr>
          <w:ilvl w:val="0"/>
          <w:numId w:val="2"/>
        </w:numPr>
        <w:spacing w:after="60" w:line="276"/>
      </w:pPr>
      <w:r>
        <w:rPr>
          <w:rFonts w:ascii="Arial" w:cs="Arial" w:eastAsia="Arial" w:hAnsi="Arial"/>
          <w:color w:val="333333"/>
          <w:sz w:val="21"/>
          <w:szCs w:val="21"/>
        </w:rPr>
        <w:t xml:space="preserve">Chat/email support cu răspuns în &lt;24h; opțional: consilier dedicat (+20€/lună)</w:t>
      </w:r>
    </w:p>
    <w:p>
      <w:r>
        <w:br w:type="page"/>
      </w:r>
    </w:p>
    <w:p>
      <w:pPr>
        <w:pStyle w:val="Heading1"/>
        <w:spacing w:before="400" w:after="200"/>
      </w:pPr>
      <w:r>
        <w:rPr>
          <w:rFonts w:ascii="Arial" w:cs="Arial" w:eastAsia="Arial" w:hAnsi="Arial"/>
          <w:b/>
          <w:bCs/>
          <w:color w:val="1B4F72"/>
          <w:sz w:val="32"/>
          <w:szCs w:val="32"/>
        </w:rPr>
        <w:t xml:space="preserve">3. Specificații Tehnice și Stivă Tehnologică</w:t>
      </w:r>
    </w:p>
    <w:p>
      <w:pPr>
        <w:pStyle w:val="Heading2"/>
        <w:spacing w:before="300" w:after="150"/>
      </w:pPr>
      <w:r>
        <w:rPr>
          <w:rFonts w:ascii="Arial" w:cs="Arial" w:eastAsia="Arial" w:hAnsi="Arial"/>
          <w:b/>
          <w:bCs/>
          <w:color w:val="2C3E50"/>
          <w:sz w:val="26"/>
          <w:szCs w:val="26"/>
        </w:rPr>
        <w:t xml:space="preserve">3.1 Principii de arhitectură</w:t>
      </w:r>
    </w:p>
    <w:p>
      <w:pPr>
        <w:pStyle w:val="ListParagraph"/>
        <w:numPr>
          <w:ilvl w:val="0"/>
          <w:numId w:val="2"/>
        </w:numPr>
        <w:spacing w:after="60" w:line="276"/>
      </w:pPr>
      <w:r>
        <w:rPr>
          <w:rFonts w:ascii="Arial" w:cs="Arial" w:eastAsia="Arial" w:hAnsi="Arial"/>
          <w:color w:val="333333"/>
          <w:sz w:val="21"/>
          <w:szCs w:val="21"/>
        </w:rPr>
        <w:t xml:space="preserve">Cloud-native, containerizată, scalabilă orizontal</w:t>
      </w:r>
    </w:p>
    <w:p>
      <w:pPr>
        <w:pStyle w:val="ListParagraph"/>
        <w:numPr>
          <w:ilvl w:val="0"/>
          <w:numId w:val="2"/>
        </w:numPr>
        <w:spacing w:after="60" w:line="276"/>
      </w:pPr>
      <w:r>
        <w:rPr>
          <w:rFonts w:ascii="Arial" w:cs="Arial" w:eastAsia="Arial" w:hAnsi="Arial"/>
          <w:color w:val="333333"/>
          <w:sz w:val="21"/>
          <w:szCs w:val="21"/>
        </w:rPr>
        <w:t xml:space="preserve">Microservicii loose-coupled cu comunicație asincronă (event-driven)</w:t>
      </w:r>
    </w:p>
    <w:p>
      <w:pPr>
        <w:pStyle w:val="ListParagraph"/>
        <w:numPr>
          <w:ilvl w:val="0"/>
          <w:numId w:val="2"/>
        </w:numPr>
        <w:spacing w:after="60" w:line="276"/>
      </w:pPr>
      <w:r>
        <w:rPr>
          <w:rFonts w:ascii="Arial" w:cs="Arial" w:eastAsia="Arial" w:hAnsi="Arial"/>
          <w:color w:val="333333"/>
          <w:sz w:val="21"/>
          <w:szCs w:val="21"/>
        </w:rPr>
        <w:t xml:space="preserve">Mobile-first: designul UI pornește de la mobil, se extinde la desktop</w:t>
      </w:r>
    </w:p>
    <w:p>
      <w:pPr>
        <w:pStyle w:val="ListParagraph"/>
        <w:numPr>
          <w:ilvl w:val="0"/>
          <w:numId w:val="2"/>
        </w:numPr>
        <w:spacing w:after="60" w:line="276"/>
      </w:pPr>
      <w:r>
        <w:rPr>
          <w:rFonts w:ascii="Arial" w:cs="Arial" w:eastAsia="Arial" w:hAnsi="Arial"/>
          <w:color w:val="333333"/>
          <w:sz w:val="21"/>
          <w:szCs w:val="21"/>
        </w:rPr>
        <w:t xml:space="preserve">Multi-tenant: o singură instanță servește toți utilizatorii, cu izolare date la nivel logic</w:t>
      </w:r>
    </w:p>
    <w:p>
      <w:pPr>
        <w:pStyle w:val="ListParagraph"/>
        <w:numPr>
          <w:ilvl w:val="0"/>
          <w:numId w:val="2"/>
        </w:numPr>
        <w:spacing w:after="60" w:line="276"/>
      </w:pPr>
      <w:r>
        <w:rPr>
          <w:rFonts w:ascii="Arial" w:cs="Arial" w:eastAsia="Arial" w:hAnsi="Arial"/>
          <w:color w:val="333333"/>
          <w:sz w:val="21"/>
          <w:szCs w:val="21"/>
        </w:rPr>
        <w:t xml:space="preserve">API-first: toate funcționalitățile expuse prin REST API intern, eventual deschis parțial (v2) pentru integrări terțe</w:t>
      </w:r>
    </w:p>
    <w:p>
      <w:pPr>
        <w:pStyle w:val="Heading2"/>
        <w:spacing w:before="300" w:after="150"/>
      </w:pPr>
      <w:r>
        <w:rPr>
          <w:rFonts w:ascii="Arial" w:cs="Arial" w:eastAsia="Arial" w:hAnsi="Arial"/>
          <w:b/>
          <w:bCs/>
          <w:color w:val="2C3E50"/>
          <w:sz w:val="26"/>
          <w:szCs w:val="26"/>
        </w:rPr>
        <w:t xml:space="preserve">3.2 Stiva tehnologică recomandată</w:t>
      </w:r>
    </w:p>
    <w:p>
      <w:pPr>
        <w:spacing w:before="200" w:after="100"/>
      </w:pPr>
      <w:r>
        <w:rPr>
          <w:rFonts w:ascii="Arial" w:cs="Arial" w:eastAsia="Arial" w:hAnsi="Arial"/>
          <w:b/>
          <w:bCs/>
          <w:color w:val="2980B9"/>
          <w:sz w:val="22"/>
          <w:szCs w:val="22"/>
        </w:rPr>
        <w:t xml:space="preserve">3.2.1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Componentă</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Tehnologie</w:t>
            </w:r>
          </w:p>
        </w:tc>
        <w:tc>
          <w:tcPr>
            <w:tcW w:type="dxa" w:w="48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Justificare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Framework UI</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Next.js 15 (App Router)</w:t>
            </w:r>
          </w:p>
        </w:tc>
        <w:tc>
          <w:tcPr>
            <w:tcW w:type="dxa" w:w="4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SSR + SSG pentru SEO (landing/blog), RSC pentru performanță, middleware auth, API routes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Limbaj</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TypeScript 5.x</w:t>
            </w:r>
          </w:p>
        </w:tc>
        <w:tc>
          <w:tcPr>
            <w:tcW w:type="dxa" w:w="4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Type safety end-to-end, partajare tipuri cu backend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Styling</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Tailwind CSS 4 + shadcn/ui</w:t>
            </w:r>
          </w:p>
        </w:tc>
        <w:tc>
          <w:tcPr>
            <w:tcW w:type="dxa" w:w="4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Design system rapid, componente accesibile, customizare completă</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State management</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Zustand + TanStack Query</w:t>
            </w:r>
          </w:p>
        </w:tc>
        <w:tc>
          <w:tcPr>
            <w:tcW w:type="dxa" w:w="4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Zustand: state global ușor; TanStack: cache server state, invalidare automată</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Formulare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React Hook Form + Zod</w:t>
            </w:r>
          </w:p>
        </w:tc>
        <w:tc>
          <w:tcPr>
            <w:tcW w:type="dxa" w:w="4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Validare client+server cu aceleași scheme Zod</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Grafice</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Recharts sau Chart.js</w:t>
            </w:r>
          </w:p>
        </w:tc>
        <w:tc>
          <w:tcPr>
            <w:tcW w:type="dxa" w:w="4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Grafice interactive pentru dashboard financiar</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Mobile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PWA (Progressive Web App)</w:t>
            </w:r>
          </w:p>
        </w:tc>
        <w:tc>
          <w:tcPr>
            <w:tcW w:type="dxa" w:w="4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Instalație pe ecran, offline mode, push notifications, zero cost app store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Build tool</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Turbopack (integrat Next.js)</w:t>
            </w:r>
          </w:p>
        </w:tc>
        <w:tc>
          <w:tcPr>
            <w:tcW w:type="dxa" w:w="4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Build incremental extrem de rapid, înlocuiește Webpack</w:t>
            </w:r>
          </w:p>
        </w:tc>
      </w:tr>
    </w:tbl>
    <w:p>
      <w:pPr>
        <w:spacing w:before="150" w:after="0"/>
      </w:pPr>
    </w:p>
    <w:p>
      <w:pPr>
        <w:spacing w:before="200" w:after="100"/>
      </w:pPr>
      <w:r>
        <w:rPr>
          <w:rFonts w:ascii="Arial" w:cs="Arial" w:eastAsia="Arial" w:hAnsi="Arial"/>
          <w:b/>
          <w:bCs/>
          <w:color w:val="2980B9"/>
          <w:sz w:val="22"/>
          <w:szCs w:val="22"/>
        </w:rPr>
        <w:t xml:space="preserve">3.2.2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Componentă</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Tehnologie</w:t>
            </w:r>
          </w:p>
        </w:tc>
        <w:tc>
          <w:tcPr>
            <w:tcW w:type="dxa" w:w="46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Justificare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Runtime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Node.js 22 LTS</w:t>
            </w:r>
          </w:p>
        </w:tc>
        <w:tc>
          <w:tcPr>
            <w:tcW w:type="dxa" w:w="4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Ecosistem vast, performanță I/O, partajare TypeScript cu frontend</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Framework API</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Fastify 5</w:t>
            </w:r>
          </w:p>
        </w:tc>
        <w:tc>
          <w:tcPr>
            <w:tcW w:type="dxa" w:w="46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2x mai rapid decât Express, schema validation nativă, plugin ecosystem matur</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Limbaj</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TypeScript 5.x</w:t>
            </w:r>
          </w:p>
        </w:tc>
        <w:tc>
          <w:tcPr>
            <w:tcW w:type="dxa" w:w="4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Consistent cu frontend, type safety la nivel API</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Validare</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Zod (partajat frontend/backend)</w:t>
            </w:r>
          </w:p>
        </w:tc>
        <w:tc>
          <w:tcPr>
            <w:tcW w:type="dxa" w:w="46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Scheme unice de validare refolosite peste tot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Autentificare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NextAuth.js v5 (Auth.js)</w:t>
            </w:r>
          </w:p>
        </w:tc>
        <w:tc>
          <w:tcPr>
            <w:tcW w:type="dxa" w:w="4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OAuth 2.0, magic links, session JWT, suport multi-provider</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Job queue</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BullMQ + Redis</w:t>
            </w:r>
          </w:p>
        </w:tc>
        <w:tc>
          <w:tcPr>
            <w:tcW w:type="dxa" w:w="46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Task-uri asincrone: polling e-Factura, import bancar, generație PDF</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PDF generation</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Puppeteer / pdf-lib</w:t>
            </w:r>
          </w:p>
        </w:tc>
        <w:tc>
          <w:tcPr>
            <w:tcW w:type="dxa" w:w="4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Generare facturi PDF profesionale și declarații D212</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XML processing</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fast-xml-parser</w:t>
            </w:r>
          </w:p>
        </w:tc>
        <w:tc>
          <w:tcPr>
            <w:tcW w:type="dxa" w:w="46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Generare și validare UBL 2.1 XML pentru e-Factura</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OCR</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Tesseract.js sau Google Vision API</w:t>
            </w:r>
          </w:p>
        </w:tc>
        <w:tc>
          <w:tcPr>
            <w:tcW w:type="dxa" w:w="4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Extragere text din bonuri/chitanțe fotografiate</w:t>
            </w:r>
          </w:p>
        </w:tc>
      </w:tr>
    </w:tbl>
    <w:p>
      <w:pPr>
        <w:spacing w:before="150" w:after="0"/>
      </w:pPr>
    </w:p>
    <w:p>
      <w:pPr>
        <w:spacing w:before="200" w:after="100"/>
      </w:pPr>
      <w:r>
        <w:rPr>
          <w:rFonts w:ascii="Arial" w:cs="Arial" w:eastAsia="Arial" w:hAnsi="Arial"/>
          <w:b/>
          <w:bCs/>
          <w:color w:val="2980B9"/>
          <w:sz w:val="22"/>
          <w:szCs w:val="22"/>
        </w:rPr>
        <w:t xml:space="preserve">3.2.3 Bază de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Componentă</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Tehnologie</w:t>
            </w:r>
          </w:p>
        </w:tc>
        <w:tc>
          <w:tcPr>
            <w:tcW w:type="dxa" w:w="44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Justificare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DB primară</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MongoDB Atlas (7.x)</w:t>
            </w:r>
          </w:p>
        </w:tc>
        <w:tc>
          <w:tcPr>
            <w:tcW w:type="dxa" w:w="4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Schema flexibil, ideal pentru documente (facturi, tranzacții); scalare automată Atlas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ODM</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Mongoose 8 sau Prisma (MongoDB adapter)</w:t>
            </w:r>
          </w:p>
        </w:tc>
        <w:tc>
          <w:tcPr>
            <w:tcW w:type="dxa" w:w="44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Schema validation, middleware, populație; Prisma pentru type safety superior</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Cache / Sessions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Redis (Upstash sau ElastiCache)</w:t>
            </w:r>
          </w:p>
        </w:tc>
        <w:tc>
          <w:tcPr>
            <w:tcW w:type="dxa" w:w="4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Cache frecvent (cursuri BNR, config fiscal), sessions, rate limiting</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Search (opțional)</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MongoDB Atlas Search (Lucene)</w:t>
            </w:r>
          </w:p>
        </w:tc>
        <w:tc>
          <w:tcPr>
            <w:tcW w:type="dxa" w:w="44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Căutare full-text în facturi, clienți, tranzacții fără infra suplimentară</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Backup</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MongoDB Atlas Continuous Backup</w:t>
            </w:r>
          </w:p>
        </w:tc>
        <w:tc>
          <w:tcPr>
            <w:tcW w:type="dxa" w:w="4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Point-in-time recovery, reținere 5 ani conform Legea 82/1991</w:t>
            </w:r>
          </w:p>
        </w:tc>
      </w:tr>
    </w:tbl>
    <w:p>
      <w:pPr>
        <w:spacing w:before="100" w:after="0"/>
      </w:pPr>
    </w:p>
    <w:p>
      <w:pPr>
        <w:spacing w:after="120" w:line="276"/>
        <w:jc w:val="both"/>
      </w:pPr>
      <w:r>
        <w:rPr>
          <w:rFonts w:ascii="Arial" w:cs="Arial" w:eastAsia="Arial" w:hAnsi="Arial"/>
          <w:color w:val="333333"/>
          <w:sz w:val="21"/>
          <w:szCs w:val="21"/>
        </w:rPr>
        <w:t xml:space="preserve">Notă: MongoDB este alegerea optimă pentru acest tip de aplicație datorită naturii document-centrice a datelor (facturi cu structură variabilă, tranzacții bancare cu metadate diverse). Alternativa relațională (PostgreSQL) ar fi viabilă dar ar necesita mai multă muncă de schema management pentru adaptarea la frecventele schimbări legislative.</w:t>
      </w:r>
    </w:p>
    <w:p>
      <w:pPr>
        <w:spacing w:before="150" w:after="0"/>
      </w:pPr>
    </w:p>
    <w:p>
      <w:pPr>
        <w:spacing w:before="200" w:after="100"/>
      </w:pPr>
      <w:r>
        <w:rPr>
          <w:rFonts w:ascii="Arial" w:cs="Arial" w:eastAsia="Arial" w:hAnsi="Arial"/>
          <w:b/>
          <w:bCs/>
          <w:color w:val="2980B9"/>
          <w:sz w:val="22"/>
          <w:szCs w:val="22"/>
        </w:rPr>
        <w:t xml:space="preserve">3.2.4 Infrastructură și DevOps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Componentă</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Tehnologie</w:t>
            </w:r>
          </w:p>
        </w:tc>
        <w:tc>
          <w:tcPr>
            <w:tcW w:type="dxa" w:w="44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Justificare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Containerizare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Docker (multi-stage builds)</w:t>
            </w:r>
          </w:p>
        </w:tc>
        <w:tc>
          <w:tcPr>
            <w:tcW w:type="dxa" w:w="4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Imagini optimizate, reproductibilitate, izolare servicii</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Orchestrare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Kubernetes (EKS / GKE / AKS)</w:t>
            </w:r>
          </w:p>
        </w:tc>
        <w:tc>
          <w:tcPr>
            <w:tcW w:type="dxa" w:w="44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Auto-scaling, rolling deploys, self-healing; alternativă simplă: Docker Compose + Swarm pentru MVP</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Registry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GitHub Container Registry / ECR</w:t>
            </w:r>
          </w:p>
        </w:tc>
        <w:tc>
          <w:tcPr>
            <w:tcW w:type="dxa" w:w="4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Imagini Docker versionate cu CI/CD</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CI/CD</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GitHub Actions</w:t>
            </w:r>
          </w:p>
        </w:tc>
        <w:tc>
          <w:tcPr>
            <w:tcW w:type="dxa" w:w="44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Pipeline automat: lint → test → build → deploy → smoke test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Cloud provider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Google Cloud Platform (GCP)</w:t>
            </w:r>
          </w:p>
        </w:tc>
        <w:tc>
          <w:tcPr>
            <w:tcW w:type="dxa" w:w="4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Serverele în EU (europe-west3 Frankfurt sau europe-west4 Olanda), GDPR compliant; alternativ: AWS eu-central-1</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CDN</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Cloudflare</w:t>
            </w:r>
          </w:p>
        </w:tc>
        <w:tc>
          <w:tcPr>
            <w:tcW w:type="dxa" w:w="44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Edge caching, DDoS protection, SSL, WAF</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Monitoring</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Grafana + Prometheus + Loki</w:t>
            </w:r>
          </w:p>
        </w:tc>
        <w:tc>
          <w:tcPr>
            <w:tcW w:type="dxa" w:w="4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Metrici, alerte, logs centralizate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APM</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Sentry</w:t>
            </w:r>
          </w:p>
        </w:tc>
        <w:tc>
          <w:tcPr>
            <w:tcW w:type="dxa" w:w="44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Error tracking, performance monitoring, session replay</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DNS/Domain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Cloudflare DNS</w:t>
            </w:r>
          </w:p>
        </w:tc>
        <w:tc>
          <w:tcPr>
            <w:tcW w:type="dxa" w:w="4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Propagare rapidă, DNSSEC</w:t>
            </w:r>
          </w:p>
        </w:tc>
      </w:tr>
    </w:tbl>
    <w:p>
      <w:pPr>
        <w:spacing w:before="150" w:after="0"/>
      </w:pPr>
    </w:p>
    <w:p>
      <w:pPr>
        <w:spacing w:before="200" w:after="100"/>
      </w:pPr>
      <w:r>
        <w:rPr>
          <w:rFonts w:ascii="Arial" w:cs="Arial" w:eastAsia="Arial" w:hAnsi="Arial"/>
          <w:b/>
          <w:bCs/>
          <w:color w:val="2980B9"/>
          <w:sz w:val="22"/>
          <w:szCs w:val="22"/>
        </w:rPr>
        <w:t xml:space="preserve">3.2.5 Integrări externe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Integrare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Provider</w:t>
            </w:r>
          </w:p>
        </w:tc>
        <w:tc>
          <w:tcPr>
            <w:tcW w:type="dxa" w:w="45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Protocol / Detalii</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e-Factura ANAF</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ANAF Direct (api.anaf.ro)</w:t>
            </w:r>
          </w:p>
        </w:tc>
        <w:tc>
          <w:tcPr>
            <w:tcW w:type="dxa" w:w="4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REST API, OAuth 2.0, UBL 2.1 XML, polling status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Open Banking</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Finqware (primar) / Salt Edge (fallback)</w:t>
            </w:r>
          </w:p>
        </w:tc>
        <w:tc>
          <w:tcPr>
            <w:tcW w:type="dxa" w:w="4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PSD2 AIS + PIS, 15+ bănci RO, SCA la 90 zile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Plăți online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Stripe + Netopia (local)</w:t>
            </w:r>
          </w:p>
        </w:tc>
        <w:tc>
          <w:tcPr>
            <w:tcW w:type="dxa" w:w="4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Stripe: link plăți internațional; Netopia: plăți card RO cu comisioane reduse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Curs valutar</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BNR API (bnr.ro/nbrfxrates.xml)</w:t>
            </w:r>
          </w:p>
        </w:tc>
        <w:tc>
          <w:tcPr>
            <w:tcW w:type="dxa" w:w="4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Curs oficial zilnic RON/EUR, RON/USD</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Date firme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ANAF API verificare CUI</w:t>
            </w:r>
          </w:p>
        </w:tc>
        <w:tc>
          <w:tcPr>
            <w:tcW w:type="dxa" w:w="4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Validare CUI, adresă, statut TVA, statut VIES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OCR bonuri</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Google Cloud Vision / Tesseract</w:t>
            </w:r>
          </w:p>
        </w:tc>
        <w:tc>
          <w:tcPr>
            <w:tcW w:type="dxa" w:w="4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Extragere text din imagini bonuri fiscale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Email tranzacțional</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Resend sau Postmark</w:t>
            </w:r>
          </w:p>
        </w:tc>
        <w:tc>
          <w:tcPr>
            <w:tcW w:type="dxa" w:w="4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Trimitere facturi, notificări, remindere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SMS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Vonage / Twilio</w:t>
            </w:r>
          </w:p>
        </w:tc>
        <w:tc>
          <w:tcPr>
            <w:tcW w:type="dxa" w:w="4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Alertă SMS pentru relance și notificări critice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Analytics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PostHog (self-hosted) / Mixpanel</w:t>
            </w:r>
          </w:p>
        </w:tc>
        <w:tc>
          <w:tcPr>
            <w:tcW w:type="dxa" w:w="4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Tracking utilizare, funnel conversie, cohort analysis</w:t>
            </w:r>
          </w:p>
        </w:tc>
      </w:tr>
    </w:tbl>
    <w:p>
      <w:r>
        <w:br w:type="page"/>
      </w:r>
    </w:p>
    <w:p>
      <w:pPr>
        <w:pStyle w:val="Heading1"/>
        <w:spacing w:before="400" w:after="200"/>
      </w:pPr>
      <w:r>
        <w:rPr>
          <w:rFonts w:ascii="Arial" w:cs="Arial" w:eastAsia="Arial" w:hAnsi="Arial"/>
          <w:b/>
          <w:bCs/>
          <w:color w:val="1B4F72"/>
          <w:sz w:val="32"/>
          <w:szCs w:val="32"/>
        </w:rPr>
        <w:t xml:space="preserve">4. Arhitectură Tehnică</w:t>
      </w:r>
    </w:p>
    <w:p>
      <w:pPr>
        <w:pStyle w:val="Heading2"/>
        <w:spacing w:before="300" w:after="150"/>
      </w:pPr>
      <w:r>
        <w:rPr>
          <w:rFonts w:ascii="Arial" w:cs="Arial" w:eastAsia="Arial" w:hAnsi="Arial"/>
          <w:b/>
          <w:bCs/>
          <w:color w:val="2C3E50"/>
          <w:sz w:val="26"/>
          <w:szCs w:val="26"/>
        </w:rPr>
        <w:t xml:space="preserve">4.1 Diagrama de arhitectură (high-level)</w:t>
      </w:r>
    </w:p>
    <w:p>
      <w:pPr>
        <w:spacing w:after="120" w:line="276"/>
        <w:jc w:val="both"/>
      </w:pPr>
      <w:r>
        <w:rPr>
          <w:rFonts w:ascii="Arial" w:cs="Arial" w:eastAsia="Arial" w:hAnsi="Arial"/>
          <w:color w:val="333333"/>
          <w:sz w:val="21"/>
          <w:szCs w:val="21"/>
        </w:rPr>
        <w:t xml:space="preserve">Arhitectura este organizată în 4 straturi principale:</w:t>
      </w:r>
    </w:p>
    <w:p>
      <w:pPr>
        <w:spacing w:before="100" w:after="0"/>
      </w:pPr>
    </w:p>
    <w:p>
      <w:pPr>
        <w:spacing w:after="120" w:line="276"/>
        <w:jc w:val="both"/>
      </w:pPr>
      <w:r>
        <w:rPr>
          <w:rFonts w:ascii="Arial" w:cs="Arial" w:eastAsia="Arial" w:hAnsi="Arial"/>
          <w:b/>
          <w:bCs/>
          <w:color w:val="2C3E50"/>
          <w:sz w:val="21"/>
          <w:szCs w:val="21"/>
        </w:rPr>
        <w:t xml:space="preserve">Stratul 1 — Client: </w:t>
      </w:r>
      <w:r>
        <w:rPr>
          <w:rFonts w:ascii="Arial" w:cs="Arial" w:eastAsia="Arial" w:hAnsi="Arial"/>
          <w:color w:val="333333"/>
          <w:sz w:val="21"/>
          <w:szCs w:val="21"/>
        </w:rPr>
        <w:t xml:space="preserve">Next.js PWA (browser + mobil instalat) comunică cu backend-ul prin HTTPS REST API + WebSocket pentru notificări în timp real.</w:t>
      </w:r>
    </w:p>
    <w:p>
      <w:pPr>
        <w:spacing w:after="120" w:line="276"/>
        <w:jc w:val="both"/>
      </w:pPr>
      <w:r>
        <w:rPr>
          <w:rFonts w:ascii="Arial" w:cs="Arial" w:eastAsia="Arial" w:hAnsi="Arial"/>
          <w:b/>
          <w:bCs/>
          <w:color w:val="2C3E50"/>
          <w:sz w:val="21"/>
          <w:szCs w:val="21"/>
        </w:rPr>
        <w:t xml:space="preserve">Stratul 2 — API Gateway: </w:t>
      </w:r>
      <w:r>
        <w:rPr>
          <w:rFonts w:ascii="Arial" w:cs="Arial" w:eastAsia="Arial" w:hAnsi="Arial"/>
          <w:color w:val="333333"/>
          <w:sz w:val="21"/>
          <w:szCs w:val="21"/>
        </w:rPr>
        <w:t xml:space="preserve">Next.js API Routes (sau Fastify standalone) gestionează autentificarea, rate limiting, routing și validarea request-urilor.</w:t>
      </w:r>
    </w:p>
    <w:p>
      <w:pPr>
        <w:spacing w:after="120" w:line="276"/>
        <w:jc w:val="both"/>
      </w:pPr>
      <w:r>
        <w:rPr>
          <w:rFonts w:ascii="Arial" w:cs="Arial" w:eastAsia="Arial" w:hAnsi="Arial"/>
          <w:b/>
          <w:bCs/>
          <w:color w:val="2C3E50"/>
          <w:sz w:val="21"/>
          <w:szCs w:val="21"/>
        </w:rPr>
        <w:t xml:space="preserve">Stratul 3 — Servicii Backend: </w:t>
      </w:r>
      <w:r>
        <w:rPr>
          <w:rFonts w:ascii="Arial" w:cs="Arial" w:eastAsia="Arial" w:hAnsi="Arial"/>
          <w:color w:val="333333"/>
          <w:sz w:val="21"/>
          <w:szCs w:val="21"/>
        </w:rPr>
        <w:t xml:space="preserve">Microservicii specializate comunică prin BullMQ (job queue) și Redis pub/sub:</w:t>
      </w:r>
    </w:p>
    <w:p>
      <w:pPr>
        <w:pStyle w:val="ListParagraph"/>
        <w:numPr>
          <w:ilvl w:val="0"/>
          <w:numId w:val="2"/>
        </w:numPr>
        <w:spacing w:after="60" w:line="276"/>
      </w:pPr>
      <w:r>
        <w:rPr>
          <w:rFonts w:ascii="Arial" w:cs="Arial" w:eastAsia="Arial" w:hAnsi="Arial"/>
          <w:color w:val="333333"/>
          <w:sz w:val="21"/>
          <w:szCs w:val="21"/>
        </w:rPr>
        <w:t xml:space="preserve">Invoice Service: creare, validare, transmitere e-Factura, arhivare</w:t>
      </w:r>
    </w:p>
    <w:p>
      <w:pPr>
        <w:pStyle w:val="ListParagraph"/>
        <w:numPr>
          <w:ilvl w:val="0"/>
          <w:numId w:val="2"/>
        </w:numPr>
        <w:spacing w:after="60" w:line="276"/>
      </w:pPr>
      <w:r>
        <w:rPr>
          <w:rFonts w:ascii="Arial" w:cs="Arial" w:eastAsia="Arial" w:hAnsi="Arial"/>
          <w:color w:val="333333"/>
          <w:sz w:val="21"/>
          <w:szCs w:val="21"/>
        </w:rPr>
        <w:t xml:space="preserve">Tax Engine: calcul CAS/CASS/impozit, generare D212, motor reguli fiscal</w:t>
      </w:r>
    </w:p>
    <w:p>
      <w:pPr>
        <w:pStyle w:val="ListParagraph"/>
        <w:numPr>
          <w:ilvl w:val="0"/>
          <w:numId w:val="2"/>
        </w:numPr>
        <w:spacing w:after="60" w:line="276"/>
      </w:pPr>
      <w:r>
        <w:rPr>
          <w:rFonts w:ascii="Arial" w:cs="Arial" w:eastAsia="Arial" w:hAnsi="Arial"/>
          <w:color w:val="333333"/>
          <w:sz w:val="21"/>
          <w:szCs w:val="21"/>
        </w:rPr>
        <w:t xml:space="preserve">Banking Service: conectare Open Banking, import tranzacții, reconciliere</w:t>
      </w:r>
    </w:p>
    <w:p>
      <w:pPr>
        <w:pStyle w:val="ListParagraph"/>
        <w:numPr>
          <w:ilvl w:val="0"/>
          <w:numId w:val="2"/>
        </w:numPr>
        <w:spacing w:after="60" w:line="276"/>
      </w:pPr>
      <w:r>
        <w:rPr>
          <w:rFonts w:ascii="Arial" w:cs="Arial" w:eastAsia="Arial" w:hAnsi="Arial"/>
          <w:color w:val="333333"/>
          <w:sz w:val="21"/>
          <w:szCs w:val="21"/>
        </w:rPr>
        <w:t xml:space="preserve">Document Service: OCR, generare PDF, stocare S3</w:t>
      </w:r>
    </w:p>
    <w:p>
      <w:pPr>
        <w:pStyle w:val="ListParagraph"/>
        <w:numPr>
          <w:ilvl w:val="0"/>
          <w:numId w:val="2"/>
        </w:numPr>
        <w:spacing w:after="60" w:line="276"/>
      </w:pPr>
      <w:r>
        <w:rPr>
          <w:rFonts w:ascii="Arial" w:cs="Arial" w:eastAsia="Arial" w:hAnsi="Arial"/>
          <w:color w:val="333333"/>
          <w:sz w:val="21"/>
          <w:szCs w:val="21"/>
        </w:rPr>
        <w:t xml:space="preserve">Notification Service: email, SMS, push, remindere calendar</w:t>
      </w:r>
    </w:p>
    <w:p>
      <w:pPr>
        <w:spacing w:after="120" w:line="276"/>
        <w:jc w:val="both"/>
      </w:pPr>
      <w:r>
        <w:rPr>
          <w:rFonts w:ascii="Arial" w:cs="Arial" w:eastAsia="Arial" w:hAnsi="Arial"/>
          <w:b/>
          <w:bCs/>
          <w:color w:val="2C3E50"/>
          <w:sz w:val="21"/>
          <w:szCs w:val="21"/>
        </w:rPr>
        <w:t xml:space="preserve">Stratul 4 — Date: </w:t>
      </w:r>
      <w:r>
        <w:rPr>
          <w:rFonts w:ascii="Arial" w:cs="Arial" w:eastAsia="Arial" w:hAnsi="Arial"/>
          <w:color w:val="333333"/>
          <w:sz w:val="21"/>
          <w:szCs w:val="21"/>
        </w:rPr>
        <w:t xml:space="preserve">MongoDB Atlas (primar), Redis (cache/sessions), Google Cloud Storage (documente/PDF-uri), backup automat cu reținere 5 ani.</w:t>
      </w:r>
    </w:p>
    <w:p>
      <w:pPr>
        <w:pStyle w:val="Heading2"/>
        <w:spacing w:before="300" w:after="150"/>
      </w:pPr>
      <w:r>
        <w:rPr>
          <w:rFonts w:ascii="Arial" w:cs="Arial" w:eastAsia="Arial" w:hAnsi="Arial"/>
          <w:b/>
          <w:bCs/>
          <w:color w:val="2C3E50"/>
          <w:sz w:val="26"/>
          <w:szCs w:val="26"/>
        </w:rPr>
        <w:t xml:space="preserve">4.2 Modelul de date (colecții MongoDB principale)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Colecție</w:t>
            </w:r>
          </w:p>
        </w:tc>
        <w:tc>
          <w:tcPr>
            <w:tcW w:type="dxa" w:w="45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Documente cheie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Indexuri</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users</w:t>
            </w:r>
          </w:p>
        </w:tc>
        <w:tc>
          <w:tcPr>
            <w:tcW w:type="dxa" w:w="4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 email, passwordHash, entityType, fiscalRegime, cui, caenCodes, subscription, ... }</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email (unique), cui</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invoices</w:t>
            </w:r>
          </w:p>
        </w:tc>
        <w:tc>
          <w:tcPr>
            <w:tcW w:type="dxa" w:w="4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 userId, number, type, client, lines[], totals, currency, taxDetails, eFactura: { status, uploadId, xml }, ... }</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userId+date, number (unique per user), eFactura.status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clients</w:t>
            </w:r>
          </w:p>
        </w:tc>
        <w:tc>
          <w:tcPr>
            <w:tcW w:type="dxa" w:w="4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 userId, name, cui, address, email, defaults, ... }</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userId, cui</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transactions</w:t>
            </w:r>
          </w:p>
        </w:tc>
        <w:tc>
          <w:tcPr>
            <w:tcW w:type="dxa" w:w="4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 userId, bankAccountId, amount, date, category, matchedInvoiceId, raw, ... }</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userId+date, matchedInvoiceId</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expenses</w:t>
            </w:r>
          </w:p>
        </w:tc>
        <w:tc>
          <w:tcPr>
            <w:tcW w:type="dxa" w:w="4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 userId, amount, date, category, deductibility, receiptUrl, invoiceRef, ... }</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userId+date, category</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taxCalculations</w:t>
            </w:r>
          </w:p>
        </w:tc>
        <w:tc>
          <w:tcPr>
            <w:tcW w:type="dxa" w:w="4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 userId, year, quarter, revenue, expenses, cas, cass, incomeTax, netIncome, ... }</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userId+year</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declarations</w:t>
            </w:r>
          </w:p>
        </w:tc>
        <w:tc>
          <w:tcPr>
            <w:tcW w:type="dxa" w:w="4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 userId, type, year, status, generatedPdf, submittedAt, ... }</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userId+type+year</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fiscalRules</w:t>
            </w:r>
          </w:p>
        </w:tc>
        <w:tc>
          <w:tcPr>
            <w:tcW w:type="dxa" w:w="4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 ruleId, effectiveFrom, effectiveTo, parameters: { minWage, casRate, ... } }</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effectiveFrom</w:t>
            </w:r>
          </w:p>
        </w:tc>
      </w:tr>
    </w:tbl>
    <w:p>
      <w:pPr>
        <w:pStyle w:val="Heading2"/>
        <w:spacing w:before="300" w:after="150"/>
      </w:pPr>
      <w:r>
        <w:rPr>
          <w:rFonts w:ascii="Arial" w:cs="Arial" w:eastAsia="Arial" w:hAnsi="Arial"/>
          <w:b/>
          <w:bCs/>
          <w:color w:val="2C3E50"/>
          <w:sz w:val="26"/>
          <w:szCs w:val="26"/>
        </w:rPr>
        <w:t xml:space="preserve">4.3 Securitate</w:t>
      </w:r>
    </w:p>
    <w:p>
      <w:pPr>
        <w:pStyle w:val="ListParagraph"/>
        <w:numPr>
          <w:ilvl w:val="0"/>
          <w:numId w:val="2"/>
        </w:numPr>
        <w:spacing w:after="60" w:line="276"/>
      </w:pPr>
      <w:r>
        <w:rPr>
          <w:rFonts w:ascii="Arial" w:cs="Arial" w:eastAsia="Arial" w:hAnsi="Arial"/>
          <w:color w:val="333333"/>
          <w:sz w:val="21"/>
          <w:szCs w:val="21"/>
        </w:rPr>
        <w:t xml:space="preserve">Criptare în tranzit: TLS 1.3 pe toate conexiunile</w:t>
      </w:r>
    </w:p>
    <w:p>
      <w:pPr>
        <w:pStyle w:val="ListParagraph"/>
        <w:numPr>
          <w:ilvl w:val="0"/>
          <w:numId w:val="2"/>
        </w:numPr>
        <w:spacing w:after="60" w:line="276"/>
      </w:pPr>
      <w:r>
        <w:rPr>
          <w:rFonts w:ascii="Arial" w:cs="Arial" w:eastAsia="Arial" w:hAnsi="Arial"/>
          <w:color w:val="333333"/>
          <w:sz w:val="21"/>
          <w:szCs w:val="21"/>
        </w:rPr>
        <w:t xml:space="preserve">Criptare la repaus: MongoDB encryption at rest (AES-256), GCS encryption</w:t>
      </w:r>
    </w:p>
    <w:p>
      <w:pPr>
        <w:pStyle w:val="ListParagraph"/>
        <w:numPr>
          <w:ilvl w:val="0"/>
          <w:numId w:val="2"/>
        </w:numPr>
        <w:spacing w:after="60" w:line="276"/>
      </w:pPr>
      <w:r>
        <w:rPr>
          <w:rFonts w:ascii="Arial" w:cs="Arial" w:eastAsia="Arial" w:hAnsi="Arial"/>
          <w:color w:val="333333"/>
          <w:sz w:val="21"/>
          <w:szCs w:val="21"/>
        </w:rPr>
        <w:t xml:space="preserve">Autentificare: JWT RS256 cu refresh tokens, 2FA opțional (TOTP)</w:t>
      </w:r>
    </w:p>
    <w:p>
      <w:pPr>
        <w:pStyle w:val="ListParagraph"/>
        <w:numPr>
          <w:ilvl w:val="0"/>
          <w:numId w:val="2"/>
        </w:numPr>
        <w:spacing w:after="60" w:line="276"/>
      </w:pPr>
      <w:r>
        <w:rPr>
          <w:rFonts w:ascii="Arial" w:cs="Arial" w:eastAsia="Arial" w:hAnsi="Arial"/>
          <w:color w:val="333333"/>
          <w:sz w:val="21"/>
          <w:szCs w:val="21"/>
        </w:rPr>
        <w:t xml:space="preserve">Autorizare: RBAC (owner, accountant, viewer) pentru acces multi-utilizator viitor</w:t>
      </w:r>
    </w:p>
    <w:p>
      <w:pPr>
        <w:pStyle w:val="ListParagraph"/>
        <w:numPr>
          <w:ilvl w:val="0"/>
          <w:numId w:val="2"/>
        </w:numPr>
        <w:spacing w:after="60" w:line="276"/>
      </w:pPr>
      <w:r>
        <w:rPr>
          <w:rFonts w:ascii="Arial" w:cs="Arial" w:eastAsia="Arial" w:hAnsi="Arial"/>
          <w:color w:val="333333"/>
          <w:sz w:val="21"/>
          <w:szCs w:val="21"/>
        </w:rPr>
        <w:t xml:space="preserve">Sanitizare input: Zod validation pe toate endpoint-urile, protecție XSS/CSRF</w:t>
      </w:r>
    </w:p>
    <w:p>
      <w:pPr>
        <w:pStyle w:val="ListParagraph"/>
        <w:numPr>
          <w:ilvl w:val="0"/>
          <w:numId w:val="2"/>
        </w:numPr>
        <w:spacing w:after="60" w:line="276"/>
      </w:pPr>
      <w:r>
        <w:rPr>
          <w:rFonts w:ascii="Arial" w:cs="Arial" w:eastAsia="Arial" w:hAnsi="Arial"/>
          <w:color w:val="333333"/>
          <w:sz w:val="21"/>
          <w:szCs w:val="21"/>
        </w:rPr>
        <w:t xml:space="preserve">Rate limiting: per IP și per user, cu Redis sliding window</w:t>
      </w:r>
    </w:p>
    <w:p>
      <w:pPr>
        <w:pStyle w:val="ListParagraph"/>
        <w:numPr>
          <w:ilvl w:val="0"/>
          <w:numId w:val="2"/>
        </w:numPr>
        <w:spacing w:after="60" w:line="276"/>
      </w:pPr>
      <w:r>
        <w:rPr>
          <w:rFonts w:ascii="Arial" w:cs="Arial" w:eastAsia="Arial" w:hAnsi="Arial"/>
          <w:color w:val="333333"/>
          <w:sz w:val="21"/>
          <w:szCs w:val="21"/>
        </w:rPr>
        <w:t xml:space="preserve">GDPR: date personale minimale, drept la ștergere, export date, DPA cu sub-procesatori</w:t>
      </w:r>
    </w:p>
    <w:p>
      <w:pPr>
        <w:pStyle w:val="ListParagraph"/>
        <w:numPr>
          <w:ilvl w:val="0"/>
          <w:numId w:val="2"/>
        </w:numPr>
        <w:spacing w:after="60" w:line="276"/>
      </w:pPr>
      <w:r>
        <w:rPr>
          <w:rFonts w:ascii="Arial" w:cs="Arial" w:eastAsia="Arial" w:hAnsi="Arial"/>
          <w:color w:val="333333"/>
          <w:sz w:val="21"/>
          <w:szCs w:val="21"/>
        </w:rPr>
        <w:t xml:space="preserve">Audit log: fiecare acțiune critică (factură emisă, declarație generată, login) înregistrată cu timestamp, IP, user</w:t>
      </w:r>
    </w:p>
    <w:p>
      <w:pPr>
        <w:pStyle w:val="ListParagraph"/>
        <w:numPr>
          <w:ilvl w:val="0"/>
          <w:numId w:val="2"/>
        </w:numPr>
        <w:spacing w:after="60" w:line="276"/>
      </w:pPr>
      <w:r>
        <w:rPr>
          <w:rFonts w:ascii="Arial" w:cs="Arial" w:eastAsia="Arial" w:hAnsi="Arial"/>
          <w:color w:val="333333"/>
          <w:sz w:val="21"/>
          <w:szCs w:val="21"/>
        </w:rPr>
        <w:t xml:space="preserve">Stocare documente: 5 ani pentru registre și documente justificative (Legea 36/2023), 50 ani pentru situații financiare anuale</w:t>
      </w:r>
    </w:p>
    <w:p>
      <w:pPr>
        <w:pStyle w:val="Heading2"/>
        <w:spacing w:before="300" w:after="150"/>
      </w:pPr>
      <w:r>
        <w:rPr>
          <w:rFonts w:ascii="Arial" w:cs="Arial" w:eastAsia="Arial" w:hAnsi="Arial"/>
          <w:b/>
          <w:bCs/>
          <w:color w:val="2C3E50"/>
          <w:sz w:val="26"/>
          <w:szCs w:val="26"/>
        </w:rPr>
        <w:t xml:space="preserve">4.4 Performanță și scalabilitate</w:t>
      </w:r>
    </w:p>
    <w:p>
      <w:pPr>
        <w:pStyle w:val="ListParagraph"/>
        <w:numPr>
          <w:ilvl w:val="0"/>
          <w:numId w:val="2"/>
        </w:numPr>
        <w:spacing w:after="60" w:line="276"/>
      </w:pPr>
      <w:r>
        <w:rPr>
          <w:rFonts w:ascii="Arial" w:cs="Arial" w:eastAsia="Arial" w:hAnsi="Arial"/>
          <w:color w:val="333333"/>
          <w:sz w:val="21"/>
          <w:szCs w:val="21"/>
        </w:rPr>
        <w:t xml:space="preserve">Time to First Byte (TTFB): &lt;200ms pentru paginile autentificate</w:t>
      </w:r>
    </w:p>
    <w:p>
      <w:pPr>
        <w:pStyle w:val="ListParagraph"/>
        <w:numPr>
          <w:ilvl w:val="0"/>
          <w:numId w:val="2"/>
        </w:numPr>
        <w:spacing w:after="60" w:line="276"/>
      </w:pPr>
      <w:r>
        <w:rPr>
          <w:rFonts w:ascii="Arial" w:cs="Arial" w:eastAsia="Arial" w:hAnsi="Arial"/>
          <w:color w:val="333333"/>
          <w:sz w:val="21"/>
          <w:szCs w:val="21"/>
        </w:rPr>
        <w:t xml:space="preserve">Lighthouse score: &gt;90 pe toate paginile publice</w:t>
      </w:r>
    </w:p>
    <w:p>
      <w:pPr>
        <w:pStyle w:val="ListParagraph"/>
        <w:numPr>
          <w:ilvl w:val="0"/>
          <w:numId w:val="2"/>
        </w:numPr>
        <w:spacing w:after="60" w:line="276"/>
      </w:pPr>
      <w:r>
        <w:rPr>
          <w:rFonts w:ascii="Arial" w:cs="Arial" w:eastAsia="Arial" w:hAnsi="Arial"/>
          <w:color w:val="333333"/>
          <w:sz w:val="21"/>
          <w:szCs w:val="21"/>
        </w:rPr>
        <w:t xml:space="preserve">API response time: p95 &lt;300ms pentru CRUD, p95 &lt;2s pentru operații complexe (generare PDF, calcul fiscal)</w:t>
      </w:r>
    </w:p>
    <w:p>
      <w:pPr>
        <w:pStyle w:val="ListParagraph"/>
        <w:numPr>
          <w:ilvl w:val="0"/>
          <w:numId w:val="2"/>
        </w:numPr>
        <w:spacing w:after="60" w:line="276"/>
      </w:pPr>
      <w:r>
        <w:rPr>
          <w:rFonts w:ascii="Arial" w:cs="Arial" w:eastAsia="Arial" w:hAnsi="Arial"/>
          <w:color w:val="333333"/>
          <w:sz w:val="21"/>
          <w:szCs w:val="21"/>
        </w:rPr>
        <w:t xml:space="preserve">Concurență: suport 10.000 utilizatori simultani pe cluster Kubernetes de bază</w:t>
      </w:r>
    </w:p>
    <w:p>
      <w:pPr>
        <w:pStyle w:val="ListParagraph"/>
        <w:numPr>
          <w:ilvl w:val="0"/>
          <w:numId w:val="2"/>
        </w:numPr>
        <w:spacing w:after="60" w:line="276"/>
      </w:pPr>
      <w:r>
        <w:rPr>
          <w:rFonts w:ascii="Arial" w:cs="Arial" w:eastAsia="Arial" w:hAnsi="Arial"/>
          <w:color w:val="333333"/>
          <w:sz w:val="21"/>
          <w:szCs w:val="21"/>
        </w:rPr>
        <w:t xml:space="preserve">Auto-scaling: HPA (Horizontal Pod Autoscaler) pe bază de CPU/RAM și request rate</w:t>
      </w:r>
    </w:p>
    <w:p>
      <w:pPr>
        <w:pStyle w:val="ListParagraph"/>
        <w:numPr>
          <w:ilvl w:val="0"/>
          <w:numId w:val="2"/>
        </w:numPr>
        <w:spacing w:after="60" w:line="276"/>
      </w:pPr>
      <w:r>
        <w:rPr>
          <w:rFonts w:ascii="Arial" w:cs="Arial" w:eastAsia="Arial" w:hAnsi="Arial"/>
          <w:color w:val="333333"/>
          <w:sz w:val="21"/>
          <w:szCs w:val="21"/>
        </w:rPr>
        <w:t xml:space="preserve">Database: MongoDB Atlas M30+ cu replica set, read preference secondaryPreferred pentru rapoarte</w:t>
      </w:r>
    </w:p>
    <w:p>
      <w:r>
        <w:br w:type="page"/>
      </w:r>
    </w:p>
    <w:p>
      <w:pPr>
        <w:pStyle w:val="Heading1"/>
        <w:spacing w:before="400" w:after="200"/>
      </w:pPr>
      <w:r>
        <w:rPr>
          <w:rFonts w:ascii="Arial" w:cs="Arial" w:eastAsia="Arial" w:hAnsi="Arial"/>
          <w:b/>
          <w:bCs/>
          <w:color w:val="1B4F72"/>
          <w:sz w:val="32"/>
          <w:szCs w:val="32"/>
        </w:rPr>
        <w:t xml:space="preserve">5. Model de Business și Pricing</w:t>
      </w:r>
    </w:p>
    <w:p>
      <w:pPr>
        <w:pStyle w:val="Heading2"/>
        <w:spacing w:before="300" w:after="150"/>
      </w:pPr>
      <w:r>
        <w:rPr>
          <w:rFonts w:ascii="Arial" w:cs="Arial" w:eastAsia="Arial" w:hAnsi="Arial"/>
          <w:b/>
          <w:bCs/>
          <w:color w:val="2C3E50"/>
          <w:sz w:val="26"/>
          <w:szCs w:val="26"/>
        </w:rPr>
        <w:t xml:space="preserve">5.1 Structura de prețuri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6"/>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
            </w:r>
          </w:p>
        </w:tc>
        <w:tc>
          <w:tcPr>
            <w:tcW w:type="dxa" w:w="217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Start</w:t>
            </w:r>
          </w:p>
        </w:tc>
        <w:tc>
          <w:tcPr>
            <w:tcW w:type="dxa" w:w="217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Esențial</w:t>
            </w:r>
          </w:p>
        </w:tc>
        <w:tc>
          <w:tcPr>
            <w:tcW w:type="dxa" w:w="217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Preț lunar</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29 RON (€6)</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49 RON (€10)</w:t>
            </w:r>
          </w:p>
        </w:tc>
        <w:tc>
          <w:tcPr>
            <w:tcW w:type="dxa" w:w="217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79 RON (€16)</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Preț anual (cu reducere)</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290 RON (€58)</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490 RON (€98)</w:t>
            </w:r>
          </w:p>
        </w:tc>
        <w:tc>
          <w:tcPr>
            <w:tcW w:type="dxa" w:w="21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790 RON (€158)</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Facturi/devize</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Nelimitate</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Nelimitate</w:t>
            </w:r>
          </w:p>
        </w:tc>
        <w:tc>
          <w:tcPr>
            <w:tcW w:type="dxa" w:w="217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Nelimitate</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e-Factura ANAF</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Contabilitate automată</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Calculator fiscal CAS/CASS</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Generator D212</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Sincronizare bancară</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Reconciliere inteligentă</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Scanare OCR bonuri</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20/lună</w:t>
            </w:r>
          </w:p>
        </w:tc>
        <w:tc>
          <w:tcPr>
            <w:tcW w:type="dxa" w:w="21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Nelimitat</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Gestiune TVA completă</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Rapoarte avansate</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Simulări What-if</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c>
          <w:tcPr>
            <w:tcW w:type="dxa" w:w="217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Suport prioritar</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Email 48h</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Email 24h</w:t>
            </w:r>
          </w:p>
        </w:tc>
        <w:tc>
          <w:tcPr>
            <w:tcW w:type="dxa" w:w="21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Chat live + telefon</w:t>
            </w:r>
          </w:p>
        </w:tc>
      </w:tr>
    </w:tbl>
    <w:p>
      <w:pPr>
        <w:spacing w:before="100" w:after="0"/>
      </w:pPr>
    </w:p>
    <w:p>
      <w:pPr>
        <w:spacing w:after="120" w:line="276"/>
        <w:jc w:val="both"/>
      </w:pPr>
      <w:r>
        <w:rPr>
          <w:rFonts w:ascii="Arial" w:cs="Arial" w:eastAsia="Arial" w:hAnsi="Arial"/>
          <w:b/>
          <w:bCs/>
          <w:color w:val="2C3E50"/>
          <w:sz w:val="21"/>
          <w:szCs w:val="21"/>
        </w:rPr>
        <w:t xml:space="preserve">Opțiune suplimentară: Consilier dedicat </w:t>
      </w:r>
      <w:r>
        <w:rPr>
          <w:rFonts w:ascii="Arial" w:cs="Arial" w:eastAsia="Arial" w:hAnsi="Arial"/>
          <w:color w:val="333333"/>
          <w:sz w:val="21"/>
          <w:szCs w:val="21"/>
        </w:rPr>
        <w:t xml:space="preserve">— +99 RON/lună (€20), include suport telefonic 30 min/lună și asistență la demersuri administrative.</w:t>
      </w:r>
    </w:p>
    <w:p>
      <w:pPr>
        <w:spacing w:after="120" w:line="276"/>
        <w:jc w:val="both"/>
      </w:pPr>
      <w:r>
        <w:rPr>
          <w:rFonts w:ascii="Arial" w:cs="Arial" w:eastAsia="Arial" w:hAnsi="Arial"/>
          <w:b/>
          <w:bCs/>
          <w:color w:val="2C3E50"/>
          <w:sz w:val="21"/>
          <w:szCs w:val="21"/>
        </w:rPr>
        <w:t xml:space="preserve">Trial gratuit: </w:t>
      </w:r>
      <w:r>
        <w:rPr>
          <w:rFonts w:ascii="Arial" w:cs="Arial" w:eastAsia="Arial" w:hAnsi="Arial"/>
          <w:color w:val="333333"/>
          <w:sz w:val="21"/>
          <w:szCs w:val="21"/>
        </w:rPr>
        <w:t xml:space="preserve">30 de zile, fără card, fără angajament. Acces complet la planul Esențial.</w:t>
      </w:r>
    </w:p>
    <w:p>
      <w:pPr>
        <w:pStyle w:val="Heading2"/>
        <w:spacing w:before="300" w:after="150"/>
      </w:pPr>
      <w:r>
        <w:rPr>
          <w:rFonts w:ascii="Arial" w:cs="Arial" w:eastAsia="Arial" w:hAnsi="Arial"/>
          <w:b/>
          <w:bCs/>
          <w:color w:val="2C3E50"/>
          <w:sz w:val="26"/>
          <w:szCs w:val="26"/>
        </w:rPr>
        <w:t xml:space="preserve">5.2 Proiecții financiare (scenariul de bază)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6"/>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Metrică</w:t>
            </w:r>
          </w:p>
        </w:tc>
        <w:tc>
          <w:tcPr>
            <w:tcW w:type="dxa" w:w="217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 1</w:t>
            </w:r>
          </w:p>
        </w:tc>
        <w:tc>
          <w:tcPr>
            <w:tcW w:type="dxa" w:w="217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 2</w:t>
            </w:r>
          </w:p>
        </w:tc>
        <w:tc>
          <w:tcPr>
            <w:tcW w:type="dxa" w:w="217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 3</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Utilizatori plătitori</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2.000</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8.000</w:t>
            </w:r>
          </w:p>
        </w:tc>
        <w:tc>
          <w:tcPr>
            <w:tcW w:type="dxa" w:w="217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20.000</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ARPU lunar</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42 RON</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45 RON</w:t>
            </w:r>
          </w:p>
        </w:tc>
        <w:tc>
          <w:tcPr>
            <w:tcW w:type="dxa" w:w="21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48 RON</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MRR (Monthly Recurring Revenue)</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84.000 RON</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360.000 RON</w:t>
            </w:r>
          </w:p>
        </w:tc>
        <w:tc>
          <w:tcPr>
            <w:tcW w:type="dxa" w:w="217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960.000 RON</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ARR</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~€200K</w:t>
            </w:r>
          </w:p>
        </w:tc>
        <w:tc>
          <w:tcPr>
            <w:tcW w:type="dxa" w:w="21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~€860K</w:t>
            </w:r>
          </w:p>
        </w:tc>
        <w:tc>
          <w:tcPr>
            <w:tcW w:type="dxa" w:w="21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~€2,3M</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Churn rate (target)</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&lt;5%/lună</w:t>
            </w:r>
          </w:p>
        </w:tc>
        <w:tc>
          <w:tcPr>
            <w:tcW w:type="dxa" w:w="2175"/>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&lt;3%/lună</w:t>
            </w:r>
          </w:p>
        </w:tc>
        <w:tc>
          <w:tcPr>
            <w:tcW w:type="dxa" w:w="217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&lt;2%/lună</w:t>
            </w:r>
          </w:p>
        </w:tc>
      </w:tr>
    </w:tbl>
    <w:p>
      <w:r>
        <w:br w:type="page"/>
      </w:r>
    </w:p>
    <w:p>
      <w:pPr>
        <w:pStyle w:val="Heading1"/>
        <w:spacing w:before="400" w:after="200"/>
      </w:pPr>
      <w:r>
        <w:rPr>
          <w:rFonts w:ascii="Arial" w:cs="Arial" w:eastAsia="Arial" w:hAnsi="Arial"/>
          <w:b/>
          <w:bCs/>
          <w:color w:val="1B4F72"/>
          <w:sz w:val="32"/>
          <w:szCs w:val="32"/>
        </w:rPr>
        <w:t xml:space="preserve">6. Specificații UX/UI</w:t>
      </w:r>
    </w:p>
    <w:p>
      <w:pPr>
        <w:pStyle w:val="Heading2"/>
        <w:spacing w:before="300" w:after="150"/>
      </w:pPr>
      <w:r>
        <w:rPr>
          <w:rFonts w:ascii="Arial" w:cs="Arial" w:eastAsia="Arial" w:hAnsi="Arial"/>
          <w:b/>
          <w:bCs/>
          <w:color w:val="2C3E50"/>
          <w:sz w:val="26"/>
          <w:szCs w:val="26"/>
        </w:rPr>
        <w:t xml:space="preserve">6.1 Principii de design</w:t>
      </w:r>
    </w:p>
    <w:p>
      <w:pPr>
        <w:pStyle w:val="ListParagraph"/>
        <w:numPr>
          <w:ilvl w:val="0"/>
          <w:numId w:val="2"/>
        </w:numPr>
        <w:spacing w:after="60" w:line="276"/>
      </w:pPr>
      <w:r>
        <w:rPr>
          <w:rFonts w:ascii="Arial" w:cs="Arial" w:eastAsia="Arial" w:hAnsi="Arial"/>
          <w:color w:val="333333"/>
          <w:sz w:val="21"/>
          <w:szCs w:val="21"/>
        </w:rPr>
        <w:t xml:space="preserve">Mobile-first: toate ecranele se proiectează mai întâi pentru 375px, apoi se extind la desktop</w:t>
      </w:r>
    </w:p>
    <w:p>
      <w:pPr>
        <w:pStyle w:val="ListParagraph"/>
        <w:numPr>
          <w:ilvl w:val="0"/>
          <w:numId w:val="2"/>
        </w:numPr>
        <w:spacing w:after="60" w:line="276"/>
      </w:pPr>
      <w:r>
        <w:rPr>
          <w:rFonts w:ascii="Arial" w:cs="Arial" w:eastAsia="Arial" w:hAnsi="Arial"/>
          <w:color w:val="333333"/>
          <w:sz w:val="21"/>
          <w:szCs w:val="21"/>
        </w:rPr>
        <w:t xml:space="preserve">Minimalism funcțional: nicio funcționalitate ascunsă sub mai mult de 2 clicuri de la dashboard</w:t>
      </w:r>
    </w:p>
    <w:p>
      <w:pPr>
        <w:pStyle w:val="ListParagraph"/>
        <w:numPr>
          <w:ilvl w:val="0"/>
          <w:numId w:val="2"/>
        </w:numPr>
        <w:spacing w:after="60" w:line="276"/>
      </w:pPr>
      <w:r>
        <w:rPr>
          <w:rFonts w:ascii="Arial" w:cs="Arial" w:eastAsia="Arial" w:hAnsi="Arial"/>
          <w:color w:val="333333"/>
          <w:sz w:val="21"/>
          <w:szCs w:val="21"/>
        </w:rPr>
        <w:t xml:space="preserve">Limbaj accesibil: zero jargon contabil fără explicație; tooltips contextuale peste tot</w:t>
      </w:r>
    </w:p>
    <w:p>
      <w:pPr>
        <w:pStyle w:val="ListParagraph"/>
        <w:numPr>
          <w:ilvl w:val="0"/>
          <w:numId w:val="2"/>
        </w:numPr>
        <w:spacing w:after="60" w:line="276"/>
      </w:pPr>
      <w:r>
        <w:rPr>
          <w:rFonts w:ascii="Arial" w:cs="Arial" w:eastAsia="Arial" w:hAnsi="Arial"/>
          <w:color w:val="333333"/>
          <w:sz w:val="21"/>
          <w:szCs w:val="21"/>
        </w:rPr>
        <w:t xml:space="preserve">Tone of voice: prietenos, profesional, ușor de înțeles („Ai de plată 2.430 RON către stat”, nu „Oblигаții de contribuții sociale conform art. 148 CF”)</w:t>
      </w:r>
    </w:p>
    <w:p>
      <w:pPr>
        <w:pStyle w:val="ListParagraph"/>
        <w:numPr>
          <w:ilvl w:val="0"/>
          <w:numId w:val="2"/>
        </w:numPr>
        <w:spacing w:after="60" w:line="276"/>
      </w:pPr>
      <w:r>
        <w:rPr>
          <w:rFonts w:ascii="Arial" w:cs="Arial" w:eastAsia="Arial" w:hAnsi="Arial"/>
          <w:color w:val="333333"/>
          <w:sz w:val="21"/>
          <w:szCs w:val="21"/>
        </w:rPr>
        <w:t xml:space="preserve">Accesibilitate: WCAG 2.1 nivel AA, contrast minim 4.5:1, navigație keyboard completă</w:t>
      </w:r>
    </w:p>
    <w:p>
      <w:pPr>
        <w:pStyle w:val="Heading2"/>
        <w:spacing w:before="300" w:after="150"/>
      </w:pPr>
      <w:r>
        <w:rPr>
          <w:rFonts w:ascii="Arial" w:cs="Arial" w:eastAsia="Arial" w:hAnsi="Arial"/>
          <w:b/>
          <w:bCs/>
          <w:color w:val="2C3E50"/>
          <w:sz w:val="26"/>
          <w:szCs w:val="26"/>
        </w:rPr>
        <w:t xml:space="preserve">6.2 Ecrane principale</w:t>
      </w:r>
    </w:p>
    <w:p>
      <w:pPr>
        <w:pStyle w:val="ListParagraph"/>
        <w:numPr>
          <w:ilvl w:val="0"/>
          <w:numId w:val="3"/>
        </w:numPr>
        <w:spacing w:after="60" w:line="276"/>
      </w:pPr>
      <w:r>
        <w:rPr>
          <w:rFonts w:ascii="Arial" w:cs="Arial" w:eastAsia="Arial" w:hAnsi="Arial"/>
          <w:color w:val="333333"/>
          <w:sz w:val="21"/>
          <w:szCs w:val="21"/>
        </w:rPr>
        <w:t xml:space="preserve">Dashboard — rezumat financiar, to-do list, grafice CA/cheltuieli/taxe</w:t>
      </w:r>
    </w:p>
    <w:p>
      <w:pPr>
        <w:pStyle w:val="ListParagraph"/>
        <w:numPr>
          <w:ilvl w:val="0"/>
          <w:numId w:val="3"/>
        </w:numPr>
        <w:spacing w:after="60" w:line="276"/>
      </w:pPr>
      <w:r>
        <w:rPr>
          <w:rFonts w:ascii="Arial" w:cs="Arial" w:eastAsia="Arial" w:hAnsi="Arial"/>
          <w:color w:val="333333"/>
          <w:sz w:val="21"/>
          <w:szCs w:val="21"/>
        </w:rPr>
        <w:t xml:space="preserve">Facturi — listă cu filtre/sort, creare rapidă, status e-Factura</w:t>
      </w:r>
    </w:p>
    <w:p>
      <w:pPr>
        <w:pStyle w:val="ListParagraph"/>
        <w:numPr>
          <w:ilvl w:val="0"/>
          <w:numId w:val="3"/>
        </w:numPr>
        <w:spacing w:after="60" w:line="276"/>
      </w:pPr>
      <w:r>
        <w:rPr>
          <w:rFonts w:ascii="Arial" w:cs="Arial" w:eastAsia="Arial" w:hAnsi="Arial"/>
          <w:color w:val="333333"/>
          <w:sz w:val="21"/>
          <w:szCs w:val="21"/>
        </w:rPr>
        <w:t xml:space="preserve">Cheltuieli — listă, scanare bon, categorizare</w:t>
      </w:r>
    </w:p>
    <w:p>
      <w:pPr>
        <w:pStyle w:val="ListParagraph"/>
        <w:numPr>
          <w:ilvl w:val="0"/>
          <w:numId w:val="3"/>
        </w:numPr>
        <w:spacing w:after="60" w:line="276"/>
      </w:pPr>
      <w:r>
        <w:rPr>
          <w:rFonts w:ascii="Arial" w:cs="Arial" w:eastAsia="Arial" w:hAnsi="Arial"/>
          <w:color w:val="333333"/>
          <w:sz w:val="21"/>
          <w:szCs w:val="21"/>
        </w:rPr>
        <w:t xml:space="preserve">Bancă — tranzacții importate, reconciliere, sold-uri</w:t>
      </w:r>
    </w:p>
    <w:p>
      <w:pPr>
        <w:pStyle w:val="ListParagraph"/>
        <w:numPr>
          <w:ilvl w:val="0"/>
          <w:numId w:val="3"/>
        </w:numPr>
        <w:spacing w:after="60" w:line="276"/>
      </w:pPr>
      <w:r>
        <w:rPr>
          <w:rFonts w:ascii="Arial" w:cs="Arial" w:eastAsia="Arial" w:hAnsi="Arial"/>
          <w:color w:val="333333"/>
          <w:sz w:val="21"/>
          <w:szCs w:val="21"/>
        </w:rPr>
        <w:t xml:space="preserve">Fiscal — dashboard taxe, generator D212, calendar obligații</w:t>
      </w:r>
    </w:p>
    <w:p>
      <w:pPr>
        <w:pStyle w:val="ListParagraph"/>
        <w:numPr>
          <w:ilvl w:val="0"/>
          <w:numId w:val="3"/>
        </w:numPr>
        <w:spacing w:after="60" w:line="276"/>
      </w:pPr>
      <w:r>
        <w:rPr>
          <w:rFonts w:ascii="Arial" w:cs="Arial" w:eastAsia="Arial" w:hAnsi="Arial"/>
          <w:color w:val="333333"/>
          <w:sz w:val="21"/>
          <w:szCs w:val="21"/>
        </w:rPr>
        <w:t xml:space="preserve">Rapoarte — RJIP, REF, Registru-Inventar, export</w:t>
      </w:r>
    </w:p>
    <w:p>
      <w:pPr>
        <w:pStyle w:val="ListParagraph"/>
        <w:numPr>
          <w:ilvl w:val="0"/>
          <w:numId w:val="3"/>
        </w:numPr>
        <w:spacing w:after="60" w:line="276"/>
      </w:pPr>
      <w:r>
        <w:rPr>
          <w:rFonts w:ascii="Arial" w:cs="Arial" w:eastAsia="Arial" w:hAnsi="Arial"/>
          <w:color w:val="333333"/>
          <w:sz w:val="21"/>
          <w:szCs w:val="21"/>
        </w:rPr>
        <w:t xml:space="preserve">Clienți &amp; Catalog — gestiune clienți/articole</w:t>
      </w:r>
    </w:p>
    <w:p>
      <w:pPr>
        <w:pStyle w:val="ListParagraph"/>
        <w:numPr>
          <w:ilvl w:val="0"/>
          <w:numId w:val="3"/>
        </w:numPr>
        <w:spacing w:after="60" w:line="276"/>
      </w:pPr>
      <w:r>
        <w:rPr>
          <w:rFonts w:ascii="Arial" w:cs="Arial" w:eastAsia="Arial" w:hAnsi="Arial"/>
          <w:color w:val="333333"/>
          <w:sz w:val="21"/>
          <w:szCs w:val="21"/>
        </w:rPr>
        <w:t xml:space="preserve">Setări — profil, abonament, conexiuni, notificări</w:t>
      </w:r>
    </w:p>
    <w:p>
      <w:pPr>
        <w:pStyle w:val="Heading2"/>
        <w:spacing w:before="300" w:after="150"/>
      </w:pPr>
      <w:r>
        <w:rPr>
          <w:rFonts w:ascii="Arial" w:cs="Arial" w:eastAsia="Arial" w:hAnsi="Arial"/>
          <w:b/>
          <w:bCs/>
          <w:color w:val="2C3E50"/>
          <w:sz w:val="26"/>
          <w:szCs w:val="26"/>
        </w:rPr>
        <w:t xml:space="preserve">6.3 Design system</w:t>
      </w:r>
    </w:p>
    <w:p>
      <w:pPr>
        <w:pStyle w:val="ListParagraph"/>
        <w:numPr>
          <w:ilvl w:val="0"/>
          <w:numId w:val="4"/>
        </w:numPr>
        <w:spacing w:after="60" w:line="276"/>
      </w:pPr>
      <w:r>
        <w:rPr>
          <w:rFonts w:ascii="Arial" w:cs="Arial" w:eastAsia="Arial" w:hAnsi="Arial"/>
          <w:color w:val="333333"/>
          <w:sz w:val="21"/>
          <w:szCs w:val="21"/>
        </w:rPr>
        <w:t xml:space="preserve">Culori: paleta primară albastru profesional (#1B4F72 → #2980B9), accent verde succes, roșu alertă, galben atenție</w:t>
      </w:r>
    </w:p>
    <w:p>
      <w:pPr>
        <w:pStyle w:val="ListParagraph"/>
        <w:numPr>
          <w:ilvl w:val="0"/>
          <w:numId w:val="4"/>
        </w:numPr>
        <w:spacing w:after="60" w:line="276"/>
      </w:pPr>
      <w:r>
        <w:rPr>
          <w:rFonts w:ascii="Arial" w:cs="Arial" w:eastAsia="Arial" w:hAnsi="Arial"/>
          <w:color w:val="333333"/>
          <w:sz w:val="21"/>
          <w:szCs w:val="21"/>
        </w:rPr>
        <w:t xml:space="preserve">Tipografie: Inter (sans-serif, optimizat web/mobil), dimensiuni: 14px body, 16px subheading, 20px heading</w:t>
      </w:r>
    </w:p>
    <w:p>
      <w:pPr>
        <w:pStyle w:val="ListParagraph"/>
        <w:numPr>
          <w:ilvl w:val="0"/>
          <w:numId w:val="4"/>
        </w:numPr>
        <w:spacing w:after="60" w:line="276"/>
      </w:pPr>
      <w:r>
        <w:rPr>
          <w:rFonts w:ascii="Arial" w:cs="Arial" w:eastAsia="Arial" w:hAnsi="Arial"/>
          <w:color w:val="333333"/>
          <w:sz w:val="21"/>
          <w:szCs w:val="21"/>
        </w:rPr>
        <w:t xml:space="preserve">Componente: shadcn/ui ca bază, customizat cu Tailwind pentru identitatea vizuală ContaPFA</w:t>
      </w:r>
    </w:p>
    <w:p>
      <w:pPr>
        <w:pStyle w:val="ListParagraph"/>
        <w:numPr>
          <w:ilvl w:val="0"/>
          <w:numId w:val="4"/>
        </w:numPr>
        <w:spacing w:after="60" w:line="276"/>
      </w:pPr>
      <w:r>
        <w:rPr>
          <w:rFonts w:ascii="Arial" w:cs="Arial" w:eastAsia="Arial" w:hAnsi="Arial"/>
          <w:color w:val="333333"/>
          <w:sz w:val="21"/>
          <w:szCs w:val="21"/>
        </w:rPr>
        <w:t xml:space="preserve">Iconografie: Lucide Icons (consistent cu shadcn)</w:t>
      </w:r>
    </w:p>
    <w:p>
      <w:pPr>
        <w:pStyle w:val="ListParagraph"/>
        <w:numPr>
          <w:ilvl w:val="0"/>
          <w:numId w:val="4"/>
        </w:numPr>
        <w:spacing w:after="60" w:line="276"/>
      </w:pPr>
      <w:r>
        <w:rPr>
          <w:rFonts w:ascii="Arial" w:cs="Arial" w:eastAsia="Arial" w:hAnsi="Arial"/>
          <w:color w:val="333333"/>
          <w:sz w:val="21"/>
          <w:szCs w:val="21"/>
        </w:rPr>
        <w:t xml:space="preserve">Animații: Framer Motion pentru tranziții subtile, feedback haptic pe mobil</w:t>
      </w:r>
    </w:p>
    <w:p>
      <w:r>
        <w:br w:type="page"/>
      </w:r>
    </w:p>
    <w:p>
      <w:pPr>
        <w:pStyle w:val="Heading1"/>
        <w:spacing w:before="400" w:after="200"/>
      </w:pPr>
      <w:r>
        <w:rPr>
          <w:rFonts w:ascii="Arial" w:cs="Arial" w:eastAsia="Arial" w:hAnsi="Arial"/>
          <w:b/>
          <w:bCs/>
          <w:color w:val="1B4F72"/>
          <w:sz w:val="32"/>
          <w:szCs w:val="32"/>
        </w:rPr>
        <w:t xml:space="preserve">7. Roadmap și Planificare</w:t>
      </w:r>
    </w:p>
    <w:p>
      <w:pPr>
        <w:pStyle w:val="Heading2"/>
        <w:spacing w:before="300" w:after="150"/>
      </w:pPr>
      <w:r>
        <w:rPr>
          <w:rFonts w:ascii="Arial" w:cs="Arial" w:eastAsia="Arial" w:hAnsi="Arial"/>
          <w:b/>
          <w:bCs/>
          <w:color w:val="2C3E50"/>
          <w:sz w:val="26"/>
          <w:szCs w:val="26"/>
        </w:rPr>
        <w:t xml:space="preserve">7.1 Fazele proiectului</w:t>
      </w:r>
    </w:p>
    <w:p>
      <w:pPr>
        <w:spacing w:before="200" w:after="100"/>
      </w:pPr>
      <w:r>
        <w:rPr>
          <w:rFonts w:ascii="Arial" w:cs="Arial" w:eastAsia="Arial" w:hAnsi="Arial"/>
          <w:b/>
          <w:bCs/>
          <w:color w:val="2980B9"/>
          <w:sz w:val="22"/>
          <w:szCs w:val="22"/>
        </w:rPr>
        <w:t xml:space="preserve">Faza 0 — Setup &amp; Prototipare (Săptămânile 1–4)</w:t>
      </w:r>
    </w:p>
    <w:p>
      <w:pPr>
        <w:pStyle w:val="ListParagraph"/>
        <w:numPr>
          <w:ilvl w:val="0"/>
          <w:numId w:val="5"/>
        </w:numPr>
        <w:spacing w:after="60" w:line="276"/>
      </w:pPr>
      <w:r>
        <w:rPr>
          <w:rFonts w:ascii="Arial" w:cs="Arial" w:eastAsia="Arial" w:hAnsi="Arial"/>
          <w:color w:val="333333"/>
          <w:sz w:val="21"/>
          <w:szCs w:val="21"/>
        </w:rPr>
        <w:t xml:space="preserve">Setup infrastructură: repo GitHub, CI/CD, Docker, MongoDB Atlas, environments (dev/staging/prod)</w:t>
      </w:r>
    </w:p>
    <w:p>
      <w:pPr>
        <w:pStyle w:val="ListParagraph"/>
        <w:numPr>
          <w:ilvl w:val="0"/>
          <w:numId w:val="5"/>
        </w:numPr>
        <w:spacing w:after="60" w:line="276"/>
      </w:pPr>
      <w:r>
        <w:rPr>
          <w:rFonts w:ascii="Arial" w:cs="Arial" w:eastAsia="Arial" w:hAnsi="Arial"/>
          <w:color w:val="333333"/>
          <w:sz w:val="21"/>
          <w:szCs w:val="21"/>
        </w:rPr>
        <w:t xml:space="preserve">Design system și component library în Storybook</w:t>
      </w:r>
    </w:p>
    <w:p>
      <w:pPr>
        <w:pStyle w:val="ListParagraph"/>
        <w:numPr>
          <w:ilvl w:val="0"/>
          <w:numId w:val="5"/>
        </w:numPr>
        <w:spacing w:after="60" w:line="276"/>
      </w:pPr>
      <w:r>
        <w:rPr>
          <w:rFonts w:ascii="Arial" w:cs="Arial" w:eastAsia="Arial" w:hAnsi="Arial"/>
          <w:color w:val="333333"/>
          <w:sz w:val="21"/>
          <w:szCs w:val="21"/>
        </w:rPr>
        <w:t xml:space="preserve">Prototip Figma clickable pentru testare utilizatori (10–15 PFA-uri)</w:t>
      </w:r>
    </w:p>
    <w:p>
      <w:pPr>
        <w:pStyle w:val="ListParagraph"/>
        <w:numPr>
          <w:ilvl w:val="0"/>
          <w:numId w:val="5"/>
        </w:numPr>
        <w:spacing w:after="60" w:line="276"/>
      </w:pPr>
      <w:r>
        <w:rPr>
          <w:rFonts w:ascii="Arial" w:cs="Arial" w:eastAsia="Arial" w:hAnsi="Arial"/>
          <w:color w:val="333333"/>
          <w:sz w:val="21"/>
          <w:szCs w:val="21"/>
        </w:rPr>
        <w:t xml:space="preserve">Integrare sandbox e-Factura ANAF</w:t>
      </w:r>
    </w:p>
    <w:p>
      <w:pPr>
        <w:spacing w:before="200" w:after="100"/>
      </w:pPr>
      <w:r>
        <w:rPr>
          <w:rFonts w:ascii="Arial" w:cs="Arial" w:eastAsia="Arial" w:hAnsi="Arial"/>
          <w:b/>
          <w:bCs/>
          <w:color w:val="2980B9"/>
          <w:sz w:val="22"/>
          <w:szCs w:val="22"/>
        </w:rPr>
        <w:t xml:space="preserve">Faza 1 — MVP (Săptămânile 5–16)</w:t>
      </w:r>
    </w:p>
    <w:p>
      <w:pPr>
        <w:pStyle w:val="ListParagraph"/>
        <w:numPr>
          <w:ilvl w:val="0"/>
          <w:numId w:val="5"/>
        </w:numPr>
        <w:spacing w:after="60" w:line="276"/>
      </w:pPr>
      <w:r>
        <w:rPr>
          <w:rFonts w:ascii="Arial" w:cs="Arial" w:eastAsia="Arial" w:hAnsi="Arial"/>
          <w:color w:val="333333"/>
          <w:sz w:val="21"/>
          <w:szCs w:val="21"/>
        </w:rPr>
        <w:t xml:space="preserve">Autentificare și onboarding wizard</w:t>
      </w:r>
    </w:p>
    <w:p>
      <w:pPr>
        <w:pStyle w:val="ListParagraph"/>
        <w:numPr>
          <w:ilvl w:val="0"/>
          <w:numId w:val="5"/>
        </w:numPr>
        <w:spacing w:after="60" w:line="276"/>
      </w:pPr>
      <w:r>
        <w:rPr>
          <w:rFonts w:ascii="Arial" w:cs="Arial" w:eastAsia="Arial" w:hAnsi="Arial"/>
          <w:color w:val="333333"/>
          <w:sz w:val="21"/>
          <w:szCs w:val="21"/>
        </w:rPr>
        <w:t xml:space="preserve">CRUD facturi + devize cu template-uri</w:t>
      </w:r>
    </w:p>
    <w:p>
      <w:pPr>
        <w:pStyle w:val="ListParagraph"/>
        <w:numPr>
          <w:ilvl w:val="0"/>
          <w:numId w:val="5"/>
        </w:numPr>
        <w:spacing w:after="60" w:line="276"/>
      </w:pPr>
      <w:r>
        <w:rPr>
          <w:rFonts w:ascii="Arial" w:cs="Arial" w:eastAsia="Arial" w:hAnsi="Arial"/>
          <w:color w:val="333333"/>
          <w:sz w:val="21"/>
          <w:szCs w:val="21"/>
        </w:rPr>
        <w:t xml:space="preserve">Integrare e-Factura ANAF (producție): upload, status, descărcare</w:t>
      </w:r>
    </w:p>
    <w:p>
      <w:pPr>
        <w:pStyle w:val="ListParagraph"/>
        <w:numPr>
          <w:ilvl w:val="0"/>
          <w:numId w:val="5"/>
        </w:numPr>
        <w:spacing w:after="60" w:line="276"/>
      </w:pPr>
      <w:r>
        <w:rPr>
          <w:rFonts w:ascii="Arial" w:cs="Arial" w:eastAsia="Arial" w:hAnsi="Arial"/>
          <w:color w:val="333333"/>
          <w:sz w:val="21"/>
          <w:szCs w:val="21"/>
        </w:rPr>
        <w:t xml:space="preserve">Calculator fiscal în timp real (CAS/CASS/impozit)</w:t>
      </w:r>
    </w:p>
    <w:p>
      <w:pPr>
        <w:pStyle w:val="ListParagraph"/>
        <w:numPr>
          <w:ilvl w:val="0"/>
          <w:numId w:val="5"/>
        </w:numPr>
        <w:spacing w:after="60" w:line="276"/>
      </w:pPr>
      <w:r>
        <w:rPr>
          <w:rFonts w:ascii="Arial" w:cs="Arial" w:eastAsia="Arial" w:hAnsi="Arial"/>
          <w:color w:val="333333"/>
          <w:sz w:val="21"/>
          <w:szCs w:val="21"/>
        </w:rPr>
        <w:t xml:space="preserve">Registre contabile automate (RJIP, REF)</w:t>
      </w:r>
    </w:p>
    <w:p>
      <w:pPr>
        <w:pStyle w:val="ListParagraph"/>
        <w:numPr>
          <w:ilvl w:val="0"/>
          <w:numId w:val="5"/>
        </w:numPr>
        <w:spacing w:after="60" w:line="276"/>
      </w:pPr>
      <w:r>
        <w:rPr>
          <w:rFonts w:ascii="Arial" w:cs="Arial" w:eastAsia="Arial" w:hAnsi="Arial"/>
          <w:color w:val="333333"/>
          <w:sz w:val="21"/>
          <w:szCs w:val="21"/>
        </w:rPr>
        <w:t xml:space="preserve">Dashboard financiar de bază</w:t>
      </w:r>
    </w:p>
    <w:p>
      <w:pPr>
        <w:pStyle w:val="ListParagraph"/>
        <w:numPr>
          <w:ilvl w:val="0"/>
          <w:numId w:val="5"/>
        </w:numPr>
        <w:spacing w:after="60" w:line="276"/>
      </w:pPr>
      <w:r>
        <w:rPr>
          <w:rFonts w:ascii="Arial" w:cs="Arial" w:eastAsia="Arial" w:hAnsi="Arial"/>
          <w:color w:val="333333"/>
          <w:sz w:val="21"/>
          <w:szCs w:val="21"/>
        </w:rPr>
        <w:t xml:space="preserve">PWA: instalare, offline cache, push notifications</w:t>
      </w:r>
    </w:p>
    <w:p>
      <w:pPr>
        <w:pStyle w:val="ListParagraph"/>
        <w:numPr>
          <w:ilvl w:val="0"/>
          <w:numId w:val="5"/>
        </w:numPr>
        <w:spacing w:after="60" w:line="276"/>
      </w:pPr>
      <w:r>
        <w:rPr>
          <w:rFonts w:ascii="Arial" w:cs="Arial" w:eastAsia="Arial" w:hAnsi="Arial"/>
          <w:color w:val="333333"/>
          <w:sz w:val="21"/>
          <w:szCs w:val="21"/>
        </w:rPr>
        <w:t xml:space="preserve">Landing page + blog SEO</w:t>
      </w:r>
    </w:p>
    <w:p>
      <w:pPr>
        <w:spacing w:before="200" w:after="100"/>
      </w:pPr>
      <w:r>
        <w:rPr>
          <w:rFonts w:ascii="Arial" w:cs="Arial" w:eastAsia="Arial" w:hAnsi="Arial"/>
          <w:b/>
          <w:bCs/>
          <w:color w:val="2980B9"/>
          <w:sz w:val="22"/>
          <w:szCs w:val="22"/>
        </w:rPr>
        <w:t xml:space="preserve">Faza 2 — Completare funcțională (Săptămânile 17–28)</w:t>
      </w:r>
    </w:p>
    <w:p>
      <w:pPr>
        <w:pStyle w:val="ListParagraph"/>
        <w:numPr>
          <w:ilvl w:val="0"/>
          <w:numId w:val="5"/>
        </w:numPr>
        <w:spacing w:after="60" w:line="276"/>
      </w:pPr>
      <w:r>
        <w:rPr>
          <w:rFonts w:ascii="Arial" w:cs="Arial" w:eastAsia="Arial" w:hAnsi="Arial"/>
          <w:color w:val="333333"/>
          <w:sz w:val="21"/>
          <w:szCs w:val="21"/>
        </w:rPr>
        <w:t xml:space="preserve">Sincronizare bancară Open Banking (Finqware)</w:t>
      </w:r>
    </w:p>
    <w:p>
      <w:pPr>
        <w:pStyle w:val="ListParagraph"/>
        <w:numPr>
          <w:ilvl w:val="0"/>
          <w:numId w:val="5"/>
        </w:numPr>
        <w:spacing w:after="60" w:line="276"/>
      </w:pPr>
      <w:r>
        <w:rPr>
          <w:rFonts w:ascii="Arial" w:cs="Arial" w:eastAsia="Arial" w:hAnsi="Arial"/>
          <w:color w:val="333333"/>
          <w:sz w:val="21"/>
          <w:szCs w:val="21"/>
        </w:rPr>
        <w:t xml:space="preserve">Reconciliere inteligentă facturi ↔ tranzacții</w:t>
      </w:r>
    </w:p>
    <w:p>
      <w:pPr>
        <w:pStyle w:val="ListParagraph"/>
        <w:numPr>
          <w:ilvl w:val="0"/>
          <w:numId w:val="5"/>
        </w:numPr>
        <w:spacing w:after="60" w:line="276"/>
      </w:pPr>
      <w:r>
        <w:rPr>
          <w:rFonts w:ascii="Arial" w:cs="Arial" w:eastAsia="Arial" w:hAnsi="Arial"/>
          <w:color w:val="333333"/>
          <w:sz w:val="21"/>
          <w:szCs w:val="21"/>
        </w:rPr>
        <w:t xml:space="preserve">Generator Declarație Unică (D212) cu export PDF/XML</w:t>
      </w:r>
    </w:p>
    <w:p>
      <w:pPr>
        <w:pStyle w:val="ListParagraph"/>
        <w:numPr>
          <w:ilvl w:val="0"/>
          <w:numId w:val="5"/>
        </w:numPr>
        <w:spacing w:after="60" w:line="276"/>
      </w:pPr>
      <w:r>
        <w:rPr>
          <w:rFonts w:ascii="Arial" w:cs="Arial" w:eastAsia="Arial" w:hAnsi="Arial"/>
          <w:color w:val="333333"/>
          <w:sz w:val="21"/>
          <w:szCs w:val="21"/>
        </w:rPr>
        <w:t xml:space="preserve">Scanare OCR bonuri cu categorizare automată</w:t>
      </w:r>
    </w:p>
    <w:p>
      <w:pPr>
        <w:pStyle w:val="ListParagraph"/>
        <w:numPr>
          <w:ilvl w:val="0"/>
          <w:numId w:val="5"/>
        </w:numPr>
        <w:spacing w:after="60" w:line="276"/>
      </w:pPr>
      <w:r>
        <w:rPr>
          <w:rFonts w:ascii="Arial" w:cs="Arial" w:eastAsia="Arial" w:hAnsi="Arial"/>
          <w:color w:val="333333"/>
          <w:sz w:val="21"/>
          <w:szCs w:val="21"/>
        </w:rPr>
        <w:t xml:space="preserve">Gestiune TVA completă (D300, jurnal cumpărări/vânzări)</w:t>
      </w:r>
    </w:p>
    <w:p>
      <w:pPr>
        <w:pStyle w:val="ListParagraph"/>
        <w:numPr>
          <w:ilvl w:val="0"/>
          <w:numId w:val="5"/>
        </w:numPr>
        <w:spacing w:after="60" w:line="276"/>
      </w:pPr>
      <w:r>
        <w:rPr>
          <w:rFonts w:ascii="Arial" w:cs="Arial" w:eastAsia="Arial" w:hAnsi="Arial"/>
          <w:color w:val="333333"/>
          <w:sz w:val="21"/>
          <w:szCs w:val="21"/>
        </w:rPr>
        <w:t xml:space="preserve">Relance automate (email/SMS)</w:t>
      </w:r>
    </w:p>
    <w:p>
      <w:pPr>
        <w:pStyle w:val="ListParagraph"/>
        <w:numPr>
          <w:ilvl w:val="0"/>
          <w:numId w:val="5"/>
        </w:numPr>
        <w:spacing w:after="60" w:line="276"/>
      </w:pPr>
      <w:r>
        <w:rPr>
          <w:rFonts w:ascii="Arial" w:cs="Arial" w:eastAsia="Arial" w:hAnsi="Arial"/>
          <w:color w:val="333333"/>
          <w:sz w:val="21"/>
          <w:szCs w:val="21"/>
        </w:rPr>
        <w:t xml:space="preserve">Linkuri de plată Stripe/Netopia</w:t>
      </w:r>
    </w:p>
    <w:p>
      <w:pPr>
        <w:spacing w:before="200" w:after="100"/>
      </w:pPr>
      <w:r>
        <w:rPr>
          <w:rFonts w:ascii="Arial" w:cs="Arial" w:eastAsia="Arial" w:hAnsi="Arial"/>
          <w:b/>
          <w:bCs/>
          <w:color w:val="2980B9"/>
          <w:sz w:val="22"/>
          <w:szCs w:val="22"/>
        </w:rPr>
        <w:t xml:space="preserve">Faza 3 — Scalare și extensie (Săptămânile 29–40)</w:t>
      </w:r>
    </w:p>
    <w:p>
      <w:pPr>
        <w:pStyle w:val="ListParagraph"/>
        <w:numPr>
          <w:ilvl w:val="0"/>
          <w:numId w:val="5"/>
        </w:numPr>
        <w:spacing w:after="60" w:line="276"/>
      </w:pPr>
      <w:r>
        <w:rPr>
          <w:rFonts w:ascii="Arial" w:cs="Arial" w:eastAsia="Arial" w:hAnsi="Arial"/>
          <w:color w:val="333333"/>
          <w:sz w:val="21"/>
          <w:szCs w:val="21"/>
        </w:rPr>
        <w:t xml:space="preserve">Suport SRL micro-întreprinderi (D100, D101)</w:t>
      </w:r>
    </w:p>
    <w:p>
      <w:pPr>
        <w:pStyle w:val="ListParagraph"/>
        <w:numPr>
          <w:ilvl w:val="0"/>
          <w:numId w:val="5"/>
        </w:numPr>
        <w:spacing w:after="60" w:line="276"/>
      </w:pPr>
      <w:r>
        <w:rPr>
          <w:rFonts w:ascii="Arial" w:cs="Arial" w:eastAsia="Arial" w:hAnsi="Arial"/>
          <w:color w:val="333333"/>
          <w:sz w:val="21"/>
          <w:szCs w:val="21"/>
        </w:rPr>
        <w:t xml:space="preserve">Rapoarte avansate și simulări What-if</w:t>
      </w:r>
    </w:p>
    <w:p>
      <w:pPr>
        <w:pStyle w:val="ListParagraph"/>
        <w:numPr>
          <w:ilvl w:val="0"/>
          <w:numId w:val="5"/>
        </w:numPr>
        <w:spacing w:after="60" w:line="276"/>
      </w:pPr>
      <w:r>
        <w:rPr>
          <w:rFonts w:ascii="Arial" w:cs="Arial" w:eastAsia="Arial" w:hAnsi="Arial"/>
          <w:color w:val="333333"/>
          <w:sz w:val="21"/>
          <w:szCs w:val="21"/>
        </w:rPr>
        <w:t xml:space="preserve">API publică v1 pentru integrări terțe</w:t>
      </w:r>
    </w:p>
    <w:p>
      <w:pPr>
        <w:pStyle w:val="ListParagraph"/>
        <w:numPr>
          <w:ilvl w:val="0"/>
          <w:numId w:val="5"/>
        </w:numPr>
        <w:spacing w:after="60" w:line="276"/>
      </w:pPr>
      <w:r>
        <w:rPr>
          <w:rFonts w:ascii="Arial" w:cs="Arial" w:eastAsia="Arial" w:hAnsi="Arial"/>
          <w:color w:val="333333"/>
          <w:sz w:val="21"/>
          <w:szCs w:val="21"/>
        </w:rPr>
        <w:t xml:space="preserve">Modul angajați (D112) pentru PFA/II cu salariați</w:t>
      </w:r>
    </w:p>
    <w:p>
      <w:pPr>
        <w:pStyle w:val="ListParagraph"/>
        <w:numPr>
          <w:ilvl w:val="0"/>
          <w:numId w:val="5"/>
        </w:numPr>
        <w:spacing w:after="60" w:line="276"/>
      </w:pPr>
      <w:r>
        <w:rPr>
          <w:rFonts w:ascii="Arial" w:cs="Arial" w:eastAsia="Arial" w:hAnsi="Arial"/>
          <w:color w:val="333333"/>
          <w:sz w:val="21"/>
          <w:szCs w:val="21"/>
        </w:rPr>
        <w:t xml:space="preserve">Program referal și parteneriate (contabili, banci, fintech-uri)</w:t>
      </w:r>
    </w:p>
    <w:p>
      <w:pPr>
        <w:pStyle w:val="ListParagraph"/>
        <w:numPr>
          <w:ilvl w:val="0"/>
          <w:numId w:val="5"/>
        </w:numPr>
        <w:spacing w:after="60" w:line="276"/>
      </w:pPr>
      <w:r>
        <w:rPr>
          <w:rFonts w:ascii="Arial" w:cs="Arial" w:eastAsia="Arial" w:hAnsi="Arial"/>
          <w:color w:val="333333"/>
          <w:sz w:val="21"/>
          <w:szCs w:val="21"/>
        </w:rPr>
        <w:t xml:space="preserve">Aplicație nativă iOS/Android (React Native sau Capacitor) dacă PWA insuficient</w:t>
      </w:r>
    </w:p>
    <w:p>
      <w:pPr>
        <w:pStyle w:val="Heading2"/>
        <w:spacing w:before="300" w:after="150"/>
      </w:pPr>
      <w:r>
        <w:rPr>
          <w:rFonts w:ascii="Arial" w:cs="Arial" w:eastAsia="Arial" w:hAnsi="Arial"/>
          <w:b/>
          <w:bCs/>
          <w:color w:val="2C3E50"/>
          <w:sz w:val="26"/>
          <w:szCs w:val="26"/>
        </w:rPr>
        <w:t xml:space="preserve">7.2 Echipa estimată pentru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Rol</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Seniority</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Nr. persoane</w:t>
            </w:r>
          </w:p>
        </w:tc>
        <w:tc>
          <w:tcPr>
            <w:tcW w:type="dxa" w:w="29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Durată</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Tech Lead / Full-stack</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Senior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w:t>
            </w:r>
          </w:p>
        </w:tc>
        <w:tc>
          <w:tcPr>
            <w:tcW w:type="dxa" w:w="29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Permanent</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Frontend Developer</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Mid-Senior</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1–2</w:t>
            </w:r>
          </w:p>
        </w:tc>
        <w:tc>
          <w:tcPr>
            <w:tcW w:type="dxa" w:w="29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Permanent</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Backend Developer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Mid-Senior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1–2</w:t>
            </w:r>
          </w:p>
        </w:tc>
        <w:tc>
          <w:tcPr>
            <w:tcW w:type="dxa" w:w="29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Permanent</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UX/UI Designer</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Mid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w:t>
            </w:r>
          </w:p>
        </w:tc>
        <w:tc>
          <w:tcPr>
            <w:tcW w:type="dxa" w:w="29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Faza 0–1, apoi part-time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DevOps / SRE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Mid-Senior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 (part-time)</w:t>
            </w:r>
          </w:p>
        </w:tc>
        <w:tc>
          <w:tcPr>
            <w:tcW w:type="dxa" w:w="29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Permanent</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QA Engineer</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Mid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w:t>
            </w:r>
          </w:p>
        </w:tc>
        <w:tc>
          <w:tcPr>
            <w:tcW w:type="dxa" w:w="29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Din Faza 1</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Product Manager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Senior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w:t>
            </w:r>
          </w:p>
        </w:tc>
        <w:tc>
          <w:tcPr>
            <w:tcW w:type="dxa" w:w="29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Permanent</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Expert fiscal / contabil</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Consultant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 (part-time)</w:t>
            </w:r>
          </w:p>
        </w:tc>
        <w:tc>
          <w:tcPr>
            <w:tcW w:type="dxa" w:w="29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Permanent</w:t>
            </w:r>
          </w:p>
        </w:tc>
      </w:tr>
    </w:tbl>
    <w:p>
      <w:r>
        <w:br w:type="page"/>
      </w:r>
    </w:p>
    <w:p>
      <w:pPr>
        <w:pStyle w:val="Heading1"/>
        <w:spacing w:before="400" w:after="200"/>
      </w:pPr>
      <w:r>
        <w:rPr>
          <w:rFonts w:ascii="Arial" w:cs="Arial" w:eastAsia="Arial" w:hAnsi="Arial"/>
          <w:b/>
          <w:bCs/>
          <w:color w:val="1B4F72"/>
          <w:sz w:val="32"/>
          <w:szCs w:val="32"/>
        </w:rPr>
        <w:t xml:space="preserve">8. Cadrul Legal și Conformitate</w:t>
      </w:r>
    </w:p>
    <w:p>
      <w:pPr>
        <w:pStyle w:val="Heading2"/>
        <w:spacing w:before="300" w:after="150"/>
      </w:pPr>
      <w:r>
        <w:rPr>
          <w:rFonts w:ascii="Arial" w:cs="Arial" w:eastAsia="Arial" w:hAnsi="Arial"/>
          <w:b/>
          <w:bCs/>
          <w:color w:val="2C3E50"/>
          <w:sz w:val="26"/>
          <w:szCs w:val="26"/>
        </w:rPr>
        <w:t xml:space="preserve">8.1 Baza legală pentru auto-contabilitatea PFA</w:t>
      </w:r>
    </w:p>
    <w:p>
      <w:pPr>
        <w:spacing w:after="120" w:line="276"/>
        <w:jc w:val="both"/>
      </w:pPr>
      <w:r>
        <w:rPr>
          <w:rFonts w:ascii="Arial" w:cs="Arial" w:eastAsia="Arial" w:hAnsi="Arial"/>
          <w:color w:val="333333"/>
          <w:sz w:val="21"/>
          <w:szCs w:val="21"/>
        </w:rPr>
        <w:t xml:space="preserve">Conform Art. 10 alin. (4¹) din Legea Contabilității nr. 82/1991, PFA-urile își pot gestiona singure contabilitatea — nu este necesar un contabil autorizat CECCAR. Aceeași regulă se aplică II-urilor și IF-urilor. Aceasta este premisa legală fundamentală a întregului produs.</w:t>
      </w:r>
    </w:p>
    <w:p>
      <w:pPr>
        <w:spacing w:after="120" w:line="276"/>
        <w:jc w:val="both"/>
      </w:pPr>
      <w:r>
        <w:rPr>
          <w:rFonts w:ascii="Arial" w:cs="Arial" w:eastAsia="Arial" w:hAnsi="Arial"/>
          <w:color w:val="333333"/>
          <w:sz w:val="21"/>
          <w:szCs w:val="21"/>
        </w:rPr>
        <w:t xml:space="preserve">SRL-urile, prin contrast, trebuie să utilizeze fie un angajat cu studii superioare economice, fie un contabil autorizat CECCAR — ANAF nu acceptă situații financiare semnate de persoane neautorizate.</w:t>
      </w:r>
    </w:p>
    <w:p>
      <w:pPr>
        <w:pStyle w:val="Heading2"/>
        <w:spacing w:before="300" w:after="150"/>
      </w:pPr>
      <w:r>
        <w:rPr>
          <w:rFonts w:ascii="Arial" w:cs="Arial" w:eastAsia="Arial" w:hAnsi="Arial"/>
          <w:b/>
          <w:bCs/>
          <w:color w:val="2C3E50"/>
          <w:sz w:val="26"/>
          <w:szCs w:val="26"/>
        </w:rPr>
        <w:t xml:space="preserve">8.2 Obligații e-Factura</w:t>
      </w:r>
    </w:p>
    <w:p>
      <w:pPr>
        <w:pStyle w:val="ListParagraph"/>
        <w:numPr>
          <w:ilvl w:val="0"/>
          <w:numId w:val="2"/>
        </w:numPr>
        <w:spacing w:after="60" w:line="276"/>
      </w:pPr>
      <w:r>
        <w:rPr>
          <w:rFonts w:ascii="Arial" w:cs="Arial" w:eastAsia="Arial" w:hAnsi="Arial"/>
          <w:color w:val="333333"/>
          <w:sz w:val="21"/>
          <w:szCs w:val="21"/>
        </w:rPr>
        <w:t xml:space="preserve">B2B: obligatoriu din ianuarie 2024, penalizări active din iulie 2024</w:t>
      </w:r>
    </w:p>
    <w:p>
      <w:pPr>
        <w:pStyle w:val="ListParagraph"/>
        <w:numPr>
          <w:ilvl w:val="0"/>
          <w:numId w:val="2"/>
        </w:numPr>
        <w:spacing w:after="60" w:line="276"/>
      </w:pPr>
      <w:r>
        <w:rPr>
          <w:rFonts w:ascii="Arial" w:cs="Arial" w:eastAsia="Arial" w:hAnsi="Arial"/>
          <w:color w:val="333333"/>
          <w:sz w:val="21"/>
          <w:szCs w:val="21"/>
        </w:rPr>
        <w:t xml:space="preserve">B2G: obligatoriu din iulie 2022</w:t>
      </w:r>
    </w:p>
    <w:p>
      <w:pPr>
        <w:pStyle w:val="ListParagraph"/>
        <w:numPr>
          <w:ilvl w:val="0"/>
          <w:numId w:val="2"/>
        </w:numPr>
        <w:spacing w:after="60" w:line="276"/>
      </w:pPr>
      <w:r>
        <w:rPr>
          <w:rFonts w:ascii="Arial" w:cs="Arial" w:eastAsia="Arial" w:hAnsi="Arial"/>
          <w:color w:val="333333"/>
          <w:sz w:val="21"/>
          <w:szCs w:val="21"/>
        </w:rPr>
        <w:t xml:space="preserve">B2C: obligatoriu din ianuarie 2025, penalizări active din iulie 2025</w:t>
      </w:r>
    </w:p>
    <w:p>
      <w:pPr>
        <w:pStyle w:val="ListParagraph"/>
        <w:numPr>
          <w:ilvl w:val="0"/>
          <w:numId w:val="2"/>
        </w:numPr>
        <w:spacing w:after="60" w:line="276"/>
      </w:pPr>
      <w:r>
        <w:rPr>
          <w:rFonts w:ascii="Arial" w:cs="Arial" w:eastAsia="Arial" w:hAnsi="Arial"/>
          <w:color w:val="333333"/>
          <w:sz w:val="21"/>
          <w:szCs w:val="21"/>
        </w:rPr>
        <w:t xml:space="preserve">Transmitere: 5 zile lucrătoare de la emiterea facturii (OUG 89/2025)</w:t>
      </w:r>
    </w:p>
    <w:p>
      <w:pPr>
        <w:pStyle w:val="ListParagraph"/>
        <w:numPr>
          <w:ilvl w:val="0"/>
          <w:numId w:val="2"/>
        </w:numPr>
        <w:spacing w:after="60" w:line="276"/>
      </w:pPr>
      <w:r>
        <w:rPr>
          <w:rFonts w:ascii="Arial" w:cs="Arial" w:eastAsia="Arial" w:hAnsi="Arial"/>
          <w:color w:val="333333"/>
          <w:sz w:val="21"/>
          <w:szCs w:val="21"/>
        </w:rPr>
        <w:t xml:space="preserve">Sancțiuni: 1.000–2.500 RON pentru întârziere; 15% din valoarea facturii pentru netransmitere</w:t>
      </w:r>
    </w:p>
    <w:p>
      <w:pPr>
        <w:pStyle w:val="ListParagraph"/>
        <w:numPr>
          <w:ilvl w:val="0"/>
          <w:numId w:val="2"/>
        </w:numPr>
        <w:spacing w:after="60" w:line="276"/>
      </w:pPr>
      <w:r>
        <w:rPr>
          <w:rFonts w:ascii="Arial" w:cs="Arial" w:eastAsia="Arial" w:hAnsi="Arial"/>
          <w:color w:val="333333"/>
          <w:sz w:val="21"/>
          <w:szCs w:val="21"/>
        </w:rPr>
        <w:t xml:space="preserve">Persoane fizice cu CNP: obligatoriu de la 1 iunie 2026 (Form 082 depus până la 26 mai 2026)</w:t>
      </w:r>
    </w:p>
    <w:p>
      <w:pPr>
        <w:pStyle w:val="Heading2"/>
        <w:spacing w:before="300" w:after="150"/>
      </w:pPr>
      <w:r>
        <w:rPr>
          <w:rFonts w:ascii="Arial" w:cs="Arial" w:eastAsia="Arial" w:hAnsi="Arial"/>
          <w:b/>
          <w:bCs/>
          <w:color w:val="2C3E50"/>
          <w:sz w:val="26"/>
          <w:szCs w:val="26"/>
        </w:rPr>
        <w:t xml:space="preserve">8.3 Conformitate GDPR</w:t>
      </w:r>
    </w:p>
    <w:p>
      <w:pPr>
        <w:pStyle w:val="ListParagraph"/>
        <w:numPr>
          <w:ilvl w:val="0"/>
          <w:numId w:val="2"/>
        </w:numPr>
        <w:spacing w:after="60" w:line="276"/>
      </w:pPr>
      <w:r>
        <w:rPr>
          <w:rFonts w:ascii="Arial" w:cs="Arial" w:eastAsia="Arial" w:hAnsi="Arial"/>
          <w:color w:val="333333"/>
          <w:sz w:val="21"/>
          <w:szCs w:val="21"/>
        </w:rPr>
        <w:t xml:space="preserve">Date personale: stocarea doar a datelor strict necesare (nume, CUI/CNP, adresă, email, IBAN)</w:t>
      </w:r>
    </w:p>
    <w:p>
      <w:pPr>
        <w:pStyle w:val="ListParagraph"/>
        <w:numPr>
          <w:ilvl w:val="0"/>
          <w:numId w:val="2"/>
        </w:numPr>
        <w:spacing w:after="60" w:line="276"/>
      </w:pPr>
      <w:r>
        <w:rPr>
          <w:rFonts w:ascii="Arial" w:cs="Arial" w:eastAsia="Arial" w:hAnsi="Arial"/>
          <w:color w:val="333333"/>
          <w:sz w:val="21"/>
          <w:szCs w:val="21"/>
        </w:rPr>
        <w:t xml:space="preserve">Hosting: exclusiv EU (GDPR compliant — GCP europe-west sau AWS eu-central)</w:t>
      </w:r>
    </w:p>
    <w:p>
      <w:pPr>
        <w:pStyle w:val="ListParagraph"/>
        <w:numPr>
          <w:ilvl w:val="0"/>
          <w:numId w:val="2"/>
        </w:numPr>
        <w:spacing w:after="60" w:line="276"/>
      </w:pPr>
      <w:r>
        <w:rPr>
          <w:rFonts w:ascii="Arial" w:cs="Arial" w:eastAsia="Arial" w:hAnsi="Arial"/>
          <w:color w:val="333333"/>
          <w:sz w:val="21"/>
          <w:szCs w:val="21"/>
        </w:rPr>
        <w:t xml:space="preserve">DPA (Data Processing Agreement): semnat cu toți sub-procesatorii (MongoDB Atlas, Finqware, Stripe, etc.)</w:t>
      </w:r>
    </w:p>
    <w:p>
      <w:pPr>
        <w:pStyle w:val="ListParagraph"/>
        <w:numPr>
          <w:ilvl w:val="0"/>
          <w:numId w:val="2"/>
        </w:numPr>
        <w:spacing w:after="60" w:line="276"/>
      </w:pPr>
      <w:r>
        <w:rPr>
          <w:rFonts w:ascii="Arial" w:cs="Arial" w:eastAsia="Arial" w:hAnsi="Arial"/>
          <w:color w:val="333333"/>
          <w:sz w:val="21"/>
          <w:szCs w:val="21"/>
        </w:rPr>
        <w:t xml:space="preserve">Drept la ștergere: mecanism automat de ștergere la cererea utilizatorului, cu excepția datelor cu reținere obligatorie</w:t>
      </w:r>
    </w:p>
    <w:p>
      <w:pPr>
        <w:pStyle w:val="ListParagraph"/>
        <w:numPr>
          <w:ilvl w:val="0"/>
          <w:numId w:val="2"/>
        </w:numPr>
        <w:spacing w:after="60" w:line="276"/>
      </w:pPr>
      <w:r>
        <w:rPr>
          <w:rFonts w:ascii="Arial" w:cs="Arial" w:eastAsia="Arial" w:hAnsi="Arial"/>
          <w:color w:val="333333"/>
          <w:sz w:val="21"/>
          <w:szCs w:val="21"/>
        </w:rPr>
        <w:t xml:space="preserve">Reținere documente: 5 ani registre contabile (Legea 36/2023), 50 ani situații financiare anuale</w:t>
      </w:r>
    </w:p>
    <w:p>
      <w:pPr>
        <w:pStyle w:val="ListParagraph"/>
        <w:numPr>
          <w:ilvl w:val="0"/>
          <w:numId w:val="2"/>
        </w:numPr>
        <w:spacing w:after="60" w:line="276"/>
      </w:pPr>
      <w:r>
        <w:rPr>
          <w:rFonts w:ascii="Arial" w:cs="Arial" w:eastAsia="Arial" w:hAnsi="Arial"/>
          <w:color w:val="333333"/>
          <w:sz w:val="21"/>
          <w:szCs w:val="21"/>
        </w:rPr>
        <w:t xml:space="preserve">Export date: funcționalitate de export complet JSON/CSV la cerere</w:t>
      </w:r>
    </w:p>
    <w:p>
      <w:pPr>
        <w:pStyle w:val="Heading2"/>
        <w:spacing w:before="300" w:after="150"/>
      </w:pPr>
      <w:r>
        <w:rPr>
          <w:rFonts w:ascii="Arial" w:cs="Arial" w:eastAsia="Arial" w:hAnsi="Arial"/>
          <w:b/>
          <w:bCs/>
          <w:color w:val="2C3E50"/>
          <w:sz w:val="26"/>
          <w:szCs w:val="26"/>
        </w:rPr>
        <w:t xml:space="preserve">8.4 Legalitate software contabil</w:t>
      </w:r>
    </w:p>
    <w:p>
      <w:pPr>
        <w:spacing w:after="120" w:line="276"/>
        <w:jc w:val="both"/>
      </w:pPr>
      <w:r>
        <w:rPr>
          <w:rFonts w:ascii="Arial" w:cs="Arial" w:eastAsia="Arial" w:hAnsi="Arial"/>
          <w:color w:val="333333"/>
          <w:sz w:val="21"/>
          <w:szCs w:val="21"/>
        </w:rPr>
        <w:t xml:space="preserve">România nu impune certificarea softului contabil. Nu există o listă de software aprobat de ANAF sau Ministerul Finanțelor. Cerințele sunt:</w:t>
      </w:r>
    </w:p>
    <w:p>
      <w:pPr>
        <w:pStyle w:val="ListParagraph"/>
        <w:numPr>
          <w:ilvl w:val="0"/>
          <w:numId w:val="2"/>
        </w:numPr>
        <w:spacing w:after="60" w:line="276"/>
      </w:pPr>
      <w:r>
        <w:rPr>
          <w:rFonts w:ascii="Arial" w:cs="Arial" w:eastAsia="Arial" w:hAnsi="Arial"/>
          <w:color w:val="333333"/>
          <w:sz w:val="21"/>
          <w:szCs w:val="21"/>
        </w:rPr>
        <w:t xml:space="preserve">Generare XML UBL 2.1 / CIUS-RO valid pentru e-Factura</w:t>
      </w:r>
    </w:p>
    <w:p>
      <w:pPr>
        <w:pStyle w:val="ListParagraph"/>
        <w:numPr>
          <w:ilvl w:val="0"/>
          <w:numId w:val="2"/>
        </w:numPr>
        <w:spacing w:after="60" w:line="276"/>
      </w:pPr>
      <w:r>
        <w:rPr>
          <w:rFonts w:ascii="Arial" w:cs="Arial" w:eastAsia="Arial" w:hAnsi="Arial"/>
          <w:color w:val="333333"/>
          <w:sz w:val="21"/>
          <w:szCs w:val="21"/>
        </w:rPr>
        <w:t xml:space="preserve">Documente conforme OMFP 2634/2015 (câmpuri obligatorii: dată, părți, sume, natura tranzacției)</w:t>
      </w:r>
    </w:p>
    <w:p>
      <w:pPr>
        <w:pStyle w:val="ListParagraph"/>
        <w:numPr>
          <w:ilvl w:val="0"/>
          <w:numId w:val="2"/>
        </w:numPr>
        <w:spacing w:after="60" w:line="276"/>
      </w:pPr>
      <w:r>
        <w:rPr>
          <w:rFonts w:ascii="Arial" w:cs="Arial" w:eastAsia="Arial" w:hAnsi="Arial"/>
          <w:color w:val="333333"/>
          <w:sz w:val="21"/>
          <w:szCs w:val="21"/>
        </w:rPr>
        <w:t xml:space="preserve">Conformitate GDPR pentru stocarea datelor</w:t>
      </w:r>
    </w:p>
    <w:p>
      <w:pPr>
        <w:pStyle w:val="ListParagraph"/>
        <w:numPr>
          <w:ilvl w:val="0"/>
          <w:numId w:val="2"/>
        </w:numPr>
        <w:spacing w:after="60" w:line="276"/>
      </w:pPr>
      <w:r>
        <w:rPr>
          <w:rFonts w:ascii="Arial" w:cs="Arial" w:eastAsia="Arial" w:hAnsi="Arial"/>
          <w:color w:val="333333"/>
          <w:sz w:val="21"/>
          <w:szCs w:val="21"/>
        </w:rPr>
        <w:t xml:space="preserve">Arhivare electronică pe durata de reținere legală</w:t>
      </w:r>
    </w:p>
    <w:p>
      <w:r>
        <w:br w:type="page"/>
      </w:r>
    </w:p>
    <w:p>
      <w:pPr>
        <w:pStyle w:val="Heading1"/>
        <w:spacing w:before="400" w:after="200"/>
      </w:pPr>
      <w:r>
        <w:rPr>
          <w:rFonts w:ascii="Arial" w:cs="Arial" w:eastAsia="Arial" w:hAnsi="Arial"/>
          <w:b/>
          <w:bCs/>
          <w:color w:val="1B4F72"/>
          <w:sz w:val="32"/>
          <w:szCs w:val="32"/>
        </w:rPr>
        <w:t xml:space="preserve">9. KPI-uri și Criterii de Succes</w:t>
      </w:r>
    </w:p>
    <w:p>
      <w:pPr>
        <w:pStyle w:val="Heading2"/>
        <w:spacing w:before="300" w:after="150"/>
      </w:pPr>
      <w:r>
        <w:rPr>
          <w:rFonts w:ascii="Arial" w:cs="Arial" w:eastAsia="Arial" w:hAnsi="Arial"/>
          <w:b/>
          <w:bCs/>
          <w:color w:val="2C3E50"/>
          <w:sz w:val="26"/>
          <w:szCs w:val="26"/>
        </w:rPr>
        <w:t xml:space="preserve">9.1 KPI-uri tehnice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Metrică</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Target</w:t>
            </w:r>
          </w:p>
        </w:tc>
        <w:tc>
          <w:tcPr>
            <w:tcW w:type="dxa" w:w="35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Instrument măsurare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Uptime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99,9%</w:t>
            </w:r>
          </w:p>
        </w:tc>
        <w:tc>
          <w:tcPr>
            <w:tcW w:type="dxa" w:w="3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UptimeRobot / Grafana</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TTFB pagini autentificate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&lt;200ms</w:t>
            </w:r>
          </w:p>
        </w:tc>
        <w:tc>
          <w:tcPr>
            <w:tcW w:type="dxa" w:w="3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Lighthouse CI</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API response p95</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&lt;300ms</w:t>
            </w:r>
          </w:p>
        </w:tc>
        <w:tc>
          <w:tcPr>
            <w:tcW w:type="dxa" w:w="3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Prometheus / Grafana</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Rata succes e-Factura</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&gt;99%</w:t>
            </w:r>
          </w:p>
        </w:tc>
        <w:tc>
          <w:tcPr>
            <w:tcW w:type="dxa" w:w="3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Monitorizare internă</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Build + deploy time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&lt;10 min</w:t>
            </w:r>
          </w:p>
        </w:tc>
        <w:tc>
          <w:tcPr>
            <w:tcW w:type="dxa" w:w="3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GitHub Actions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Test coverage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&gt;80%</w:t>
            </w:r>
          </w:p>
        </w:tc>
        <w:tc>
          <w:tcPr>
            <w:tcW w:type="dxa" w:w="3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Jest + Vitest</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Zero critical bugs în producție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&lt;1/lună</w:t>
            </w:r>
          </w:p>
        </w:tc>
        <w:tc>
          <w:tcPr>
            <w:tcW w:type="dxa" w:w="3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Sentry</w:t>
            </w:r>
          </w:p>
        </w:tc>
      </w:tr>
    </w:tbl>
    <w:p>
      <w:pPr>
        <w:pStyle w:val="Heading2"/>
        <w:spacing w:before="300" w:after="150"/>
      </w:pPr>
      <w:r>
        <w:rPr>
          <w:rFonts w:ascii="Arial" w:cs="Arial" w:eastAsia="Arial" w:hAnsi="Arial"/>
          <w:b/>
          <w:bCs/>
          <w:color w:val="2C3E50"/>
          <w:sz w:val="26"/>
          <w:szCs w:val="26"/>
        </w:rPr>
        <w:t xml:space="preserve">9.2 KPI-uri de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Metrică</w:t>
            </w:r>
          </w:p>
        </w:tc>
        <w:tc>
          <w:tcPr>
            <w:tcW w:type="dxa" w:w="27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Target An 1</w:t>
            </w:r>
          </w:p>
        </w:tc>
        <w:tc>
          <w:tcPr>
            <w:tcW w:type="dxa" w:w="27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Target An 2</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Utilizatori înregistrați</w:t>
            </w:r>
          </w:p>
        </w:tc>
        <w:tc>
          <w:tcPr>
            <w:tcW w:type="dxa" w:w="27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10.000</w:t>
            </w:r>
          </w:p>
        </w:tc>
        <w:tc>
          <w:tcPr>
            <w:tcW w:type="dxa" w:w="27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40.000</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Utilizatori plătitori</w:t>
            </w:r>
          </w:p>
        </w:tc>
        <w:tc>
          <w:tcPr>
            <w:tcW w:type="dxa" w:w="27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2.000</w:t>
            </w:r>
          </w:p>
        </w:tc>
        <w:tc>
          <w:tcPr>
            <w:tcW w:type="dxa" w:w="27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8.000</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Conversion rate trial→paid</w:t>
            </w:r>
          </w:p>
        </w:tc>
        <w:tc>
          <w:tcPr>
            <w:tcW w:type="dxa" w:w="27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&gt;15%</w:t>
            </w:r>
          </w:p>
        </w:tc>
        <w:tc>
          <w:tcPr>
            <w:tcW w:type="dxa" w:w="27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&gt;20%</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Monthly churn</w:t>
            </w:r>
          </w:p>
        </w:tc>
        <w:tc>
          <w:tcPr>
            <w:tcW w:type="dxa" w:w="27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&lt;5%</w:t>
            </w:r>
          </w:p>
        </w:tc>
        <w:tc>
          <w:tcPr>
            <w:tcW w:type="dxa" w:w="27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&lt;3%</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NPS (Net Promoter Score)</w:t>
            </w:r>
          </w:p>
        </w:tc>
        <w:tc>
          <w:tcPr>
            <w:tcW w:type="dxa" w:w="27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&gt;50</w:t>
            </w:r>
          </w:p>
        </w:tc>
        <w:tc>
          <w:tcPr>
            <w:tcW w:type="dxa" w:w="27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&gt;60</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CSAT (Customer Satisfaction)</w:t>
            </w:r>
          </w:p>
        </w:tc>
        <w:tc>
          <w:tcPr>
            <w:tcW w:type="dxa" w:w="27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&gt;4,5/5</w:t>
            </w:r>
          </w:p>
        </w:tc>
        <w:tc>
          <w:tcPr>
            <w:tcW w:type="dxa" w:w="27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&gt;4,7/5</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Timp mediu creare factură</w:t>
            </w:r>
          </w:p>
        </w:tc>
        <w:tc>
          <w:tcPr>
            <w:tcW w:type="dxa" w:w="27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&lt;60s</w:t>
            </w:r>
          </w:p>
        </w:tc>
        <w:tc>
          <w:tcPr>
            <w:tcW w:type="dxa" w:w="27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&lt;45s</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Timp mediu onboarding</w:t>
            </w:r>
          </w:p>
        </w:tc>
        <w:tc>
          <w:tcPr>
            <w:tcW w:type="dxa" w:w="27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&lt;5 min</w:t>
            </w:r>
          </w:p>
        </w:tc>
        <w:tc>
          <w:tcPr>
            <w:tcW w:type="dxa" w:w="27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&lt;3 min</w:t>
            </w:r>
          </w:p>
        </w:tc>
      </w:tr>
    </w:tbl>
    <w:p>
      <w:pPr>
        <w:pStyle w:val="Heading1"/>
        <w:spacing w:before="400" w:after="200"/>
      </w:pPr>
      <w:r>
        <w:rPr>
          <w:rFonts w:ascii="Arial" w:cs="Arial" w:eastAsia="Arial" w:hAnsi="Arial"/>
          <w:b/>
          <w:bCs/>
          <w:color w:val="1B4F72"/>
          <w:sz w:val="32"/>
          <w:szCs w:val="32"/>
        </w:rPr>
        <w:t xml:space="preserve">10. Riscuri și Strategii de Mitigare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26"/>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Risc</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Probabilitate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Impact</w:t>
            </w:r>
          </w:p>
        </w:tc>
        <w:tc>
          <w:tcPr>
            <w:tcW w:type="dxa" w:w="46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Mitigare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ANAF API instabil / downtime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Medie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Ridicat</w:t>
            </w:r>
          </w:p>
        </w:tc>
        <w:tc>
          <w:tcPr>
            <w:tcW w:type="dxa" w:w="4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Queue cu retry, cache offline, alertă utilizator, mod degradat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Schimbări legislative frecvente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Ridicată</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Mediu</w:t>
            </w:r>
          </w:p>
        </w:tc>
        <w:tc>
          <w:tcPr>
            <w:tcW w:type="dxa" w:w="46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Motor reguli fiscal parametrizat, update centralizat, consultant fiscal permanent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Adoptare lentă de către PFA-uri</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Medie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Ridicat</w:t>
            </w:r>
          </w:p>
        </w:tc>
        <w:tc>
          <w:tcPr>
            <w:tcW w:type="dxa" w:w="4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Trial gratuit 30 zile, content marketing SEO, parteneriate contabili</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Concurență SmartBill lansează modul fiscal PFA</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Medie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Mediu</w:t>
            </w:r>
          </w:p>
        </w:tc>
        <w:tc>
          <w:tcPr>
            <w:tcW w:type="dxa" w:w="46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Avantaj first-mover, focus UX, preț competitiv, community building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Breașă de securitate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Scăzută</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Foarte ridicat</w:t>
            </w:r>
          </w:p>
        </w:tc>
        <w:tc>
          <w:tcPr>
            <w:tcW w:type="dxa" w:w="4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Audit securitate extern, penetration testing, criptare end-to-end, asigurare cyber</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Dependență de Finqware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Scăzută</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Mediu</w:t>
            </w:r>
          </w:p>
        </w:tc>
        <w:tc>
          <w:tcPr>
            <w:tcW w:type="dxa" w:w="46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Salt Edge ca provider alternativ, import CSV manual ca fallback</w:t>
            </w:r>
          </w:p>
        </w:tc>
      </w:tr>
    </w:tbl>
    <w:p>
      <w:pPr>
        <w:spacing w:before="200" w:after="0"/>
      </w:pPr>
    </w:p>
    <w:p>
      <w:pPr>
        <w:pStyle w:val="Heading1"/>
        <w:spacing w:before="400" w:after="200"/>
      </w:pPr>
      <w:r>
        <w:rPr>
          <w:rFonts w:ascii="Arial" w:cs="Arial" w:eastAsia="Arial" w:hAnsi="Arial"/>
          <w:b/>
          <w:bCs/>
          <w:color w:val="1B4F72"/>
          <w:sz w:val="32"/>
          <w:szCs w:val="32"/>
        </w:rPr>
        <w:t xml:space="preserve">11. Livrabile Așteptate</w:t>
      </w:r>
    </w:p>
    <w:p>
      <w:pPr>
        <w:pStyle w:val="ListParagraph"/>
        <w:numPr>
          <w:ilvl w:val="0"/>
          <w:numId w:val="6"/>
        </w:numPr>
        <w:spacing w:after="60" w:line="276"/>
      </w:pPr>
      <w:r>
        <w:rPr>
          <w:rFonts w:ascii="Arial" w:cs="Arial" w:eastAsia="Arial" w:hAnsi="Arial"/>
          <w:color w:val="333333"/>
          <w:sz w:val="21"/>
          <w:szCs w:val="21"/>
        </w:rPr>
        <w:t xml:space="preserve">Cod sursă complet, versionat în GitHub, cu documentație inline</w:t>
      </w:r>
    </w:p>
    <w:p>
      <w:pPr>
        <w:pStyle w:val="ListParagraph"/>
        <w:numPr>
          <w:ilvl w:val="0"/>
          <w:numId w:val="6"/>
        </w:numPr>
        <w:spacing w:after="60" w:line="276"/>
      </w:pPr>
      <w:r>
        <w:rPr>
          <w:rFonts w:ascii="Arial" w:cs="Arial" w:eastAsia="Arial" w:hAnsi="Arial"/>
          <w:color w:val="333333"/>
          <w:sz w:val="21"/>
          <w:szCs w:val="21"/>
        </w:rPr>
        <w:t xml:space="preserve">Aplicație web PWA funcțională, deployată în producție</w:t>
      </w:r>
    </w:p>
    <w:p>
      <w:pPr>
        <w:pStyle w:val="ListParagraph"/>
        <w:numPr>
          <w:ilvl w:val="0"/>
          <w:numId w:val="6"/>
        </w:numPr>
        <w:spacing w:after="60" w:line="276"/>
      </w:pPr>
      <w:r>
        <w:rPr>
          <w:rFonts w:ascii="Arial" w:cs="Arial" w:eastAsia="Arial" w:hAnsi="Arial"/>
          <w:color w:val="333333"/>
          <w:sz w:val="21"/>
          <w:szCs w:val="21"/>
        </w:rPr>
        <w:t xml:space="preserve">Infrastructură Docker/Kubernetes cu CI/CD complet automatizat</w:t>
      </w:r>
    </w:p>
    <w:p>
      <w:pPr>
        <w:pStyle w:val="ListParagraph"/>
        <w:numPr>
          <w:ilvl w:val="0"/>
          <w:numId w:val="6"/>
        </w:numPr>
        <w:spacing w:after="60" w:line="276"/>
      </w:pPr>
      <w:r>
        <w:rPr>
          <w:rFonts w:ascii="Arial" w:cs="Arial" w:eastAsia="Arial" w:hAnsi="Arial"/>
          <w:color w:val="333333"/>
          <w:sz w:val="21"/>
          <w:szCs w:val="21"/>
        </w:rPr>
        <w:t xml:space="preserve">Documentație tehnică: API docs (OpenAPI 3.1), ghid deploy, runbook operațional</w:t>
      </w:r>
    </w:p>
    <w:p>
      <w:pPr>
        <w:pStyle w:val="ListParagraph"/>
        <w:numPr>
          <w:ilvl w:val="0"/>
          <w:numId w:val="6"/>
        </w:numPr>
        <w:spacing w:after="60" w:line="276"/>
      </w:pPr>
      <w:r>
        <w:rPr>
          <w:rFonts w:ascii="Arial" w:cs="Arial" w:eastAsia="Arial" w:hAnsi="Arial"/>
          <w:color w:val="333333"/>
          <w:sz w:val="21"/>
          <w:szCs w:val="21"/>
        </w:rPr>
        <w:t xml:space="preserve">Documentație utilizator: ghid onboarding, FAQ, tutoriale video</w:t>
      </w:r>
    </w:p>
    <w:p>
      <w:pPr>
        <w:pStyle w:val="ListParagraph"/>
        <w:numPr>
          <w:ilvl w:val="0"/>
          <w:numId w:val="6"/>
        </w:numPr>
        <w:spacing w:after="60" w:line="276"/>
      </w:pPr>
      <w:r>
        <w:rPr>
          <w:rFonts w:ascii="Arial" w:cs="Arial" w:eastAsia="Arial" w:hAnsi="Arial"/>
          <w:color w:val="333333"/>
          <w:sz w:val="21"/>
          <w:szCs w:val="21"/>
        </w:rPr>
        <w:t xml:space="preserve">Suite de teste: unit (&gt;80% coverage), integrare, E2E (Playwright)</w:t>
      </w:r>
    </w:p>
    <w:p>
      <w:pPr>
        <w:pStyle w:val="ListParagraph"/>
        <w:numPr>
          <w:ilvl w:val="0"/>
          <w:numId w:val="6"/>
        </w:numPr>
        <w:spacing w:after="60" w:line="276"/>
      </w:pPr>
      <w:r>
        <w:rPr>
          <w:rFonts w:ascii="Arial" w:cs="Arial" w:eastAsia="Arial" w:hAnsi="Arial"/>
          <w:color w:val="333333"/>
          <w:sz w:val="21"/>
          <w:szCs w:val="21"/>
        </w:rPr>
        <w:t xml:space="preserve">Landing page optimizată SEO cu blog integrat</w:t>
      </w:r>
    </w:p>
    <w:p>
      <w:pPr>
        <w:pStyle w:val="ListParagraph"/>
        <w:numPr>
          <w:ilvl w:val="0"/>
          <w:numId w:val="6"/>
        </w:numPr>
        <w:spacing w:after="60" w:line="276"/>
      </w:pPr>
      <w:r>
        <w:rPr>
          <w:rFonts w:ascii="Arial" w:cs="Arial" w:eastAsia="Arial" w:hAnsi="Arial"/>
          <w:color w:val="333333"/>
          <w:sz w:val="21"/>
          <w:szCs w:val="21"/>
        </w:rPr>
        <w:t xml:space="preserve">Plan de monitorizare și alertare operațională</w:t>
      </w:r>
    </w:p>
    <w:p>
      <w:pPr>
        <w:spacing w:before="200" w:after="0"/>
      </w:pPr>
    </w:p>
    <w:p>
      <w:pPr>
        <w:pStyle w:val="Heading1"/>
        <w:spacing w:before="400" w:after="200"/>
      </w:pPr>
      <w:r>
        <w:rPr>
          <w:rFonts w:ascii="Arial" w:cs="Arial" w:eastAsia="Arial" w:hAnsi="Arial"/>
          <w:b/>
          <w:bCs/>
          <w:color w:val="1B4F72"/>
          <w:sz w:val="32"/>
          <w:szCs w:val="32"/>
        </w:rPr>
        <w:t xml:space="preserve">12. Anexe</w:t>
      </w:r>
    </w:p>
    <w:p>
      <w:pPr>
        <w:pStyle w:val="Heading2"/>
        <w:spacing w:before="300" w:after="150"/>
      </w:pPr>
      <w:r>
        <w:rPr>
          <w:rFonts w:ascii="Arial" w:cs="Arial" w:eastAsia="Arial" w:hAnsi="Arial"/>
          <w:b/>
          <w:bCs/>
          <w:color w:val="2C3E50"/>
          <w:sz w:val="26"/>
          <w:szCs w:val="26"/>
        </w:rPr>
        <w:t xml:space="preserve">12.1 Referințe legislative</w:t>
      </w:r>
    </w:p>
    <w:p>
      <w:pPr>
        <w:pStyle w:val="ListParagraph"/>
        <w:numPr>
          <w:ilvl w:val="0"/>
          <w:numId w:val="2"/>
        </w:numPr>
        <w:spacing w:after="60" w:line="276"/>
      </w:pPr>
      <w:r>
        <w:rPr>
          <w:rFonts w:ascii="Arial" w:cs="Arial" w:eastAsia="Arial" w:hAnsi="Arial"/>
          <w:color w:val="333333"/>
          <w:sz w:val="21"/>
          <w:szCs w:val="21"/>
        </w:rPr>
        <w:t xml:space="preserve">Legea Contabilității nr. 82/1991 (Art. 10 alin. 4¹)</w:t>
      </w:r>
    </w:p>
    <w:p>
      <w:pPr>
        <w:pStyle w:val="ListParagraph"/>
        <w:numPr>
          <w:ilvl w:val="0"/>
          <w:numId w:val="2"/>
        </w:numPr>
        <w:spacing w:after="60" w:line="276"/>
      </w:pPr>
      <w:r>
        <w:rPr>
          <w:rFonts w:ascii="Arial" w:cs="Arial" w:eastAsia="Arial" w:hAnsi="Arial"/>
          <w:color w:val="333333"/>
          <w:sz w:val="21"/>
          <w:szCs w:val="21"/>
        </w:rPr>
        <w:t xml:space="preserve">OMFP 170/2015 — contabilitate în partidă simplă</w:t>
      </w:r>
    </w:p>
    <w:p>
      <w:pPr>
        <w:pStyle w:val="ListParagraph"/>
        <w:numPr>
          <w:ilvl w:val="0"/>
          <w:numId w:val="2"/>
        </w:numPr>
        <w:spacing w:after="60" w:line="276"/>
      </w:pPr>
      <w:r>
        <w:rPr>
          <w:rFonts w:ascii="Arial" w:cs="Arial" w:eastAsia="Arial" w:hAnsi="Arial"/>
          <w:color w:val="333333"/>
          <w:sz w:val="21"/>
          <w:szCs w:val="21"/>
        </w:rPr>
        <w:t xml:space="preserve">OMFP 2634/2015 — documente financiar-contabile</w:t>
      </w:r>
    </w:p>
    <w:p>
      <w:pPr>
        <w:pStyle w:val="ListParagraph"/>
        <w:numPr>
          <w:ilvl w:val="0"/>
          <w:numId w:val="2"/>
        </w:numPr>
        <w:spacing w:after="60" w:line="276"/>
      </w:pPr>
      <w:r>
        <w:rPr>
          <w:rFonts w:ascii="Arial" w:cs="Arial" w:eastAsia="Arial" w:hAnsi="Arial"/>
          <w:color w:val="333333"/>
          <w:sz w:val="21"/>
          <w:szCs w:val="21"/>
        </w:rPr>
        <w:t xml:space="preserve">Legea 227/2015 (Codul Fiscal) — titlul IV (impozit pe venit PFA)</w:t>
      </w:r>
    </w:p>
    <w:p>
      <w:pPr>
        <w:pStyle w:val="ListParagraph"/>
        <w:numPr>
          <w:ilvl w:val="0"/>
          <w:numId w:val="2"/>
        </w:numPr>
        <w:spacing w:after="60" w:line="276"/>
      </w:pPr>
      <w:r>
        <w:rPr>
          <w:rFonts w:ascii="Arial" w:cs="Arial" w:eastAsia="Arial" w:hAnsi="Arial"/>
          <w:color w:val="333333"/>
          <w:sz w:val="21"/>
          <w:szCs w:val="21"/>
        </w:rPr>
        <w:t xml:space="preserve">OUG 89/2025 — modificări e-Factura (5 zile lucrătoare, extensii B2C)</w:t>
      </w:r>
    </w:p>
    <w:p>
      <w:pPr>
        <w:pStyle w:val="ListParagraph"/>
        <w:numPr>
          <w:ilvl w:val="0"/>
          <w:numId w:val="2"/>
        </w:numPr>
        <w:spacing w:after="60" w:line="276"/>
      </w:pPr>
      <w:r>
        <w:rPr>
          <w:rFonts w:ascii="Arial" w:cs="Arial" w:eastAsia="Arial" w:hAnsi="Arial"/>
          <w:color w:val="333333"/>
          <w:sz w:val="21"/>
          <w:szCs w:val="21"/>
        </w:rPr>
        <w:t xml:space="preserve">OUG 8/2026 — bonificație 3% pentru depunere anticipată</w:t>
      </w:r>
    </w:p>
    <w:p>
      <w:pPr>
        <w:pStyle w:val="ListParagraph"/>
        <w:numPr>
          <w:ilvl w:val="0"/>
          <w:numId w:val="2"/>
        </w:numPr>
        <w:spacing w:after="60" w:line="276"/>
      </w:pPr>
      <w:r>
        <w:rPr>
          <w:rFonts w:ascii="Arial" w:cs="Arial" w:eastAsia="Arial" w:hAnsi="Arial"/>
          <w:color w:val="333333"/>
          <w:sz w:val="21"/>
          <w:szCs w:val="21"/>
        </w:rPr>
        <w:t xml:space="preserve">Legea 36/2023 — reducere termen reținere la 5 ani</w:t>
      </w:r>
    </w:p>
    <w:p>
      <w:pPr>
        <w:pStyle w:val="ListParagraph"/>
        <w:numPr>
          <w:ilvl w:val="0"/>
          <w:numId w:val="2"/>
        </w:numPr>
        <w:spacing w:after="60" w:line="276"/>
      </w:pPr>
      <w:r>
        <w:rPr>
          <w:rFonts w:ascii="Arial" w:cs="Arial" w:eastAsia="Arial" w:hAnsi="Arial"/>
          <w:color w:val="333333"/>
          <w:sz w:val="21"/>
          <w:szCs w:val="21"/>
        </w:rPr>
        <w:t xml:space="preserve">Legea 239/2025 — acceptare obligatorie plăți electronice</w:t>
      </w:r>
    </w:p>
    <w:p>
      <w:pPr>
        <w:pStyle w:val="ListParagraph"/>
        <w:numPr>
          <w:ilvl w:val="0"/>
          <w:numId w:val="2"/>
        </w:numPr>
        <w:spacing w:after="60" w:line="276"/>
      </w:pPr>
      <w:r>
        <w:rPr>
          <w:rFonts w:ascii="Arial" w:cs="Arial" w:eastAsia="Arial" w:hAnsi="Arial"/>
          <w:color w:val="333333"/>
          <w:sz w:val="21"/>
          <w:szCs w:val="21"/>
        </w:rPr>
        <w:t xml:space="preserve">Directiva PSD2 (UE) 2015/2366 — Open Banking</w:t>
      </w:r>
    </w:p>
    <w:p>
      <w:pPr>
        <w:pStyle w:val="ListParagraph"/>
        <w:numPr>
          <w:ilvl w:val="0"/>
          <w:numId w:val="2"/>
        </w:numPr>
        <w:spacing w:after="60" w:line="276"/>
      </w:pPr>
      <w:r>
        <w:rPr>
          <w:rFonts w:ascii="Arial" w:cs="Arial" w:eastAsia="Arial" w:hAnsi="Arial"/>
          <w:color w:val="333333"/>
          <w:sz w:val="21"/>
          <w:szCs w:val="21"/>
        </w:rPr>
        <w:t xml:space="preserve">GDPR (UE) 2016/679 — protecția datelor personale</w:t>
      </w:r>
    </w:p>
    <w:p>
      <w:pPr>
        <w:pStyle w:val="Heading2"/>
        <w:spacing w:before="300" w:after="150"/>
      </w:pPr>
      <w:r>
        <w:rPr>
          <w:rFonts w:ascii="Arial" w:cs="Arial" w:eastAsia="Arial" w:hAnsi="Arial"/>
          <w:b/>
          <w:bCs/>
          <w:color w:val="2C3E50"/>
          <w:sz w:val="26"/>
          <w:szCs w:val="26"/>
        </w:rPr>
        <w:t xml:space="preserve">12.2 Resurse tehnice ANAF</w:t>
      </w:r>
    </w:p>
    <w:p>
      <w:pPr>
        <w:pStyle w:val="ListParagraph"/>
        <w:numPr>
          <w:ilvl w:val="0"/>
          <w:numId w:val="2"/>
        </w:numPr>
        <w:spacing w:after="60" w:line="276"/>
      </w:pPr>
      <w:r>
        <w:rPr>
          <w:rFonts w:ascii="Arial" w:cs="Arial" w:eastAsia="Arial" w:hAnsi="Arial"/>
          <w:color w:val="333333"/>
          <w:sz w:val="21"/>
          <w:szCs w:val="21"/>
        </w:rPr>
        <w:t xml:space="preserve">Portal e-Factura: mfinante.gov.ro/web/efactura</w:t>
      </w:r>
    </w:p>
    <w:p>
      <w:pPr>
        <w:pStyle w:val="ListParagraph"/>
        <w:numPr>
          <w:ilvl w:val="0"/>
          <w:numId w:val="2"/>
        </w:numPr>
        <w:spacing w:after="60" w:line="276"/>
      </w:pPr>
      <w:r>
        <w:rPr>
          <w:rFonts w:ascii="Arial" w:cs="Arial" w:eastAsia="Arial" w:hAnsi="Arial"/>
          <w:color w:val="333333"/>
          <w:sz w:val="21"/>
          <w:szCs w:val="21"/>
        </w:rPr>
        <w:t xml:space="preserve">API documentation: api.anaf.ro/prod/FCTEL/rest/</w:t>
      </w:r>
    </w:p>
    <w:p>
      <w:pPr>
        <w:pStyle w:val="ListParagraph"/>
        <w:numPr>
          <w:ilvl w:val="0"/>
          <w:numId w:val="2"/>
        </w:numPr>
        <w:spacing w:after="60" w:line="276"/>
      </w:pPr>
      <w:r>
        <w:rPr>
          <w:rFonts w:ascii="Arial" w:cs="Arial" w:eastAsia="Arial" w:hAnsi="Arial"/>
          <w:color w:val="333333"/>
          <w:sz w:val="21"/>
          <w:szCs w:val="21"/>
        </w:rPr>
        <w:t xml:space="preserve">Sandbox: api.anaf.ro/test/FCTEL/rest/</w:t>
      </w:r>
    </w:p>
    <w:p>
      <w:pPr>
        <w:pStyle w:val="ListParagraph"/>
        <w:numPr>
          <w:ilvl w:val="0"/>
          <w:numId w:val="2"/>
        </w:numPr>
        <w:spacing w:after="60" w:line="276"/>
      </w:pPr>
      <w:r>
        <w:rPr>
          <w:rFonts w:ascii="Arial" w:cs="Arial" w:eastAsia="Arial" w:hAnsi="Arial"/>
          <w:color w:val="333333"/>
          <w:sz w:val="21"/>
          <w:szCs w:val="21"/>
        </w:rPr>
        <w:t xml:space="preserve">Artefacte validare CIUS-RO v1.0.8: mfinante.gov.ro/web/efactura/informatii-tehnice</w:t>
      </w:r>
    </w:p>
    <w:p>
      <w:pPr>
        <w:pStyle w:val="ListParagraph"/>
        <w:numPr>
          <w:ilvl w:val="0"/>
          <w:numId w:val="2"/>
        </w:numPr>
        <w:spacing w:after="60" w:line="276"/>
      </w:pPr>
      <w:r>
        <w:rPr>
          <w:rFonts w:ascii="Arial" w:cs="Arial" w:eastAsia="Arial" w:hAnsi="Arial"/>
          <w:color w:val="333333"/>
          <w:sz w:val="21"/>
          <w:szCs w:val="21"/>
        </w:rPr>
        <w:t xml:space="preserve">Validare online XML: anaf.ro/uploadxmi/</w:t>
      </w:r>
    </w:p>
    <w:p>
      <w:pPr>
        <w:pStyle w:val="ListParagraph"/>
        <w:numPr>
          <w:ilvl w:val="0"/>
          <w:numId w:val="2"/>
        </w:numPr>
        <w:spacing w:after="60" w:line="276"/>
      </w:pPr>
      <w:r>
        <w:rPr>
          <w:rFonts w:ascii="Arial" w:cs="Arial" w:eastAsia="Arial" w:hAnsi="Arial"/>
          <w:color w:val="333333"/>
          <w:sz w:val="21"/>
          <w:szCs w:val="21"/>
        </w:rPr>
        <w:t xml:space="preserve">Conversie XML → PDF: anaf.ro/uploadxml</w:t>
      </w:r>
    </w:p>
    <w:p>
      <w:pPr>
        <w:pStyle w:val="ListParagraph"/>
        <w:numPr>
          <w:ilvl w:val="0"/>
          <w:numId w:val="2"/>
        </w:numPr>
        <w:spacing w:after="60" w:line="276"/>
      </w:pPr>
      <w:r>
        <w:rPr>
          <w:rFonts w:ascii="Arial" w:cs="Arial" w:eastAsia="Arial" w:hAnsi="Arial"/>
          <w:color w:val="333333"/>
          <w:sz w:val="21"/>
          <w:szCs w:val="21"/>
        </w:rPr>
        <w:t xml:space="preserve">SPV (Spațiu Privat Virtual): pfxweb.anaf.ro</w:t>
      </w:r>
    </w:p>
    <w:p>
      <w:pPr>
        <w:pStyle w:val="ListParagraph"/>
        <w:numPr>
          <w:ilvl w:val="0"/>
          <w:numId w:val="2"/>
        </w:numPr>
        <w:spacing w:after="60" w:line="276"/>
      </w:pPr>
      <w:r>
        <w:rPr>
          <w:rFonts w:ascii="Arial" w:cs="Arial" w:eastAsia="Arial" w:hAnsi="Arial"/>
          <w:color w:val="333333"/>
          <w:sz w:val="21"/>
          <w:szCs w:val="21"/>
        </w:rPr>
        <w:t xml:space="preserve">Înregistrare OAuth: anaf.ro/InregOauth</w:t>
      </w:r>
    </w:p>
    <w:p>
      <w:pPr>
        <w:pStyle w:val="Heading2"/>
        <w:spacing w:before="300" w:after="150"/>
      </w:pPr>
      <w:r>
        <w:rPr>
          <w:rFonts w:ascii="Arial" w:cs="Arial" w:eastAsia="Arial" w:hAnsi="Arial"/>
          <w:b/>
          <w:bCs/>
          <w:color w:val="2C3E50"/>
          <w:sz w:val="26"/>
          <w:szCs w:val="26"/>
        </w:rPr>
        <w:t xml:space="preserve">12.3 SDK-uri open-source e-Factura</w:t>
      </w:r>
    </w:p>
    <w:p>
      <w:pPr>
        <w:pStyle w:val="ListParagraph"/>
        <w:numPr>
          <w:ilvl w:val="0"/>
          <w:numId w:val="2"/>
        </w:numPr>
        <w:spacing w:after="60" w:line="276"/>
      </w:pPr>
      <w:r>
        <w:rPr>
          <w:rFonts w:ascii="Arial" w:cs="Arial" w:eastAsia="Arial" w:hAnsi="Arial"/>
          <w:color w:val="333333"/>
          <w:sz w:val="21"/>
          <w:szCs w:val="21"/>
        </w:rPr>
        <w:t xml:space="preserve">TypeScript: efactura-anaf-ts-sdk</w:t>
      </w:r>
    </w:p>
    <w:p>
      <w:pPr>
        <w:pStyle w:val="ListParagraph"/>
        <w:numPr>
          <w:ilvl w:val="0"/>
          <w:numId w:val="2"/>
        </w:numPr>
        <w:spacing w:after="60" w:line="276"/>
      </w:pPr>
      <w:r>
        <w:rPr>
          <w:rFonts w:ascii="Arial" w:cs="Arial" w:eastAsia="Arial" w:hAnsi="Arial"/>
          <w:color w:val="333333"/>
          <w:sz w:val="21"/>
          <w:szCs w:val="21"/>
        </w:rPr>
        <w:t xml:space="preserve">Go: e-factura-go</w:t>
      </w:r>
    </w:p>
    <w:p>
      <w:pPr>
        <w:pStyle w:val="ListParagraph"/>
        <w:numPr>
          <w:ilvl w:val="0"/>
          <w:numId w:val="2"/>
        </w:numPr>
        <w:spacing w:after="60" w:line="276"/>
      </w:pPr>
      <w:r>
        <w:rPr>
          <w:rFonts w:ascii="Arial" w:cs="Arial" w:eastAsia="Arial" w:hAnsi="Arial"/>
          <w:color w:val="333333"/>
          <w:sz w:val="21"/>
          <w:szCs w:val="21"/>
        </w:rPr>
        <w:t xml:space="preserve">PHP: anaf-php, efactura_anaf</w:t>
      </w:r>
    </w:p>
    <w:p>
      <w:pPr>
        <w:pStyle w:val="ListParagraph"/>
        <w:numPr>
          <w:ilvl w:val="0"/>
          <w:numId w:val="2"/>
        </w:numPr>
        <w:spacing w:after="60" w:line="276"/>
      </w:pPr>
      <w:r>
        <w:rPr>
          <w:rFonts w:ascii="Arial" w:cs="Arial" w:eastAsia="Arial" w:hAnsi="Arial"/>
          <w:color w:val="333333"/>
          <w:sz w:val="21"/>
          <w:szCs w:val="21"/>
        </w:rPr>
        <w:t xml:space="preserve">Java: ANAF ClientSPV (oficial)</w:t>
      </w:r>
    </w:p>
    <w:p>
      <w:pPr>
        <w:spacing w:before="400" w:after="0"/>
      </w:pPr>
    </w:p>
    <w:p>
      <w:pPr>
        <w:pBdr>
          <w:top w:val="single" w:color="2980B9" w:sz="2" w:space="8"/>
        </w:pBdr>
        <w:spacing w:before="200" w:after="100"/>
        <w:jc w:val="center"/>
      </w:pPr>
      <w:r>
        <w:rPr>
          <w:rFonts w:ascii="Arial" w:cs="Arial" w:eastAsia="Arial" w:hAnsi="Arial"/>
          <w:i/>
          <w:iCs/>
          <w:color w:val="999999"/>
          <w:sz w:val="20"/>
          <w:szCs w:val="20"/>
        </w:rPr>
        <w:t xml:space="preserve">— Sfârșit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1" w:space="4"/>
      </w:pBdr>
      <w:jc w:val="right"/>
    </w:pPr>
    <w:r>
      <w:rPr>
        <w:rFonts w:ascii="Arial" w:cs="Arial" w:eastAsia="Arial" w:hAnsi="Arial"/>
        <w:i/>
        <w:iCs/>
        <w:color w:val="999999"/>
        <w:sz w:val="16"/>
        <w:szCs w:val="16"/>
      </w:rPr>
      <w:t xml:space="preserve">ContaPFA.ro — Cahier des Charges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8"/>
    <w:lvlOverride w:ilvl="0">
      <w:startOverride w:val="1"/>
    </w:lvlOverride>
  </w:num>
  <w:num w:numId="5">
    <w:abstractNumId w:val="9"/>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2026-03-26T12:08:59.079Z</dcterms:created>
  <dcterms:modified xsi:type="dcterms:W3CDTF">2026-03-26T12:08:59.080Z</dcterms:modified>
</cp:coreProperties>
</file>

<file path=docProps/custom.xml><?xml version="1.0" encoding="utf-8"?>
<Properties xmlns="http://schemas.openxmlformats.org/officeDocument/2006/custom-properties" xmlns:vt="http://schemas.openxmlformats.org/officeDocument/2006/docPropsVTypes"/>
</file>