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tect-root-global-admins-account"/>
      <w:r>
        <w:t xml:space="preserve">Protect Root / Global Admins Account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Protect root or master account used to establish the cloud service.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Implement multi-factor authentication (MFA) mechanism for root/master account.</w:t>
      </w:r>
    </w:p>
    <w:p>
      <w:pPr>
        <w:pStyle w:val="Compact"/>
        <w:numPr>
          <w:numId w:val="1001"/>
          <w:ilvl w:val="0"/>
        </w:numPr>
      </w:pPr>
      <w:r>
        <w:t xml:space="preserve">[ ] Document a break glass emergency account management procedure. Including names of users with root or master account access.</w:t>
      </w:r>
    </w:p>
    <w:p>
      <w:pPr>
        <w:pStyle w:val="Compact"/>
        <w:numPr>
          <w:numId w:val="1001"/>
          <w:ilvl w:val="0"/>
        </w:numPr>
      </w:pPr>
      <w:r>
        <w:t xml:space="preserve">[ ] Obtain signature from Departmental Chief Information Officer (CIO) and Chief Security Officer (CSO) to confirm acknowledgement and approval of the break glass emergency account management procedures.</w:t>
      </w:r>
    </w:p>
    <w:p>
      <w:pPr>
        <w:pStyle w:val="Compact"/>
        <w:numPr>
          <w:numId w:val="1001"/>
          <w:ilvl w:val="0"/>
        </w:numPr>
      </w:pPr>
      <w:r>
        <w:t xml:space="preserve">[ ] Implement a mechanism for enforcing access authorizations.</w:t>
      </w:r>
    </w:p>
    <w:p>
      <w:pPr>
        <w:pStyle w:val="Compact"/>
        <w:numPr>
          <w:numId w:val="1001"/>
          <w:ilvl w:val="0"/>
        </w:numPr>
      </w:pPr>
      <w:r>
        <w:t xml:space="preserve">[ ] Configure appropriate alerts on root/master accounts to detect a potential compromise, in accordance with the</w:t>
      </w:r>
      <w:r>
        <w:t xml:space="preserve"> </w:t>
      </w:r>
      <w:hyperlink r:id="rId23">
        <w:r>
          <w:rPr>
            <w:rStyle w:val="Hyperlink"/>
          </w:rPr>
          <w:t xml:space="preserve">GC Event Logging Guidance</w:t>
        </w:r>
      </w:hyperlink>
    </w:p>
    <w:p>
      <w:pPr>
        <w:pStyle w:val="Heading2"/>
      </w:pPr>
      <w:bookmarkStart w:id="24" w:name="validation"/>
      <w:r>
        <w:t xml:space="preserve">Validation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[ ] Confirm policy for MFA is enabled through screenshots and compliance reports.</w:t>
      </w:r>
    </w:p>
    <w:p>
      <w:pPr>
        <w:pStyle w:val="Compact"/>
        <w:numPr>
          <w:numId w:val="1002"/>
          <w:ilvl w:val="0"/>
        </w:numPr>
      </w:pPr>
      <w:r>
        <w:t xml:space="preserve">[ ] Confirm that an attestation letter of the emergency break glass procedure has been signed by the Departmental CIO and CSO.</w:t>
      </w:r>
    </w:p>
    <w:p>
      <w:pPr>
        <w:pStyle w:val="Heading2"/>
      </w:pPr>
      <w:bookmarkStart w:id="25" w:name="additional-considerations"/>
      <w:r>
        <w:t xml:space="preserve">Additional Considerations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[ ] Leverage enterprise services such as Administrative Access Control System (AACS) for Privileged Access Management (PAM), Attribute-based access control (ABAC).</w:t>
      </w:r>
    </w:p>
    <w:p>
      <w:pPr>
        <w:pStyle w:val="Heading2"/>
      </w:pPr>
      <w:bookmarkStart w:id="26" w:name="applicable-service-models"/>
      <w:r>
        <w:t xml:space="preserve">Applicable Service Models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IaaS, PaaS, SaaS</w:t>
      </w:r>
    </w:p>
    <w:p>
      <w:pPr>
        <w:pStyle w:val="Heading2"/>
      </w:pPr>
      <w:bookmarkStart w:id="27" w:name="references"/>
      <w:r>
        <w:t xml:space="preserve">References</w:t>
      </w:r>
      <w:bookmarkEnd w:id="27"/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SPIN 2017-01</w:t>
        </w:r>
      </w:hyperlink>
      <w:r>
        <w:t xml:space="preserve">, subsection 6.2.3</w:t>
      </w:r>
    </w:p>
    <w:p>
      <w:pPr>
        <w:pStyle w:val="Compact"/>
        <w:numPr>
          <w:numId w:val="1005"/>
          <w:ilvl w:val="0"/>
        </w:numPr>
      </w:pPr>
      <w:r>
        <w:t xml:space="preserve">CSE Top 10 #3</w:t>
      </w:r>
    </w:p>
    <w:p>
      <w:pPr>
        <w:pStyle w:val="Compact"/>
        <w:numPr>
          <w:numId w:val="1005"/>
          <w:ilvl w:val="0"/>
        </w:numPr>
      </w:pPr>
      <w:r>
        <w:t xml:space="preserve">Refer to the</w:t>
      </w:r>
      <w:r>
        <w:t xml:space="preserve"> </w:t>
      </w:r>
      <w:hyperlink r:id="rId29">
        <w:r>
          <w:rPr>
            <w:rStyle w:val="Hyperlink"/>
          </w:rPr>
          <w:t xml:space="preserve">Recommendations for Two-Factor User Authentication Within the Government of Canada Enterprise Domain</w:t>
        </w:r>
      </w:hyperlink>
    </w:p>
    <w:p>
      <w:pPr>
        <w:pStyle w:val="Compact"/>
        <w:numPr>
          <w:numId w:val="1005"/>
          <w:ilvl w:val="0"/>
        </w:numPr>
      </w:pPr>
      <w:r>
        <w:t xml:space="preserve">Refer to the following</w:t>
      </w:r>
      <w:r>
        <w:t xml:space="preserve"> </w:t>
      </w:r>
      <w:hyperlink r:id="rId30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for an example of a break glass emergency account management procedure.</w:t>
      </w:r>
    </w:p>
    <w:p>
      <w:pPr>
        <w:pStyle w:val="Compact"/>
        <w:numPr>
          <w:numId w:val="1005"/>
          <w:ilvl w:val="0"/>
        </w:numPr>
      </w:pPr>
      <w:r>
        <w:t xml:space="preserve">Refer to the</w:t>
      </w:r>
      <w:r>
        <w:t xml:space="preserve"> </w:t>
      </w:r>
      <w:hyperlink r:id="rId23">
        <w:r>
          <w:rPr>
            <w:rStyle w:val="Hyperlink"/>
          </w:rPr>
          <w:t xml:space="preserve">GC Event Logging Guidance</w:t>
        </w:r>
      </w:hyperlink>
    </w:p>
    <w:p>
      <w:pPr>
        <w:pStyle w:val="Compact"/>
        <w:numPr>
          <w:numId w:val="1005"/>
          <w:ilvl w:val="0"/>
        </w:numPr>
      </w:pPr>
      <w:r>
        <w:t xml:space="preserve">Related security controls: AC‑2, AC‑2(1), AC‑3, AC‑5, AC‑6, AC‑6(5), AC‑6(10), AC‑7, AC‑9, AC‑19, AC‑20(3), IA‑2, IA‑2(1), IA‑2(2), IA‑2(11), IA‑4, IA‑5, IA‑5(1), IA‑5(6), IA‑5(7), IA‑5(13), IA‑6, IA‑8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cconnex.gc.ca/file/view/55010566/break-glass-emergency-account-procedure-departments-can-use-to-develop-their-emergency-access-management-controls-for-cloud?language=en" TargetMode="External" /><Relationship Type="http://schemas.openxmlformats.org/officeDocument/2006/relationships/hyperlink" Id="rId29" Target="https://intranet.canada.ca/wg-tg/rtua-rafu-eng.asp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23" Target="https://www.gcpedia.gc.ca/gcwiki/images/e/e3/GC_Event_Logging_Strateg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cconnex.gc.ca/file/view/55010566/break-glass-emergency-account-procedure-departments-can-use-to-develop-their-emergency-access-management-controls-for-cloud?language=en" TargetMode="External" /><Relationship Type="http://schemas.openxmlformats.org/officeDocument/2006/relationships/hyperlink" Id="rId29" Target="https://intranet.canada.ca/wg-tg/rtua-rafu-eng.asp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23" Target="https://www.gcpedia.gc.ca/gcwiki/images/e/e3/GC_Event_Logging_Strateg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