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management-of-administrative-privileges"/>
      <w:r>
        <w:t xml:space="preserve">Management of Administrative Privileges</w:t>
      </w:r>
      <w:bookmarkEnd w:id="20"/>
    </w:p>
    <w:p>
      <w:pPr>
        <w:pStyle w:val="Heading2"/>
      </w:pPr>
      <w:bookmarkStart w:id="21" w:name="objective"/>
      <w:r>
        <w:t xml:space="preserve">Objective</w:t>
      </w:r>
      <w:bookmarkEnd w:id="21"/>
    </w:p>
    <w:p>
      <w:pPr>
        <w:pStyle w:val="FirstParagraph"/>
      </w:pPr>
      <w:r>
        <w:t xml:space="preserve">Establish access control policies and procedures for management of administrative privileges.</w:t>
      </w:r>
    </w:p>
    <w:p>
      <w:pPr>
        <w:pStyle w:val="Heading2"/>
      </w:pPr>
      <w:bookmarkStart w:id="22" w:name="key-considerations"/>
      <w:r>
        <w:t xml:space="preserve">Key Considerations</w:t>
      </w:r>
      <w:bookmarkEnd w:id="22"/>
    </w:p>
    <w:p>
      <w:pPr>
        <w:pStyle w:val="Compact"/>
        <w:numPr>
          <w:numId w:val="1001"/>
          <w:ilvl w:val="0"/>
        </w:numPr>
      </w:pPr>
      <w:r>
        <w:t xml:space="preserve">[ ] Document a process for managing accounts, access privileges, and access credentials for organizational users, non-organizational users (if required), and processes based on the principles of separation of duties and least privilege (for example, operational procedures and active directory).</w:t>
      </w:r>
    </w:p>
    <w:p>
      <w:pPr>
        <w:pStyle w:val="Compact"/>
        <w:numPr>
          <w:numId w:val="1001"/>
          <w:ilvl w:val="0"/>
        </w:numPr>
      </w:pPr>
      <w:r>
        <w:t xml:space="preserve">[ ] Implement a mechanism for enforcing access authorizations.</w:t>
      </w:r>
    </w:p>
    <w:p>
      <w:pPr>
        <w:pStyle w:val="Compact"/>
        <w:numPr>
          <w:numId w:val="1001"/>
          <w:ilvl w:val="0"/>
        </w:numPr>
      </w:pPr>
      <w:r>
        <w:t xml:space="preserve">[ ] Implement a mechanism for uniquely identifying and authenticating organizational users, non-organizational users (if applicable), and processes (for example, username and password).</w:t>
      </w:r>
    </w:p>
    <w:p>
      <w:pPr>
        <w:pStyle w:val="Compact"/>
        <w:numPr>
          <w:numId w:val="1001"/>
          <w:ilvl w:val="0"/>
        </w:numPr>
      </w:pPr>
      <w:r>
        <w:t xml:space="preserve">[ ] Implement a multi-factor authentication mechanism for privileged accounts (for example, username, password and one-time password) and for external facing interfaces.</w:t>
      </w:r>
    </w:p>
    <w:p>
      <w:pPr>
        <w:pStyle w:val="Compact"/>
        <w:numPr>
          <w:numId w:val="1001"/>
          <w:ilvl w:val="0"/>
        </w:numPr>
      </w:pPr>
      <w:r>
        <w:t xml:space="preserve">[ ] Change default passwords.</w:t>
      </w:r>
    </w:p>
    <w:p>
      <w:pPr>
        <w:pStyle w:val="Compact"/>
        <w:numPr>
          <w:numId w:val="1001"/>
          <w:ilvl w:val="0"/>
        </w:numPr>
      </w:pPr>
      <w:r>
        <w:t xml:space="preserve">[ ] Ensure that no custom subscription owner roles are created.</w:t>
      </w:r>
    </w:p>
    <w:p>
      <w:pPr>
        <w:pStyle w:val="Compact"/>
        <w:numPr>
          <w:numId w:val="1001"/>
          <w:ilvl w:val="0"/>
        </w:numPr>
      </w:pPr>
      <w:r>
        <w:t xml:space="preserve">[ ] Configure password policy in accordance with</w:t>
      </w:r>
      <w:r>
        <w:t xml:space="preserve"> </w:t>
      </w:r>
      <w:hyperlink r:id="rId23">
        <w:r>
          <w:rPr>
            <w:rStyle w:val="Hyperlink"/>
          </w:rPr>
          <w:t xml:space="preserve">GC Password Guidance</w:t>
        </w:r>
      </w:hyperlink>
      <w:r>
        <w:t xml:space="preserve">.</w:t>
      </w:r>
    </w:p>
    <w:p>
      <w:pPr>
        <w:pStyle w:val="Compact"/>
        <w:numPr>
          <w:numId w:val="1001"/>
          <w:ilvl w:val="0"/>
        </w:numPr>
      </w:pPr>
      <w:r>
        <w:t xml:space="preserve">[ ] Minimize number of guest users; add only if needed.</w:t>
      </w:r>
    </w:p>
    <w:p>
      <w:pPr>
        <w:pStyle w:val="Compact"/>
        <w:numPr>
          <w:numId w:val="1001"/>
          <w:ilvl w:val="0"/>
        </w:numPr>
      </w:pPr>
      <w:r>
        <w:t xml:space="preserve">[ ] Determine access restrictions and configuration requirements for GC-issued endpoint devices, including those of non-privileged and privileged users, and configure access restrictions for endpoint devices accordingly.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Some service providers may offer configuration options to restrict endpoint device access. Alternatively, organizational policy and procedural instruments can be implemented to restrict access.</w:t>
      </w:r>
    </w:p>
    <w:p>
      <w:pPr>
        <w:pStyle w:val="Heading2"/>
      </w:pPr>
      <w:bookmarkStart w:id="24" w:name="validation"/>
      <w:r>
        <w:t xml:space="preserve">Validation</w:t>
      </w:r>
      <w:bookmarkEnd w:id="24"/>
    </w:p>
    <w:p>
      <w:pPr>
        <w:pStyle w:val="Compact"/>
        <w:numPr>
          <w:numId w:val="1002"/>
          <w:ilvl w:val="0"/>
        </w:numPr>
      </w:pPr>
      <w:r>
        <w:t xml:space="preserve">[ ] Confirm policy for MFA is enabled through screenshots and compliance reports.</w:t>
      </w:r>
    </w:p>
    <w:p>
      <w:pPr>
        <w:pStyle w:val="Compact"/>
        <w:numPr>
          <w:numId w:val="1002"/>
          <w:ilvl w:val="0"/>
        </w:numPr>
      </w:pPr>
      <w:r>
        <w:t xml:space="preserve">[ ] Confirm that a privileged account management plan and process has been documented.</w:t>
      </w:r>
    </w:p>
    <w:p>
      <w:pPr>
        <w:pStyle w:val="Compact"/>
        <w:numPr>
          <w:numId w:val="1002"/>
          <w:ilvl w:val="0"/>
        </w:numPr>
      </w:pPr>
      <w:r>
        <w:t xml:space="preserve">[ ] Confirm password policy aligns with</w:t>
      </w:r>
      <w:r>
        <w:t xml:space="preserve"> </w:t>
      </w:r>
      <w:hyperlink r:id="rId23">
        <w:r>
          <w:rPr>
            <w:rStyle w:val="Hyperlink"/>
          </w:rPr>
          <w:t xml:space="preserve">GC Password Guidance</w:t>
        </w:r>
      </w:hyperlink>
      <w:r>
        <w:t xml:space="preserve"> </w:t>
      </w:r>
      <w:r>
        <w:t xml:space="preserve">as appropriate.</w:t>
      </w:r>
    </w:p>
    <w:p>
      <w:pPr>
        <w:pStyle w:val="Heading2"/>
      </w:pPr>
      <w:bookmarkStart w:id="25" w:name="additional-considerations"/>
      <w:r>
        <w:t xml:space="preserve">Additional Considerations</w:t>
      </w:r>
      <w:bookmarkEnd w:id="25"/>
    </w:p>
    <w:p>
      <w:pPr>
        <w:pStyle w:val="Compact"/>
        <w:numPr>
          <w:numId w:val="1003"/>
          <w:ilvl w:val="0"/>
        </w:numPr>
      </w:pPr>
      <w:r>
        <w:t xml:space="preserve">[ ] Leverage enterprise services such as Administrative Access Control System (AACS) for Privileged Access Management (PAM), Attribute-based access control (ABAC).</w:t>
      </w:r>
    </w:p>
    <w:p>
      <w:pPr>
        <w:pStyle w:val="Heading2"/>
      </w:pPr>
      <w:bookmarkStart w:id="26" w:name="applicable-service-models"/>
      <w:r>
        <w:t xml:space="preserve">Applicable Service Models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IaaS, PaaS, SaaS</w:t>
      </w:r>
    </w:p>
    <w:p>
      <w:pPr>
        <w:pStyle w:val="Heading2"/>
      </w:pPr>
      <w:bookmarkStart w:id="27" w:name="references"/>
      <w:r>
        <w:t xml:space="preserve">References</w:t>
      </w:r>
      <w:bookmarkEnd w:id="27"/>
    </w:p>
    <w:p>
      <w:pPr>
        <w:pStyle w:val="Compact"/>
        <w:numPr>
          <w:numId w:val="1005"/>
          <w:ilvl w:val="0"/>
        </w:numPr>
      </w:pPr>
      <w:hyperlink r:id="rId28">
        <w:r>
          <w:rPr>
            <w:rStyle w:val="Hyperlink"/>
          </w:rPr>
          <w:t xml:space="preserve">SPIN 2017-01</w:t>
        </w:r>
      </w:hyperlink>
      <w:r>
        <w:t xml:space="preserve">, subsection 6.2.3</w:t>
      </w:r>
    </w:p>
    <w:p>
      <w:pPr>
        <w:pStyle w:val="Compact"/>
        <w:numPr>
          <w:numId w:val="1005"/>
          <w:ilvl w:val="0"/>
        </w:numPr>
      </w:pPr>
      <w:r>
        <w:t xml:space="preserve">CSE Top 10 #3</w:t>
      </w:r>
    </w:p>
    <w:p>
      <w:pPr>
        <w:pStyle w:val="Compact"/>
        <w:numPr>
          <w:numId w:val="1005"/>
          <w:ilvl w:val="0"/>
        </w:numPr>
      </w:pPr>
      <w:r>
        <w:t xml:space="preserve">Refer to</w:t>
      </w:r>
      <w:r>
        <w:t xml:space="preserve"> </w:t>
      </w:r>
      <w:hyperlink r:id="rId29">
        <w:r>
          <w:rPr>
            <w:rStyle w:val="Hyperlink"/>
          </w:rPr>
          <w:t xml:space="preserve">CCCS ITSP.30.031 V2 User Authentication Guidance for Information Technology Systems</w:t>
        </w:r>
      </w:hyperlink>
    </w:p>
    <w:p>
      <w:pPr>
        <w:pStyle w:val="Compact"/>
        <w:numPr>
          <w:numId w:val="1005"/>
          <w:ilvl w:val="0"/>
        </w:numPr>
      </w:pPr>
      <w:r>
        <w:t xml:space="preserve">Refer to the</w:t>
      </w:r>
      <w:r>
        <w:t xml:space="preserve"> </w:t>
      </w:r>
      <w:hyperlink r:id="rId30">
        <w:r>
          <w:rPr>
            <w:rStyle w:val="Hyperlink"/>
          </w:rPr>
          <w:t xml:space="preserve">Guidance on Cloud Authentication for the Government of Canada</w:t>
        </w:r>
      </w:hyperlink>
    </w:p>
    <w:p>
      <w:pPr>
        <w:pStyle w:val="Compact"/>
        <w:numPr>
          <w:numId w:val="1005"/>
          <w:ilvl w:val="0"/>
        </w:numPr>
      </w:pPr>
      <w:r>
        <w:t xml:space="preserve">Refer to the</w:t>
      </w:r>
      <w:r>
        <w:t xml:space="preserve"> </w:t>
      </w:r>
      <w:hyperlink r:id="rId31">
        <w:r>
          <w:rPr>
            <w:rStyle w:val="Hyperlink"/>
          </w:rPr>
          <w:t xml:space="preserve">Recommendations for Two-Factor User Authentication Within the Government of Canada Enterprise Domain</w:t>
        </w:r>
      </w:hyperlink>
    </w:p>
    <w:p>
      <w:pPr>
        <w:pStyle w:val="Compact"/>
        <w:numPr>
          <w:numId w:val="1005"/>
          <w:ilvl w:val="0"/>
        </w:numPr>
      </w:pPr>
      <w:r>
        <w:t xml:space="preserve">Related security controls: AC‑2, AC‑2(1), AC‑3, AC‑5, AC‑6, AC‑6(5), AC‑6(10), AC‑7, AC‑9, AC‑19, AC‑20(3), IA‑2, IA‑2(1), IA‑2(2), IA‑2(11), IA‑4, IA‑5, IA‑5(1), IA‑5(6), IA‑5(7), IA‑5(13), IA‑6, IA‑8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s://cyber.gc.ca/en/guidance/user-authentication-guidance-information-technology-systems-itsp30031-v3" TargetMode="External" /><Relationship Type="http://schemas.openxmlformats.org/officeDocument/2006/relationships/hyperlink" Id="rId30" Target="https://intranet.canada.ca/wg-tg/cagc-angc-eng.asp" TargetMode="External" /><Relationship Type="http://schemas.openxmlformats.org/officeDocument/2006/relationships/hyperlink" Id="rId31" Target="https://intranet.canada.ca/wg-tg/rtua-rafu-eng.asp" TargetMode="External" /><Relationship Type="http://schemas.openxmlformats.org/officeDocument/2006/relationships/hyperlink" Id="rId23" Target="https://www.canada.ca/en/government/system/digital-government/password-guidance.html" TargetMode="External" /><Relationship Type="http://schemas.openxmlformats.org/officeDocument/2006/relationships/hyperlink" Id="rId28" Target="https://www.canada.ca/en/treasury-board-secretariat/services/access-information-privacy/security-identity-management/direction-secure-use-commercial-cloud-services-spin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s://cyber.gc.ca/en/guidance/user-authentication-guidance-information-technology-systems-itsp30031-v3" TargetMode="External" /><Relationship Type="http://schemas.openxmlformats.org/officeDocument/2006/relationships/hyperlink" Id="rId30" Target="https://intranet.canada.ca/wg-tg/cagc-angc-eng.asp" TargetMode="External" /><Relationship Type="http://schemas.openxmlformats.org/officeDocument/2006/relationships/hyperlink" Id="rId31" Target="https://intranet.canada.ca/wg-tg/rtua-rafu-eng.asp" TargetMode="External" /><Relationship Type="http://schemas.openxmlformats.org/officeDocument/2006/relationships/hyperlink" Id="rId23" Target="https://www.canada.ca/en/government/system/digital-government/password-guidance.html" TargetMode="External" /><Relationship Type="http://schemas.openxmlformats.org/officeDocument/2006/relationships/hyperlink" Id="rId28" Target="https://www.canada.ca/en/treasury-board-secretariat/services/access-information-privacy/security-identity-management/direction-secure-use-commercial-cloud-services-spi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2020-06-04T15:53:55Z</dcterms:created>
  <dcterms:modified xsi:type="dcterms:W3CDTF">2020-06-04T15:53:55Z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