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loud-console-access"/>
      <w:r>
        <w:t xml:space="preserve">Cloud Console Access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Limit access to GC managed devices and authorized users.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Implement multi-factor authentication mechanism for privileged accounts and remote network (cloud) access.</w:t>
      </w:r>
    </w:p>
    <w:p>
      <w:pPr>
        <w:pStyle w:val="Compact"/>
        <w:numPr>
          <w:numId w:val="1001"/>
          <w:ilvl w:val="0"/>
        </w:numPr>
      </w:pPr>
      <w:r>
        <w:t xml:space="preserve">[ ] Determine access restrictions and configuration requirements for GC managed devices, including those of non-privileged and privileged users, and configure access restrictions for endpoint devices accordingly.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service providers may offer configuration options to restrict endpoint device access. Alternatively, organizational policy and procedural instruments can be implemented to restrict access.</w:t>
      </w:r>
    </w:p>
    <w:p>
      <w:pPr>
        <w:pStyle w:val="Compact"/>
        <w:numPr>
          <w:numId w:val="1002"/>
          <w:ilvl w:val="0"/>
        </w:numPr>
      </w:pPr>
      <w:r>
        <w:t xml:space="preserve">[ ] Ensure that administrative actions are performed by authorized users using a trusted device that is connected to a trusted network (e.g. GC network).</w:t>
      </w:r>
    </w:p>
    <w:p>
      <w:pPr>
        <w:pStyle w:val="Compact"/>
        <w:numPr>
          <w:numId w:val="1002"/>
          <w:ilvl w:val="0"/>
        </w:numPr>
      </w:pPr>
      <w:r>
        <w:t xml:space="preserve">[ ] Implement a mechanism for enforcing access authorizations.</w:t>
      </w:r>
    </w:p>
    <w:p>
      <w:pPr>
        <w:pStyle w:val="Compact"/>
        <w:numPr>
          <w:numId w:val="1002"/>
          <w:ilvl w:val="0"/>
        </w:numPr>
      </w:pPr>
      <w:r>
        <w:t xml:space="preserve">[ ] Implement password protection mechanisms to protect against password brute force attacks.</w:t>
      </w:r>
    </w:p>
    <w:p>
      <w:pPr>
        <w:pStyle w:val="Heading2"/>
      </w:pPr>
      <w:bookmarkStart w:id="23" w:name="validation"/>
      <w:r>
        <w:t xml:space="preserve">Validation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[ ] Confirm policy for MFA is enabled through screenshots and compliance reports.</w:t>
      </w:r>
    </w:p>
    <w:p>
      <w:pPr>
        <w:pStyle w:val="Heading2"/>
      </w:pPr>
      <w:bookmarkStart w:id="24" w:name="additional-considerations"/>
      <w:r>
        <w:t xml:space="preserve">Additional Considerations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[ ] Leverage enterprise services such as Administrative Access Control System (AACS) for Privileged Access Management (PAM), Attributed-based access control (ABAC).</w:t>
      </w:r>
    </w:p>
    <w:p>
      <w:pPr>
        <w:pStyle w:val="Heading2"/>
      </w:pPr>
      <w:bookmarkStart w:id="25" w:name="applicable-service-models"/>
      <w:r>
        <w:t xml:space="preserve">Applicable Service Models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IaaS, PaaS, SaaS</w:t>
      </w:r>
    </w:p>
    <w:p>
      <w:pPr>
        <w:pStyle w:val="Heading2"/>
      </w:pPr>
      <w:bookmarkStart w:id="26" w:name="references"/>
      <w:r>
        <w:t xml:space="preserve">References</w:t>
      </w:r>
      <w:bookmarkEnd w:id="26"/>
    </w:p>
    <w:p>
      <w:pPr>
        <w:pStyle w:val="Compact"/>
        <w:numPr>
          <w:numId w:val="1006"/>
          <w:ilvl w:val="0"/>
        </w:numPr>
      </w:pPr>
      <w:hyperlink r:id="rId27">
        <w:r>
          <w:rPr>
            <w:rStyle w:val="Hyperlink"/>
          </w:rPr>
          <w:t xml:space="preserve">SPIN 2017-01</w:t>
        </w:r>
      </w:hyperlink>
      <w:r>
        <w:t xml:space="preserve">, subsection 6.2.3</w:t>
      </w:r>
    </w:p>
    <w:p>
      <w:pPr>
        <w:pStyle w:val="Compact"/>
        <w:numPr>
          <w:numId w:val="1006"/>
          <w:ilvl w:val="0"/>
        </w:numPr>
      </w:pPr>
      <w:r>
        <w:t xml:space="preserve">CSE Top 10 #2</w:t>
      </w:r>
    </w:p>
    <w:p>
      <w:pPr>
        <w:pStyle w:val="Compact"/>
        <w:numPr>
          <w:numId w:val="1006"/>
          <w:ilvl w:val="0"/>
        </w:numPr>
      </w:pPr>
      <w:r>
        <w:t xml:space="preserve">Refer to the</w:t>
      </w:r>
      <w:r>
        <w:t xml:space="preserve"> </w:t>
      </w:r>
      <w:hyperlink r:id="rId28">
        <w:r>
          <w:rPr>
            <w:rStyle w:val="Hyperlink"/>
          </w:rPr>
          <w:t xml:space="preserve">Recommendations for Two-Factor User Authentication Within the Government of Canada Enterprise Domain</w:t>
        </w:r>
      </w:hyperlink>
    </w:p>
    <w:p>
      <w:pPr>
        <w:pStyle w:val="Compact"/>
        <w:numPr>
          <w:numId w:val="1006"/>
          <w:ilvl w:val="0"/>
        </w:numPr>
      </w:pPr>
      <w:r>
        <w:t xml:space="preserve">Related security controls: AC‑2, AC‑2(1), AC‑3, AC‑5, AC‑6, AC‑6(5), AC‑6(10), AC‑7, AC‑9, AC‑19, AC‑20(3), IA‑2, IA‑2(1), IA‑2(2), IA‑2(11), IA‑4, IA‑5, IA‑5(1), IA‑5(6), IA‑5(7), IA‑5(13), IA‑6, IA‑8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intranet.canada.ca/wg-tg/rtua-rafu-eng.asp" TargetMode="External" /><Relationship Type="http://schemas.openxmlformats.org/officeDocument/2006/relationships/hyperlink" Id="rId27" Target="https://www.canada.ca/en/treasury-board-secretariat/services/access-information-privacy/security-identity-management/direction-secure-use-commercial-cloud-services-spi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intranet.canada.ca/wg-tg/rtua-rafu-eng.asp" TargetMode="External" /><Relationship Type="http://schemas.openxmlformats.org/officeDocument/2006/relationships/hyperlink" Id="rId27" Target="https://www.canada.ca/en/treasury-board-secretariat/services/access-information-privacy/security-identity-management/direction-secure-use-commercial-cloud-services-spi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