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nterprise-monitoring-accounts"/>
      <w:r>
        <w:t xml:space="preserve">Enterprise Monitoring Accounts</w:t>
      </w:r>
      <w:bookmarkEnd w:id="20"/>
    </w:p>
    <w:p>
      <w:pPr>
        <w:pStyle w:val="Heading2"/>
      </w:pPr>
      <w:bookmarkStart w:id="21" w:name="objective"/>
      <w:r>
        <w:t xml:space="preserve">Objective</w:t>
      </w:r>
      <w:bookmarkEnd w:id="21"/>
    </w:p>
    <w:p>
      <w:pPr>
        <w:pStyle w:val="FirstParagraph"/>
      </w:pPr>
      <w:r>
        <w:t xml:space="preserve">Create role-based account to enable enterprise monitoring and visibility.</w:t>
      </w:r>
    </w:p>
    <w:p>
      <w:pPr>
        <w:pStyle w:val="Heading2"/>
      </w:pPr>
      <w:bookmarkStart w:id="22" w:name="key-considerations"/>
      <w:r>
        <w:t xml:space="preserve">Key Considerations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[ ] Assign roles to approved GC stakeholders to enable enterprise visibility. Roles include billing reader, policy contributor/reader, security reader, and global reader.</w:t>
      </w:r>
    </w:p>
    <w:p>
      <w:pPr>
        <w:pStyle w:val="Compact"/>
        <w:numPr>
          <w:numId w:val="1001"/>
          <w:ilvl w:val="0"/>
        </w:numPr>
      </w:pPr>
      <w:r>
        <w:t xml:space="preserve">[ ] Ensure that multi-factor authentication mechanism for enterprise monitoring accounts is enabled.</w:t>
      </w:r>
    </w:p>
    <w:p>
      <w:pPr>
        <w:pStyle w:val="Heading2"/>
      </w:pPr>
      <w:bookmarkStart w:id="23" w:name="validation"/>
      <w:r>
        <w:t xml:space="preserve">Validation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[ ] Confirm presence of GC enterprise role-based accounts created by Department for GC approved stakeholders.</w:t>
      </w:r>
    </w:p>
    <w:p>
      <w:pPr>
        <w:pStyle w:val="Compact"/>
        <w:numPr>
          <w:numId w:val="1002"/>
          <w:ilvl w:val="0"/>
        </w:numPr>
      </w:pPr>
      <w:r>
        <w:t xml:space="preserve">[ ] Confirm that accounts have appropriate read access to Departmental tenant environment.</w:t>
      </w:r>
    </w:p>
    <w:p>
      <w:pPr>
        <w:pStyle w:val="Heading2"/>
      </w:pPr>
      <w:bookmarkStart w:id="24" w:name="applicable-service-models"/>
      <w:r>
        <w:t xml:space="preserve">Applicable Service Models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IaaS, PaaS, SaaS</w:t>
      </w:r>
    </w:p>
    <w:p>
      <w:pPr>
        <w:pStyle w:val="Heading2"/>
      </w:pPr>
      <w:bookmarkStart w:id="25" w:name="references"/>
      <w:r>
        <w:t xml:space="preserve">References</w:t>
      </w:r>
      <w:bookmarkEnd w:id="25"/>
    </w:p>
    <w:p>
      <w:pPr>
        <w:pStyle w:val="Compact"/>
        <w:numPr>
          <w:numId w:val="1004"/>
          <w:ilvl w:val="0"/>
        </w:numPr>
      </w:pPr>
      <w:hyperlink r:id="rId26">
        <w:r>
          <w:rPr>
            <w:rStyle w:val="Hyperlink"/>
          </w:rPr>
          <w:t xml:space="preserve">SPIN 2017-01</w:t>
        </w:r>
      </w:hyperlink>
      <w:r>
        <w:t xml:space="preserve">, subsection 6.2.3</w:t>
      </w:r>
    </w:p>
    <w:p>
      <w:pPr>
        <w:pStyle w:val="Compact"/>
        <w:numPr>
          <w:numId w:val="1004"/>
          <w:ilvl w:val="0"/>
        </w:numPr>
      </w:pPr>
      <w:r>
        <w:t xml:space="preserve">CSE Top 10 #2</w:t>
      </w:r>
    </w:p>
    <w:p>
      <w:pPr>
        <w:pStyle w:val="Compact"/>
        <w:numPr>
          <w:numId w:val="1004"/>
          <w:ilvl w:val="0"/>
        </w:numPr>
      </w:pPr>
      <w:r>
        <w:t xml:space="preserve">Related security controls: AC‑2, AC‑2(1), AC‑3, AC‑5, AC‑6, AC‑6(5), AC‑6(10), AC‑7, AC‑9, AC‑19, AC‑20(3), IA‑2, IA‑2(1), IA‑2(2), IA‑2(11), IA‑4, IA‑5, IA‑5(1), IA‑5(6), IA‑5(7), IA‑5(13), IA‑6, IA‑8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www.canada.ca/en/treasury-board-secretariat/services/access-information-privacy/security-identity-management/direction-secure-use-commercial-cloud-services-spi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.canada.ca/en/treasury-board-secretariat/services/access-information-privacy/security-identity-management/direction-secure-use-commercial-cloud-services-spi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2020-06-04T15:53:55Z</dcterms:created>
  <dcterms:modified xsi:type="dcterms:W3CDTF">2020-06-04T15:53:55Z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