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tection-of-data-at-rest"/>
      <w:r>
        <w:t xml:space="preserve">Protection of Data-at-Rest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Protect data at rest by default (e.g. storage) for cloud-based workloads.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Seek guidance from privacy and access to information officials within institutions before storing personal information in cloud-based environments.</w:t>
      </w:r>
    </w:p>
    <w:p>
      <w:pPr>
        <w:pStyle w:val="Compact"/>
        <w:numPr>
          <w:numId w:val="1001"/>
          <w:ilvl w:val="0"/>
        </w:numPr>
      </w:pPr>
      <w:r>
        <w:t xml:space="preserve">[ ] Implement an encryption mechanism to protect the confidentiality and integrity of data when data are at rest in your solution's storage.</w:t>
      </w:r>
    </w:p>
    <w:p>
      <w:pPr>
        <w:pStyle w:val="Compact"/>
        <w:numPr>
          <w:numId w:val="1001"/>
          <w:ilvl w:val="0"/>
        </w:numPr>
      </w:pPr>
      <w:r>
        <w:t xml:space="preserve">[ ] Use CSE-approved cryptographic algorithms and protocols, in accordance with</w:t>
      </w:r>
      <w:r>
        <w:t xml:space="preserve"> </w:t>
      </w:r>
      <w:hyperlink r:id="rId23">
        <w:r>
          <w:rPr>
            <w:rStyle w:val="Hyperlink"/>
          </w:rPr>
          <w:t xml:space="preserve">40.111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40.062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[ ] Implement key management procedures.</w:t>
      </w:r>
    </w:p>
    <w:p>
      <w:pPr>
        <w:pStyle w:val="Heading2"/>
      </w:pPr>
      <w:bookmarkStart w:id="25" w:name="validation"/>
      <w:r>
        <w:t xml:space="preserve">Validation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[ ] Confirm policy for encryption (e.g. storage and/or VM based on risk-based assessment).</w:t>
      </w:r>
    </w:p>
    <w:p>
      <w:pPr>
        <w:pStyle w:val="Heading2"/>
      </w:pPr>
      <w:bookmarkStart w:id="26" w:name="applicable-service-models"/>
      <w:r>
        <w:t xml:space="preserve">Applicable Service Models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IaaS, PaaS, SaaS</w:t>
      </w:r>
    </w:p>
    <w:p>
      <w:pPr>
        <w:pStyle w:val="Heading2"/>
      </w:pPr>
      <w:bookmarkStart w:id="27" w:name="references"/>
      <w:r>
        <w:t xml:space="preserve">References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SPIN 2017-01</w:t>
        </w:r>
      </w:hyperlink>
      <w:r>
        <w:t xml:space="preserve">, subsection 6.2.4</w:t>
      </w:r>
    </w:p>
    <w:p>
      <w:pPr>
        <w:pStyle w:val="Compact"/>
        <w:numPr>
          <w:numId w:val="1004"/>
          <w:ilvl w:val="0"/>
        </w:numPr>
      </w:pPr>
      <w:r>
        <w:t xml:space="preserve">Refer to the cryptography guidance in</w:t>
      </w:r>
      <w:r>
        <w:t xml:space="preserve"> </w:t>
      </w:r>
      <w:hyperlink r:id="rId23">
        <w:r>
          <w:rPr>
            <w:rStyle w:val="Hyperlink"/>
          </w:rPr>
          <w:t xml:space="preserve">40.111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40.062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Refer to the guidance in</w:t>
      </w:r>
      <w:r>
        <w:t xml:space="preserve"> </w:t>
      </w:r>
      <w:hyperlink r:id="rId29">
        <w:r>
          <w:rPr>
            <w:rStyle w:val="Hyperlink"/>
          </w:rPr>
          <w:t xml:space="preserve">Considerations for Cryptography in Commercial Cloud Services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Related security controls: SC‑12, SC‑13, SC‑17, SC‑28, SC‑28(1)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yber.gc.ca/en/guidance/cryptographic-algorithms-unclassified-protected-and-protected-b-information-itsp40111" TargetMode="External" /><Relationship Type="http://schemas.openxmlformats.org/officeDocument/2006/relationships/hyperlink" Id="rId29" Target="https://www.canada.ca/en/government/system/digital-government/modern-emerging-technologies/cloud-services/government-canada-consideration-use-cryptography-in-cloud.html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24" Target="https://www.cse-cst.gc.ca/en/system/files/pdf_documents/itsp.40.062-eng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yber.gc.ca/en/guidance/cryptographic-algorithms-unclassified-protected-and-protected-b-information-itsp40111" TargetMode="External" /><Relationship Type="http://schemas.openxmlformats.org/officeDocument/2006/relationships/hyperlink" Id="rId29" Target="https://www.canada.ca/en/government/system/digital-government/modern-emerging-technologies/cloud-services/government-canada-consideration-use-cryptography-in-cloud.html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24" Target="https://www.cse-cst.gc.ca/en/system/files/pdf_documents/itsp.40.062-e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