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gment-and-separate"/>
      <w:r>
        <w:t xml:space="preserve">Segment and Separate</w:t>
      </w:r>
      <w:bookmarkEnd w:id="20"/>
    </w:p>
    <w:p>
      <w:pPr>
        <w:pStyle w:val="Heading2"/>
      </w:pPr>
      <w:bookmarkStart w:id="21" w:name="objective"/>
      <w:r>
        <w:t xml:space="preserve">Objective</w:t>
      </w:r>
      <w:bookmarkEnd w:id="21"/>
    </w:p>
    <w:p>
      <w:pPr>
        <w:pStyle w:val="FirstParagraph"/>
      </w:pPr>
      <w:r>
        <w:t xml:space="preserve">Segment and separate information based on sensitivity of information.</w:t>
      </w:r>
    </w:p>
    <w:p>
      <w:pPr>
        <w:pStyle w:val="Heading2"/>
      </w:pPr>
      <w:bookmarkStart w:id="22" w:name="key-considerations"/>
      <w:r>
        <w:t xml:space="preserve">Key Considerations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[ ] Develop a target network security design that considers segmentation via network security zones, in alignment with</w:t>
      </w:r>
      <w:r>
        <w:t xml:space="preserve"> </w:t>
      </w:r>
      <w:hyperlink r:id="rId23">
        <w:r>
          <w:rPr>
            <w:rStyle w:val="Hyperlink"/>
          </w:rPr>
          <w:t xml:space="preserve">ITSG-22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ITSG-38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[ ] Implement increased levels of protection for management interfaces.</w:t>
      </w:r>
    </w:p>
    <w:p>
      <w:pPr>
        <w:pStyle w:val="Heading2"/>
      </w:pPr>
      <w:bookmarkStart w:id="25" w:name="validation"/>
      <w:r>
        <w:t xml:space="preserve">Validation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[ ] Confirm that department has a target network architecture diagram with appropriate segmentation between network zones.</w:t>
      </w:r>
    </w:p>
    <w:p>
      <w:pPr>
        <w:pStyle w:val="Heading2"/>
      </w:pPr>
      <w:bookmarkStart w:id="26" w:name="applicable-service-models"/>
      <w:r>
        <w:t xml:space="preserve">Applicable Service Models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IaaS, PaaS</w:t>
      </w:r>
    </w:p>
    <w:p>
      <w:pPr>
        <w:pStyle w:val="Heading2"/>
      </w:pPr>
      <w:bookmarkStart w:id="27" w:name="references"/>
      <w:r>
        <w:t xml:space="preserve">References</w:t>
      </w:r>
      <w:bookmarkEnd w:id="27"/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SPIN 2017-01</w:t>
        </w:r>
      </w:hyperlink>
      <w:r>
        <w:t xml:space="preserve">, subsection 6.2.4</w:t>
      </w:r>
    </w:p>
    <w:p>
      <w:pPr>
        <w:pStyle w:val="Compact"/>
        <w:numPr>
          <w:numId w:val="1004"/>
          <w:ilvl w:val="0"/>
        </w:numPr>
      </w:pPr>
      <w:r>
        <w:t xml:space="preserve">CSE Top 10 #5</w:t>
      </w:r>
    </w:p>
    <w:p>
      <w:pPr>
        <w:pStyle w:val="Compact"/>
        <w:numPr>
          <w:numId w:val="1004"/>
          <w:ilvl w:val="0"/>
        </w:numPr>
      </w:pPr>
      <w:r>
        <w:t xml:space="preserve">Refer to the network security zoning guidance in</w:t>
      </w:r>
      <w:r>
        <w:t xml:space="preserve"> </w:t>
      </w:r>
      <w:hyperlink r:id="rId23">
        <w:r>
          <w:rPr>
            <w:rStyle w:val="Hyperlink"/>
          </w:rPr>
          <w:t xml:space="preserve">ITSG-22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ITSG-38.</w:t>
        </w:r>
      </w:hyperlink>
    </w:p>
    <w:p>
      <w:pPr>
        <w:pStyle w:val="Compact"/>
        <w:numPr>
          <w:numId w:val="1004"/>
          <w:ilvl w:val="0"/>
        </w:numPr>
      </w:pPr>
      <w:r>
        <w:t xml:space="preserve">Related security controls: AC‑4, SC‑7, SC‑7(5)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yber.gc.ca/en/guidance/baseline-security-requirements-network-security-zones-government-canada-itsg-22" TargetMode="External" /><Relationship Type="http://schemas.openxmlformats.org/officeDocument/2006/relationships/hyperlink" Id="rId24" Target="https://cyber.gc.ca/en/guidance/network-security-zoning-design-considerations-placement-services-within-zones-itsg-38" TargetMode="External" /><Relationship Type="http://schemas.openxmlformats.org/officeDocument/2006/relationships/hyperlink" Id="rId28" Target="https://www.canada.ca/en/treasury-board-secretariat/services/access-information-privacy/security-identity-management/direction-secure-use-commercial-cloud-services-spi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yber.gc.ca/en/guidance/baseline-security-requirements-network-security-zones-government-canada-itsg-22" TargetMode="External" /><Relationship Type="http://schemas.openxmlformats.org/officeDocument/2006/relationships/hyperlink" Id="rId24" Target="https://cyber.gc.ca/en/guidance/network-security-zoning-design-considerations-placement-services-within-zones-itsg-38" TargetMode="External" /><Relationship Type="http://schemas.openxmlformats.org/officeDocument/2006/relationships/hyperlink" Id="rId28" Target="https://www.canada.ca/en/treasury-board-secretariat/services/access-information-privacy/security-identity-management/direction-secure-use-commercial-cloud-services-spi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2020-06-04T15:53:55Z</dcterms:created>
  <dcterms:modified xsi:type="dcterms:W3CDTF">2020-06-04T15:53:55Z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