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ogging-and-monitoring"/>
      <w:r>
        <w:t xml:space="preserve">Logging and Monitoring</w:t>
      </w:r>
      <w:bookmarkEnd w:id="20"/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Enable logging for the cloud environment and for cloud-based workloads.</w:t>
      </w:r>
    </w:p>
    <w:p>
      <w:pPr>
        <w:pStyle w:val="Heading2"/>
      </w:pPr>
      <w:bookmarkStart w:id="22" w:name="key-considerations"/>
      <w:r>
        <w:t xml:space="preserve">Key Considerations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[ ] Implement adequate level of logging and reporting, including a security audit log function in all information systems.</w:t>
      </w:r>
    </w:p>
    <w:p>
      <w:pPr>
        <w:pStyle w:val="Compact"/>
        <w:numPr>
          <w:numId w:val="1001"/>
          <w:ilvl w:val="0"/>
        </w:numPr>
      </w:pPr>
      <w:r>
        <w:t xml:space="preserve">[ ] Identify the events within the solution that must be audited in accordance with</w:t>
      </w:r>
      <w:r>
        <w:t xml:space="preserve"> </w:t>
      </w:r>
      <w:hyperlink r:id="rId23">
        <w:r>
          <w:rPr>
            <w:rStyle w:val="Hyperlink"/>
          </w:rPr>
          <w:t xml:space="preserve">GC Event Logging</w:t>
        </w:r>
      </w:hyperlink>
      <w:r>
        <w:t xml:space="preserve">.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You may need to configure your solution to send the audit log records to a centralized logging facility, if one is available, where existing auditing mechanisms will be applied.</w:t>
      </w:r>
    </w:p>
    <w:p>
      <w:pPr>
        <w:pStyle w:val="Compact"/>
        <w:numPr>
          <w:numId w:val="1002"/>
          <w:ilvl w:val="0"/>
        </w:numPr>
      </w:pPr>
      <w:r>
        <w:t xml:space="preserve">[ ] Configure alerts and notifications to be sent to the appropriate contact/team in the organization.</w:t>
      </w:r>
    </w:p>
    <w:p>
      <w:pPr>
        <w:pStyle w:val="Compact"/>
        <w:numPr>
          <w:numId w:val="1002"/>
          <w:ilvl w:val="0"/>
        </w:numPr>
      </w:pPr>
      <w:r>
        <w:t xml:space="preserve">[ ] Configure or use an authoritative time source for the time-stamp of the audit records generated by your solution components.</w:t>
      </w:r>
    </w:p>
    <w:p>
      <w:pPr>
        <w:pStyle w:val="Compact"/>
        <w:numPr>
          <w:numId w:val="1002"/>
          <w:ilvl w:val="0"/>
        </w:numPr>
      </w:pPr>
      <w:r>
        <w:t xml:space="preserve">[ ] Continuously monitor system events and performance.</w:t>
      </w:r>
    </w:p>
    <w:p>
      <w:pPr>
        <w:pStyle w:val="Heading2"/>
      </w:pPr>
      <w:bookmarkStart w:id="24" w:name="validation"/>
      <w:r>
        <w:t xml:space="preserve">Validation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[ ] Confirm policy for event logging is implemented.</w:t>
      </w:r>
    </w:p>
    <w:p>
      <w:pPr>
        <w:pStyle w:val="Compact"/>
        <w:numPr>
          <w:numId w:val="1003"/>
          <w:ilvl w:val="0"/>
        </w:numPr>
      </w:pPr>
      <w:r>
        <w:t xml:space="preserve">[ ] Confirm event logs are being generated.</w:t>
      </w:r>
    </w:p>
    <w:p>
      <w:pPr>
        <w:pStyle w:val="Compact"/>
        <w:numPr>
          <w:numId w:val="1003"/>
          <w:ilvl w:val="0"/>
        </w:numPr>
      </w:pPr>
      <w:r>
        <w:t xml:space="preserve">[ ] Confirm that security contact information has been configured to receive alerts and notifications.</w:t>
      </w:r>
    </w:p>
    <w:p>
      <w:pPr>
        <w:pStyle w:val="Heading2"/>
      </w:pPr>
      <w:bookmarkStart w:id="25" w:name="applicable-service-models"/>
      <w:r>
        <w:t xml:space="preserve">Applicable Service Models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IaaS, PaaS, SaaS</w:t>
      </w:r>
    </w:p>
    <w:p>
      <w:pPr>
        <w:pStyle w:val="Heading2"/>
      </w:pPr>
      <w:bookmarkStart w:id="26" w:name="references"/>
      <w:r>
        <w:t xml:space="preserve">References</w:t>
      </w:r>
      <w:bookmarkEnd w:id="26"/>
    </w:p>
    <w:p>
      <w:pPr>
        <w:pStyle w:val="Compact"/>
        <w:numPr>
          <w:numId w:val="1005"/>
          <w:ilvl w:val="0"/>
        </w:numPr>
      </w:pPr>
      <w:hyperlink r:id="rId27">
        <w:r>
          <w:rPr>
            <w:rStyle w:val="Hyperlink"/>
          </w:rPr>
          <w:t xml:space="preserve">SPIN 2017-01</w:t>
        </w:r>
      </w:hyperlink>
      <w:r>
        <w:t xml:space="preserve">, subsection 6.3.1</w:t>
      </w:r>
    </w:p>
    <w:p>
      <w:pPr>
        <w:pStyle w:val="Compact"/>
        <w:numPr>
          <w:numId w:val="1005"/>
          <w:ilvl w:val="0"/>
        </w:numPr>
      </w:pPr>
      <w:r>
        <w:t xml:space="preserve">CSE Top 10 #1, 5, 8</w:t>
      </w:r>
    </w:p>
    <w:p>
      <w:pPr>
        <w:pStyle w:val="Compact"/>
        <w:numPr>
          <w:numId w:val="1005"/>
          <w:ilvl w:val="0"/>
        </w:numPr>
      </w:pPr>
      <w:r>
        <w:t xml:space="preserve">Refer to</w:t>
      </w:r>
      <w:r>
        <w:t xml:space="preserve"> </w:t>
      </w:r>
      <w:hyperlink r:id="rId23">
        <w:r>
          <w:rPr>
            <w:rStyle w:val="Hyperlink"/>
          </w:rPr>
          <w:t xml:space="preserve">GC Event Logging Guidance</w:t>
        </w:r>
      </w:hyperlink>
    </w:p>
    <w:p>
      <w:pPr>
        <w:pStyle w:val="Compact"/>
        <w:numPr>
          <w:numId w:val="1005"/>
          <w:ilvl w:val="0"/>
        </w:numPr>
      </w:pPr>
      <w:r>
        <w:t xml:space="preserve">Related security controls: AU‑2, AU‑3, AU‑6, AU‑8, AU‑9, AU‑9(4), AU‑12, SI-4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www.canada.ca/en/treasury-board-secretariat/services/access-information-privacy/security-identity-management/direction-secure-use-commercial-cloud-services-spin.html" TargetMode="External" /><Relationship Type="http://schemas.openxmlformats.org/officeDocument/2006/relationships/hyperlink" Id="rId23" Target="https://www.gcpedia.gc.ca/gcwiki/images/e/e3/GC_Event_Logging_Strateg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www.canada.ca/en/treasury-board-secretariat/services/access-information-privacy/security-identity-management/direction-secure-use-commercial-cloud-services-spin.html" TargetMode="External" /><Relationship Type="http://schemas.openxmlformats.org/officeDocument/2006/relationships/hyperlink" Id="rId23" Target="https://www.gcpedia.gc.ca/gcwiki/images/e/e3/GC_Event_Logging_Strateg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2020-06-04T15:53:55Z</dcterms:created>
  <dcterms:modified xsi:type="dcterms:W3CDTF">2020-06-04T15:53:55Z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