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  <w:br/>
              <w:t>${scope}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4"/>
                <w:szCs w:val="20"/>
                <w:lang w:val="fr-LU" w:eastAsia="en-US" w:bidi="ar-SA"/>
              </w:rPr>
              <w:t>ref</w:t>
            </w:r>
            <w:r>
              <w:rPr>
                <w:sz w:val="20"/>
              </w:rPr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</w:t>
            </w:r>
            <w:r>
              <w:rPr/>
              <w:t>ve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 xml:space="preserve">${objective} 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</w:t>
            </w:r>
            <w:r>
              <w:rPr/>
              <w:t>e</w:t>
            </w:r>
            <w:r>
              <w:rPr/>
              <w:t>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Model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1pt;height:67.4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Measurement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ISMS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</w:t>
          </w:r>
          <w:r>
            <w:rPr>
              <w:rFonts w:cs="Arial"/>
              <w:sz w:val="16"/>
              <w:szCs w:val="18"/>
            </w:rPr>
            <w:t>al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Creation Date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Measurement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Hyperlink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LibreOffice/7.4.7.2$Linux_X86_64 LibreOffice_project/40$Build-2</Application>
  <AppVersion>15.0000</AppVersion>
  <Pages>1</Pages>
  <Words>33</Words>
  <Characters>235</Characters>
  <CharactersWithSpaces>246</CharactersWithSpaces>
  <Paragraphs>25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2024-10-12T10:48:33Z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