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left"/>
      </w:pPr>
      <w:r>
        <w:rPr>
          <w:rFonts w:ascii="Arial" w:cs="Arial" w:eastAsia="Arial" w:hAnsi="Arial"/>
          <w:b/>
          <w:bCs/>
          <w:color w:val="06418C"/>
          <w:spacing w:val="200"/>
          <w:sz w:val="22"/>
          <w:szCs w:val="22"/>
        </w:rPr>
        <w:t xml:space="preserve">RENESAS ELECTRONICS</w:t>
      </w:r>
    </w:p>
    <w:p>
      <w:pPr>
        <w:pBdr>
          <w:bottom w:val="single" w:color="06418C" w:sz="4" w:space="8"/>
        </w:pBdr>
        <w:spacing w:after="40"/>
        <w:jc w:val="left"/>
      </w:pPr>
      <w:r>
        <w:rPr>
          <w:rFonts w:ascii="Arial" w:cs="Arial" w:eastAsia="Arial" w:hAnsi="Arial"/>
          <w:b/>
          <w:bCs/>
          <w:color w:val="042D5E"/>
          <w:sz w:val="56"/>
          <w:szCs w:val="56"/>
        </w:rPr>
        <w:t xml:space="preserve">Architecting the Future</w:t>
      </w:r>
    </w:p>
    <w:p>
      <w:pPr>
        <w:spacing w:after="300"/>
        <w:jc w:val="left"/>
      </w:pPr>
      <w:r>
        <w:rPr>
          <w:rFonts w:ascii="Arial" w:cs="Arial" w:eastAsia="Arial" w:hAnsi="Arial"/>
          <w:color w:val="4471A9"/>
          <w:sz w:val="32"/>
          <w:szCs w:val="32"/>
        </w:rPr>
        <w:t xml:space="preserve">A Vision for AI and Digital Transformation</w:t>
      </w:r>
    </w:p>
    <w:p>
      <w:pPr>
        <w:spacing w:after="800"/>
      </w:pPr>
    </w:p>
    <w:p>
      <w:pPr>
        <w:spacing w:after="80"/>
        <w:jc w:val="left"/>
      </w:pPr>
      <w:r>
        <w:rPr>
          <w:rFonts w:ascii="Arial" w:cs="Arial" w:eastAsia="Arial" w:hAnsi="Arial"/>
          <w:color w:val="666666"/>
          <w:sz w:val="24"/>
          <w:szCs w:val="24"/>
        </w:rPr>
        <w:t xml:space="preserve">Companion Report</w:t>
      </w:r>
    </w:p>
    <w:p>
      <w:pPr>
        <w:spacing w:after="80"/>
        <w:jc w:val="left"/>
      </w:pPr>
      <w:r>
        <w:rPr>
          <w:rFonts w:ascii="Arial" w:cs="Arial" w:eastAsia="Arial" w:hAnsi="Arial"/>
          <w:color w:val="666666"/>
          <w:sz w:val="22"/>
          <w:szCs w:val="22"/>
        </w:rPr>
        <w:t xml:space="preserve">For the CEO and Executive Leadership Team</w:t>
      </w:r>
    </w:p>
    <w:p>
      <w:pPr>
        <w:spacing w:after="80"/>
        <w:jc w:val="left"/>
      </w:pPr>
      <w:r>
        <w:rPr>
          <w:rFonts w:ascii="Arial" w:cs="Arial" w:eastAsia="Arial" w:hAnsi="Arial"/>
          <w:color w:val="666666"/>
          <w:sz w:val="22"/>
          <w:szCs w:val="22"/>
        </w:rPr>
        <w:t xml:space="preserve">March 2026</w:t>
      </w:r>
    </w:p>
    <w:p>
      <w:pPr>
        <w:spacing w:after="80"/>
        <w:jc w:val="left"/>
      </w:pPr>
      <w:r>
        <w:rPr>
          <w:rFonts w:ascii="Arial" w:cs="Arial" w:eastAsia="Arial" w:hAnsi="Arial"/>
          <w:b/>
          <w:bCs/>
          <w:color w:val="D70000"/>
          <w:spacing w:val="150"/>
          <w:sz w:val="20"/>
          <w:szCs w:val="20"/>
        </w:rPr>
        <w:t xml:space="preserve">CONFIDENTIAL</w:t>
      </w:r>
    </w:p>
    <w:p>
      <w:r>
        <w:br w:type="page"/>
      </w:r>
    </w:p>
    <w:p>
      <w:pPr>
        <w:pStyle w:val="Heading1"/>
        <w:spacing w:after="300"/>
      </w:pPr>
      <w:r>
        <w:rPr>
          <w:rFonts w:ascii="Arial" w:cs="Arial" w:eastAsia="Arial" w:hAnsi="Arial"/>
          <w:b/>
          <w:bCs/>
          <w:color w:val="042D5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042D5E"/>
          <w:sz w:val="36"/>
          <w:szCs w:val="36"/>
        </w:rPr>
        <w:t xml:space="preserve">Executive Summary</w:t>
      </w:r>
    </w:p>
    <w:p>
      <w:pPr>
        <w:spacing w:after="160"/>
        <w:jc w:val="left"/>
      </w:pPr>
      <w:r>
        <w:rPr>
          <w:rFonts w:ascii="Arial" w:cs="Arial" w:eastAsia="Arial" w:hAnsi="Arial"/>
          <w:color w:val="333333"/>
          <w:sz w:val="22"/>
          <w:szCs w:val="22"/>
        </w:rPr>
        <w:t xml:space="preserve">Renesas Electronics stands at an inflection point. The semiconductor industry is undergoing a fundamental shift from hardware value to systems and platform value. The companies that define how technology, data, and AI are used inside their business will set the competitive pace for the next decade. This report presents a comprehensive vision for how Renesas can seize that opportunity through a structured, self-funding AI and digital transformation.</w:t>
      </w:r>
    </w:p>
    <w:p>
      <w:pPr>
        <w:spacing w:after="160"/>
        <w:jc w:val="left"/>
      </w:pPr>
      <w:r>
        <w:rPr>
          <w:rFonts w:ascii="Arial" w:cs="Arial" w:eastAsia="Arial" w:hAnsi="Arial"/>
          <w:color w:val="333333"/>
          <w:sz w:val="22"/>
          <w:szCs w:val="22"/>
        </w:rPr>
        <w:t xml:space="preserve">The vision is built on three principles. First, the transformation is pragmatic: it starts with concrete, measurable efficiency gains and builds toward structural change. Second, it is self-funding: cost reductions in each phase directly fund the next, eliminating the need for open-ended investment. Third, it is enterprise-wide: this is not an IT initiative but a fundamental redesign of how Renesas operates, competes, and creates value.</w:t>
      </w:r>
    </w:p>
    <w:p>
      <w:pPr>
        <w:spacing w:after="160"/>
        <w:jc w:val="left"/>
      </w:pPr>
      <w:r>
        <w:rPr>
          <w:rFonts w:ascii="Arial" w:cs="Arial" w:eastAsia="Arial" w:hAnsi="Arial"/>
          <w:color w:val="333333"/>
          <w:sz w:val="22"/>
          <w:szCs w:val="22"/>
        </w:rPr>
        <w:t xml:space="preserve">The transformation unfolds across three overlapping phases, each 18 months in duration with a 9-month stagger:</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Phase 1 (Months 0–18): Prove It.</w:t>
      </w:r>
      <w:r>
        <w:rPr>
          <w:rFonts w:ascii="Arial" w:cs="Arial" w:eastAsia="Arial" w:hAnsi="Arial"/>
          <w:color w:val="333333"/>
          <w:sz w:val="22"/>
          <w:szCs w:val="22"/>
        </w:rPr>
        <w:t xml:space="preserve"> Build the data foundation, deploy enterprise automation, deliver measurable cost reductions in finance, legal, HR, and supply chain. Every dollar saved funds Phase 2.</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Phase 2 (Months 9–27): Scale It.</w:t>
      </w:r>
      <w:r>
        <w:rPr>
          <w:rFonts w:ascii="Arial" w:cs="Arial" w:eastAsia="Arial" w:hAnsi="Arial"/>
          <w:color w:val="333333"/>
          <w:sz w:val="22"/>
          <w:szCs w:val="22"/>
        </w:rPr>
        <w:t xml:space="preserve"> R&amp;D becomes the primary lever. AI-assisted chip design, EDA workflow automation, simulation acceleration, and intelligent IP reuse drive engineering productivity gains that compound.</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Phase 3 (Months 18–36): Architect It.</w:t>
      </w:r>
      <w:r>
        <w:rPr>
          <w:rFonts w:ascii="Arial" w:cs="Arial" w:eastAsia="Arial" w:hAnsi="Arial"/>
          <w:color w:val="333333"/>
          <w:sz w:val="22"/>
          <w:szCs w:val="22"/>
        </w:rPr>
        <w:t xml:space="preserve"> The company itself is redesigned. Workforce architecture, R&amp;D organization design, and AI-native product development transform Renesas from a semiconductor company into an AI-native platform company.</w:t>
      </w:r>
    </w:p>
    <w:p>
      <w:pPr>
        <w:spacing w:after="100"/>
      </w:pPr>
    </w:p>
    <w:p>
      <w:pPr>
        <w:spacing w:after="160"/>
        <w:jc w:val="left"/>
      </w:pPr>
      <w:r>
        <w:rPr>
          <w:rFonts w:ascii="Arial" w:cs="Arial" w:eastAsia="Arial" w:hAnsi="Arial"/>
          <w:color w:val="333333"/>
          <w:sz w:val="22"/>
          <w:szCs w:val="22"/>
        </w:rPr>
        <w:t xml:space="preserve">The technology foundation is a four-layer stack: unified data lakehouse, semantic layer (ontology and knowledge graphs), AI/ML layer, and application layer. The critical insight is sequencing: most failed transformations build the application layer first and wonder why nothing scales. This plan builds from the bottom up.</w:t>
      </w:r>
    </w:p>
    <w:p>
      <w:pPr>
        <w:spacing w:after="160"/>
        <w:jc w:val="left"/>
      </w:pPr>
      <w:r>
        <w:rPr>
          <w:rFonts w:ascii="Arial" w:cs="Arial" w:eastAsia="Arial" w:hAnsi="Arial"/>
          <w:color w:val="333333"/>
          <w:sz w:val="22"/>
          <w:szCs w:val="22"/>
        </w:rPr>
        <w:t xml:space="preserve">The competitive context is clear. NVIDIA deploys internal AI at scale with 100% engineer adoption and 3x code output. Siemens has launched nine AI copilots across its EDA tools. NXP acquired Kinara for $307M to build edge AI capability. Infineon has upskilled 1,000+ employees and deployed 100+ internal AI applications. Renesas has the scale, IP depth, and global reach to compete. The question is execution speed.</w:t>
      </w:r>
    </w:p>
    <w:p>
      <w:pPr>
        <w:spacing w:after="160"/>
        <w:jc w:val="left"/>
      </w:pPr>
      <w:r>
        <w:rPr>
          <w:rFonts w:ascii="Arial" w:cs="Arial" w:eastAsia="Arial" w:hAnsi="Arial"/>
          <w:color w:val="333333"/>
          <w:sz w:val="22"/>
          <w:szCs w:val="22"/>
        </w:rPr>
        <w:t xml:space="preserve">The case studies in this report demonstrate the pattern is proven. John Deere executed a decade-long pivot from equipment manufacturer to AI-driven agriculture platform, achieving 85% software margins, 165% productivity improvement, and $670M+ in targeted AI acquisitions. NVIDIA’s revenue per employee grew from $882K in 2019 to $3.62M in 2025 — a 4x increase driven by internal AI deployment. These are not aspirational targets. They are audited results from public companies following the same playbook.</w:t>
      </w:r>
    </w:p>
    <w:p>
      <w:pPr>
        <w:spacing w:after="160"/>
        <w:jc w:val="left"/>
      </w:pPr>
      <w:r>
        <w:rPr>
          <w:rFonts w:ascii="Arial" w:cs="Arial" w:eastAsia="Arial" w:hAnsi="Arial"/>
          <w:color w:val="333333"/>
          <w:sz w:val="22"/>
          <w:szCs w:val="22"/>
        </w:rPr>
        <w:t xml:space="preserve">The US serves as the transformation hub for three reasons: it is where AI augmentation delivers the highest ROI per dollar (highest fixed personnel cost), it is where the world’s best AI ecosystem operates (Silicon Valley, Seattle, Austin), and it is where the ELT critical mass resides (Altium, Sales, UX, Digital). The model: build the playbook in the US, prove it works, export to Japan with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This transformation is not about running the servers. It is about designing the company that competes in 2030. The aspiration is an AI-native Renesas. The approach is pragmatic. The first step is concrete.</w:t>
            </w:r>
          </w:p>
        </w:tc>
      </w:tr>
    </w:tbl>
    <w:p>
      <w:r>
        <w:br w:type="page"/>
      </w:r>
    </w:p>
    <w:p>
      <w:pPr>
        <w:pStyle w:val="Heading1"/>
        <w:spacing w:before="360" w:after="200"/>
      </w:pPr>
      <w:r>
        <w:rPr>
          <w:rFonts w:ascii="Arial" w:cs="Arial" w:eastAsia="Arial" w:hAnsi="Arial"/>
          <w:b/>
          <w:bCs/>
          <w:color w:val="042D5E"/>
          <w:sz w:val="36"/>
          <w:szCs w:val="36"/>
        </w:rPr>
        <w:t xml:space="preserve">1. The Opportunity</w:t>
      </w:r>
    </w:p>
    <w:p>
      <w:pPr>
        <w:pStyle w:val="Heading2"/>
        <w:spacing w:before="280" w:after="160"/>
      </w:pPr>
      <w:r>
        <w:rPr>
          <w:rFonts w:ascii="Arial" w:cs="Arial" w:eastAsia="Arial" w:hAnsi="Arial"/>
          <w:b/>
          <w:bCs/>
          <w:color w:val="06418C"/>
          <w:sz w:val="28"/>
          <w:szCs w:val="28"/>
        </w:rPr>
        <w:t xml:space="preserve">1.1 The Moment</w:t>
      </w:r>
    </w:p>
    <w:p>
      <w:pPr>
        <w:spacing w:after="160"/>
        <w:jc w:val="left"/>
      </w:pPr>
      <w:r>
        <w:rPr>
          <w:rFonts w:ascii="Arial" w:cs="Arial" w:eastAsia="Arial" w:hAnsi="Arial"/>
          <w:color w:val="333333"/>
          <w:sz w:val="22"/>
          <w:szCs w:val="22"/>
        </w:rPr>
        <w:t xml:space="preserve">The semiconductor industry is experiencing a convergence of forces that creates a rare strategic window. Three dynamics define this moment:</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The Opportunity.</w:t>
      </w:r>
      <w:r>
        <w:rPr>
          <w:rFonts w:ascii="Arial" w:cs="Arial" w:eastAsia="Arial" w:hAnsi="Arial"/>
          <w:color w:val="333333"/>
          <w:sz w:val="22"/>
          <w:szCs w:val="22"/>
        </w:rPr>
        <w:t xml:space="preserve"> The companies that define how technology, data, and AI are used inside their business will set the competitive pace for the next decade. Renesas has the scale — $12.5B+ in revenue, 21,000+ employees, operations across 20+ countries — the IP depth accumulated through strategic acquisitions (Intersil, IDT, Dialog, Celeno, Altium), and the global reach to be one of them. The question is not whether Renesas has the assets. The question is whether those assets are organized, connected, and leveraged with modern technology.</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The Shift.</w:t>
      </w:r>
      <w:r>
        <w:rPr>
          <w:rFonts w:ascii="Arial" w:cs="Arial" w:eastAsia="Arial" w:hAnsi="Arial"/>
          <w:color w:val="333333"/>
          <w:sz w:val="22"/>
          <w:szCs w:val="22"/>
        </w:rPr>
        <w:t xml:space="preserve"> The industry is moving from hardware value to systems and platform value. Customers no longer want just chips — they want solutions, ecosystems, and speed. The design-in process is increasingly driven by software capability, reference design quality, and time-to-market support. The companies that deliver integrated experiences — silicon plus software plus data plus design tools — win the next generation of design-ins. Those that continue to compete on specs and price alone face margin compression.</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The Window.</w:t>
      </w:r>
      <w:r>
        <w:rPr>
          <w:rFonts w:ascii="Arial" w:cs="Arial" w:eastAsia="Arial" w:hAnsi="Arial"/>
          <w:color w:val="333333"/>
          <w:sz w:val="22"/>
          <w:szCs w:val="22"/>
        </w:rPr>
        <w:t xml:space="preserve"> This window is open, but not indefinitely. The first movers in AI-native transformation are creating compounding advantages that late movers cannot replicate. NVIDIA’s internal AI deployment is now 5+ years mature. Siemens’ digital platform transformation began over a decade ago. The advantages these companies have built are structural — they are embedded in data assets, workforce capabilities, and customer ecosystems. Every year of delay widens the gap.</w:t>
      </w:r>
    </w:p>
    <w:p>
      <w:pPr>
        <w:pStyle w:val="Heading2"/>
        <w:spacing w:before="280" w:after="160"/>
      </w:pPr>
      <w:r>
        <w:rPr>
          <w:rFonts w:ascii="Arial" w:cs="Arial" w:eastAsia="Arial" w:hAnsi="Arial"/>
          <w:b/>
          <w:bCs/>
          <w:color w:val="06418C"/>
          <w:sz w:val="28"/>
          <w:szCs w:val="28"/>
        </w:rPr>
        <w:t xml:space="preserve">1.2 The AI Landscape: Where We Actually Are</w:t>
      </w:r>
    </w:p>
    <w:p>
      <w:pPr>
        <w:spacing w:after="160"/>
        <w:jc w:val="left"/>
      </w:pPr>
      <w:r>
        <w:rPr>
          <w:rFonts w:ascii="Arial" w:cs="Arial" w:eastAsia="Arial" w:hAnsi="Arial"/>
          <w:color w:val="333333"/>
          <w:sz w:val="22"/>
          <w:szCs w:val="22"/>
        </w:rPr>
        <w:t xml:space="preserve">Any credible AI strategy begins with an honest assessment of where we are in the adoption cycle. The noise around AI is extraordinary — separating signal from hype is a prerequisite for making good decisions. This section provides that grounding before making the Renesas-specific case.</w:t>
      </w:r>
    </w:p>
    <w:p>
      <w:pPr>
        <w:spacing w:after="160"/>
        <w:jc w:val="left"/>
      </w:pPr>
      <w:r>
        <w:rPr>
          <w:rFonts w:ascii="Arial" w:cs="Arial" w:eastAsia="Arial" w:hAnsi="Arial"/>
          <w:b/>
          <w:bCs/>
          <w:color w:val="333333"/>
          <w:sz w:val="22"/>
          <w:szCs w:val="22"/>
        </w:rPr>
        <w:t xml:space="preserve">The Growth Is Real — and Unprecedented.</w:t>
      </w:r>
      <w:r>
        <w:rPr>
          <w:rFonts w:ascii="Arial" w:cs="Arial" w:eastAsia="Arial" w:hAnsi="Arial"/>
          <w:color w:val="333333"/>
          <w:sz w:val="22"/>
          <w:szCs w:val="22"/>
        </w:rPr>
        <w:t xml:space="preserve"> The revenue curves for leading AI companies are historically anomalous. OpenAI grew from $2 billion to $20 billion in annual revenue in approximately 24 months. Anthropic scaled from $1 billion to a $14 billion annualized run rate in 14 months. The demand is real. The technology works. The adoption curves are unlike anything the technology industry has previously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Company</w:t>
            </w:r>
          </w:p>
        </w:tc>
        <w:tc>
          <w:tcPr>
            <w:tcW w:type="dxa" w:w="468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Years to $10B Annual Revenue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Google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~20 years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Amazon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~18 years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Microsoft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~15 years</w:t>
            </w:r>
          </w:p>
        </w:tc>
      </w:tr>
      <w:tr>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06418C"/>
                <w:sz w:val="20"/>
                <w:szCs w:val="20"/>
              </w:rPr>
              <w:t>OpenAI</w:t>
            </w:r>
          </w:p>
        </w:tc>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06418C"/>
                <w:sz w:val="20"/>
                <w:szCs w:val="20"/>
              </w:rPr>
              <w:t>~2 years</w:t>
            </w:r>
          </w:p>
        </w:tc>
      </w:tr>
    </w:tbl>
    <w:p>
      <w:pPr>
        <w:spacing w:after="160"/>
        <w:jc w:val="left"/>
      </w:pPr>
      <w:r>
        <w:rPr>
          <w:rFonts w:ascii="Arial" w:cs="Arial" w:eastAsia="Arial" w:hAnsi="Arial"/>
          <w:b/>
          <w:bCs/>
          <w:color w:val="333333"/>
          <w:sz w:val="22"/>
          <w:szCs w:val="22"/>
        </w:rPr>
        <w:t xml:space="preserve">Most Enterprise AI Is Still Experimentation.</w:t>
      </w:r>
      <w:r>
        <w:rPr>
          <w:rFonts w:ascii="Arial" w:cs="Arial" w:eastAsia="Arial" w:hAnsi="Arial"/>
          <w:color w:val="333333"/>
          <w:sz w:val="22"/>
          <w:szCs w:val="22"/>
        </w:rPr>
        <w:t xml:space="preserve"> Underneath the headline revenue numbers, the enterprise picture is more nuanced. The majority of enterprise AI spending today falls into one of three categories: pilot projects, innovation budget allocations, and internal tool experimentation. This is not a criticism — it reflects the normal pattern of enterprise technology adoption. Enterprises explore, demonstrate to boards, and wait for the ROI case to crystallize.</w:t>
      </w:r>
    </w:p>
    <w:p>
      <w:pPr>
        <w:spacing w:after="160"/>
        <w:jc w:val="left"/>
      </w:pPr>
      <w:r>
        <w:rPr>
          <w:rFonts w:ascii="Arial" w:cs="Arial" w:eastAsia="Arial" w:hAnsi="Arial"/>
          <w:color w:val="333333"/>
          <w:sz w:val="22"/>
          <w:szCs w:val="22"/>
        </w:rPr>
        <w:t xml:space="preserve">Only one enterprise AI use case has proven itself at scale to date: software development. AI-assisted coding — including code generation, debugging, documentation, and review — has demonstrated clear, measurable productivity gains across multiple companies. Code demand in most enterprises is effectively infinite; companies always wanted more software but could not hire enough engineers. AI removes that bottleneck. The next wave — agents, workflow automation, and function-specific AI — is in early deployment but the transition is not yet complete.</w:t>
      </w:r>
    </w:p>
    <w:p>
      <w:pPr>
        <w:spacing w:after="160"/>
        <w:jc w:val="left"/>
      </w:pPr>
      <w:r>
        <w:rPr>
          <w:rFonts w:ascii="Arial" w:cs="Arial" w:eastAsia="Arial" w:hAnsi="Arial"/>
          <w:b/>
          <w:bCs/>
          <w:color w:val="333333"/>
          <w:sz w:val="22"/>
          <w:szCs w:val="22"/>
        </w:rPr>
        <w:t xml:space="preserve">The Three-Layer AI Economy.</w:t>
      </w:r>
      <w:r>
        <w:rPr>
          <w:rFonts w:ascii="Arial" w:cs="Arial" w:eastAsia="Arial" w:hAnsi="Arial"/>
          <w:color w:val="333333"/>
          <w:sz w:val="22"/>
          <w:szCs w:val="22"/>
        </w:rPr>
        <w:t xml:space="preserve"> Understanding where value is created requires a structural view of the AI economy. Three layers have emerged, each at a different stage of maturity and with fundamentally different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c>
          <w:tcPr>
            <w:tcW w:type="dxa" w:w="252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Layer</w:t>
            </w:r>
          </w:p>
        </w:tc>
        <w:tc>
          <w:tcPr>
            <w:tcW w:type="dxa" w:w="432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Description</w:t>
            </w:r>
          </w:p>
        </w:tc>
        <w:tc>
          <w:tcPr>
            <w:tcW w:type="dxa" w:w="252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Maturity</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Layer 1: Compute</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NVIDIA, hyperscale data centers, energy infrastructure. Capital-intensive; railroad-building phase of the AI revolution.</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Mature build-out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Layer 2: Foundation Models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OpenAI, Anthropic, Google DeepMind. Fastest revenue growth in history. Competitive moats still being defined.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Rapid growth, evolving</w:t>
            </w:r>
          </w:p>
        </w:tc>
      </w:tr>
      <w:tr>
        <w:tc>
          <w:tcPr>
            <w:tcW w:type="dxa" w:w="25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06418C"/>
                <w:sz w:val="20"/>
                <w:szCs w:val="20"/>
              </w:rPr>
              <w:t>Layer 3: Applications</w:t>
            </w:r>
          </w:p>
        </w:tc>
        <w:tc>
          <w:tcPr>
            <w:tcW w:type="dxa" w:w="43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06418C"/>
                <w:sz w:val="20"/>
                <w:szCs w:val="20"/>
              </w:rPr>
              <w:t>Agents, automation platforms, industry-specific AI, workflow integration. This is where the majority of long-term economic value will be created — and where Renesas competes.</w:t>
            </w:r>
          </w:p>
        </w:tc>
        <w:tc>
          <w:tcPr>
            <w:tcW w:type="dxa" w:w="25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06418C"/>
                <w:sz w:val="20"/>
                <w:szCs w:val="20"/>
              </w:rPr>
              <w:t>Early stage — barely started</w:t>
            </w:r>
          </w:p>
        </w:tc>
      </w:tr>
    </w:tbl>
    <w:p>
      <w:pPr>
        <w:spacing w:after="160"/>
        <w:jc w:val="left"/>
      </w:pPr>
      <w:r>
        <w:rPr>
          <w:rFonts w:ascii="Arial" w:cs="Arial" w:eastAsia="Arial" w:hAnsi="Arial"/>
          <w:b/>
          <w:bCs/>
          <w:color w:val="333333"/>
          <w:sz w:val="22"/>
          <w:szCs w:val="22"/>
        </w:rPr>
        <w:t xml:space="preserve">AI Shifts from IT Budget to Workforce Budget.</w:t>
      </w:r>
      <w:r>
        <w:rPr>
          <w:rFonts w:ascii="Arial" w:cs="Arial" w:eastAsia="Arial" w:hAnsi="Arial"/>
          <w:color w:val="333333"/>
          <w:sz w:val="22"/>
          <w:szCs w:val="22"/>
        </w:rPr>
        <w:t xml:space="preserve"> Perhaps the most important structural shift in the AI economy is a change in who pays and what they are replacing. In the first wave of enterprise AI adoption, AI competed against other software — an IT line item evaluated on cost-per-use and integration complexity. That era is ending.</w:t>
      </w:r>
    </w:p>
    <w:p>
      <w:pPr>
        <w:spacing w:after="160"/>
        <w:jc w:val="left"/>
      </w:pPr>
      <w:r>
        <w:rPr>
          <w:rFonts w:ascii="Arial" w:cs="Arial" w:eastAsia="Arial" w:hAnsi="Arial"/>
          <w:color w:val="333333"/>
          <w:sz w:val="22"/>
          <w:szCs w:val="22"/>
        </w:rPr>
        <w:t xml:space="preserve">In the second wave — which is beginning now — AI competes directly against the workforce budget. Instead of buying another software tool, companies are buying the ability to do in hours what previously required a team of analysts, lawyers, engineers, or marketers working for weeks. The budget owner is no longer the CIO alone — it is the CFO, the head of R&amp;D, the General Counsel, the CMO. The purchasing decision is increasingly framed as: what is the headcount equivalent that this AI capability replaces or augments?</w:t>
      </w:r>
    </w:p>
    <w:p>
      <w:pPr>
        <w:spacing w:after="160"/>
        <w:jc w:val="left"/>
      </w:pPr>
      <w:r>
        <w:rPr>
          <w:rFonts w:ascii="Arial" w:cs="Arial" w:eastAsia="Arial" w:hAnsi="Arial"/>
          <w:color w:val="333333"/>
          <w:sz w:val="22"/>
          <w:szCs w:val="22"/>
        </w:rPr>
        <w:t xml:space="preserve">This is a trillion-dollar market. It also clarifies investment priorities. At Renesas, the question is not “what AI tools should IT procure?” The question is “where in the organization does AI deliver the highest leverage against the workforce budget?” The answer is everywhere that employs knowledge workers — and in Phase 1, the US business is the highest-ROI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We are in year 3 of what will likely be a 15-year transformation. The application layer — where Renesas and its customers live — has barely started. The opportunity to build differentiated capability is still wide open. The self-funding model in this report is not just financially prudent — it is strategically optimal. Build what delivers ROI now, prove it works, reinvest, and compound.</w:t>
            </w:r>
          </w:p>
        </w:tc>
      </w:tr>
    </w:tbl>
    <w:p>
      <w:pPr>
        <w:pStyle w:val="Heading2"/>
        <w:spacing w:before="280" w:after="160"/>
      </w:pPr>
      <w:r>
        <w:rPr>
          <w:rFonts w:ascii="Arial" w:cs="Arial" w:eastAsia="Arial" w:hAnsi="Arial"/>
          <w:b/>
          <w:bCs/>
          <w:color w:val="06418C"/>
          <w:sz w:val="28"/>
          <w:szCs w:val="28"/>
        </w:rPr>
        <w:t xml:space="preserve">1.3 The Platform Pivot</w:t>
      </w:r>
    </w:p>
    <w:p>
      <w:pPr>
        <w:spacing w:after="160"/>
        <w:jc w:val="left"/>
      </w:pPr>
      <w:r>
        <w:rPr>
          <w:rFonts w:ascii="Arial" w:cs="Arial" w:eastAsia="Arial" w:hAnsi="Arial"/>
          <w:color w:val="333333"/>
          <w:sz w:val="22"/>
          <w:szCs w:val="22"/>
        </w:rPr>
        <w:t xml:space="preserve">Renesas’s strategic trajectory follows a three-stage evolution that is already underway:</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Stage 1: Semiconductor Company.</w:t>
      </w:r>
      <w:r>
        <w:rPr>
          <w:rFonts w:ascii="Arial" w:cs="Arial" w:eastAsia="Arial" w:hAnsi="Arial"/>
          <w:color w:val="333333"/>
          <w:sz w:val="22"/>
          <w:szCs w:val="22"/>
        </w:rPr>
        <w:t xml:space="preserve"> Chips, specs, price competition. This is where the industry started and where many competitors remain. Value is captured at the component level.</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Stage 2: Solutions Company.</w:t>
      </w:r>
      <w:r>
        <w:rPr>
          <w:rFonts w:ascii="Arial" w:cs="Arial" w:eastAsia="Arial" w:hAnsi="Arial"/>
          <w:color w:val="333333"/>
          <w:sz w:val="22"/>
          <w:szCs w:val="22"/>
        </w:rPr>
        <w:t xml:space="preserve"> Chips plus software plus reference designs. Renesas is actively transitioning here with the Winning Combinations strategy, R-Car platform, and growing software investment.</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Stage 3: Platform Company.</w:t>
      </w:r>
      <w:r>
        <w:rPr>
          <w:rFonts w:ascii="Arial" w:cs="Arial" w:eastAsia="Arial" w:hAnsi="Arial"/>
          <w:color w:val="333333"/>
          <w:sz w:val="22"/>
          <w:szCs w:val="22"/>
        </w:rPr>
        <w:t xml:space="preserve"> Ecosystem, data, AI-native design experience. This is the destination. The Altium acquisition fundamentally changes the equation by adding a global PCB design platform with a large and engaged engineering community.</w:t>
      </w:r>
    </w:p>
    <w:p>
      <w:pPr>
        <w:spacing w:after="80"/>
      </w:pPr>
    </w:p>
    <w:p>
      <w:pPr>
        <w:spacing w:after="160"/>
        <w:jc w:val="left"/>
      </w:pPr>
      <w:r>
        <w:rPr>
          <w:rFonts w:ascii="Arial" w:cs="Arial" w:eastAsia="Arial" w:hAnsi="Arial"/>
          <w:color w:val="333333"/>
          <w:sz w:val="22"/>
          <w:szCs w:val="22"/>
        </w:rPr>
        <w:t xml:space="preserve">The Altium acquisition is not merely a revenue play. It is a platform asset. The question is what Renesas builds on top of it — and how fast. The digital infrastructure created through this transformation is the foundation that makes R365 and the broader platform vision technically possible. That work happens closely and in lockstep with the business. Near-term, the focus is efficiency and cost reduction. The R365 integration vision is the longer horizon.</w:t>
      </w:r>
    </w:p>
    <w:p>
      <w:pPr>
        <w:pStyle w:val="Heading2"/>
        <w:spacing w:before="280" w:after="160"/>
      </w:pPr>
      <w:r>
        <w:rPr>
          <w:rFonts w:ascii="Arial" w:cs="Arial" w:eastAsia="Arial" w:hAnsi="Arial"/>
          <w:b/>
          <w:bCs/>
          <w:color w:val="06418C"/>
          <w:sz w:val="28"/>
          <w:szCs w:val="28"/>
        </w:rPr>
        <w:t xml:space="preserve">1.4 The Competitive Context</w:t>
      </w:r>
    </w:p>
    <w:p>
      <w:pPr>
        <w:spacing w:after="160"/>
        <w:jc w:val="left"/>
      </w:pPr>
      <w:r>
        <w:rPr>
          <w:rFonts w:ascii="Arial" w:cs="Arial" w:eastAsia="Arial" w:hAnsi="Arial"/>
          <w:color w:val="333333"/>
          <w:sz w:val="22"/>
          <w:szCs w:val="22"/>
        </w:rPr>
        <w:t xml:space="preserve">Peer companies are investing aggressively in both AI-enabled products and internal AI transformation. The gap between leaders and laggards is widening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756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AI Investment &amp; Capability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42D5E"/>
                <w:sz w:val="20"/>
                <w:szCs w:val="20"/>
              </w:rPr>
              <w:t xml:space="preserve">NVIDIA</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Internal ChipNeMo LLM trained on 30 years of chip design data. 100% engineer AI adoption. 3x code output with flat bug rates. AI-generated RTL. EDA workflow automation at scale.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42D5E"/>
                <w:sz w:val="20"/>
                <w:szCs w:val="20"/>
              </w:rPr>
              <w:t xml:space="preserve">Siemens EDA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Nine AI copilots across design tools (CES 2026). First industrial foundation model. PLM-EDA convergence through Teamcenter AI. Digital industry platform (Xcelerator).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42D5E"/>
                <w:sz w:val="20"/>
                <w:szCs w:val="20"/>
              </w:rPr>
              <w:t xml:space="preserve">NXP</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333333"/>
                <w:sz w:val="20"/>
                <w:szCs w:val="20"/>
              </w:rPr>
              <w:t xml:space="preserve">$307M Kinara acquisition (Oct 2025, verified SEC filing) for edge NPU capability. Building complete AI systems from TinyML to generative AI.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42D5E"/>
                <w:sz w:val="20"/>
                <w:szCs w:val="20"/>
              </w:rPr>
              <w:t xml:space="preserve">Infineon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333333"/>
                <w:sz w:val="20"/>
                <w:szCs w:val="20"/>
              </w:rPr>
              <w:t xml:space="preserve">GenAI chatbot deployed to all employees. 100+ internal low-code applications. 1,000+ employees upskilled in AI through Singapore hub. Verified through OutSystems case study and HR reports.</w:t>
            </w:r>
          </w:p>
        </w:tc>
      </w:tr>
    </w:tbl>
    <w:p>
      <w:pPr>
        <w:spacing w:after="100"/>
      </w:pPr>
    </w:p>
    <w:p>
      <w:pPr>
        <w:spacing w:after="160"/>
        <w:jc w:val="left"/>
      </w:pPr>
      <w:r>
        <w:rPr>
          <w:rFonts w:ascii="Arial" w:cs="Arial" w:eastAsia="Arial" w:hAnsi="Arial"/>
          <w:color w:val="333333"/>
          <w:sz w:val="22"/>
          <w:szCs w:val="22"/>
        </w:rPr>
        <w:t xml:space="preserve">TI and STMicro are intentionally excluded from this primary comparison. Their internal transformation efforts are less publicly visible, and presenting unverified claims would undermine the credibility of this analysis. Both companies have strong product AI capabilities (TI’s Jacinto/Sitara, STMicro’s STM32N6 with NPU), but their internal digital maturity is rated conservatively based on available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The opportunity is not just about keeping pace. It is about leapfrogging — by building AI-native capability while others are still retrofitting.</w:t>
            </w:r>
          </w:p>
        </w:tc>
      </w:tr>
    </w:tbl>
    <w:p>
      <w:pPr>
        <w:pStyle w:val="Heading2"/>
        <w:spacing w:before="280" w:after="160"/>
      </w:pPr>
      <w:r>
        <w:rPr>
          <w:rFonts w:ascii="Arial" w:cs="Arial" w:eastAsia="Arial" w:hAnsi="Arial"/>
          <w:b/>
          <w:bCs/>
          <w:color w:val="06418C"/>
          <w:sz w:val="28"/>
          <w:szCs w:val="28"/>
        </w:rPr>
        <w:t xml:space="preserve">1.5 Why Now</w:t>
      </w:r>
    </w:p>
    <w:p>
      <w:pPr>
        <w:spacing w:after="160"/>
        <w:jc w:val="left"/>
      </w:pPr>
      <w:r>
        <w:rPr>
          <w:rFonts w:ascii="Arial" w:cs="Arial" w:eastAsia="Arial" w:hAnsi="Arial"/>
          <w:color w:val="333333"/>
          <w:sz w:val="22"/>
          <w:szCs w:val="22"/>
        </w:rPr>
        <w:t xml:space="preserve">Three conditions converge to make this the right moment for Renesas to act:</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Technology maturity.</w:t>
      </w:r>
      <w:r>
        <w:rPr>
          <w:rFonts w:ascii="Arial" w:cs="Arial" w:eastAsia="Arial" w:hAnsi="Arial"/>
          <w:color w:val="333333"/>
          <w:sz w:val="22"/>
          <w:szCs w:val="22"/>
        </w:rPr>
        <w:t xml:space="preserve"> Foundation models, data platforms, and EDA AI tools are production-ready for the first time. The industry has moved past the experimentation phase. Cadence Cerebrus has completed 1,000+ production tape-outs. Databricks and Snowflake offer enterprise-grade unified data platforms. LLMs from Anthropic, OpenAI, and Google have reached the capability threshold for complex engineering tasks. Renesas does not need to build from scratch — it integrates world-class capability.</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Organizational readiness.</w:t>
      </w:r>
      <w:r>
        <w:rPr>
          <w:rFonts w:ascii="Arial" w:cs="Arial" w:eastAsia="Arial" w:hAnsi="Arial"/>
          <w:color w:val="333333"/>
          <w:sz w:val="22"/>
          <w:szCs w:val="22"/>
        </w:rPr>
        <w:t xml:space="preserve"> The Altium acquisition, US expansion, and ELT alignment create a coalition for change that did not exist two years ago. The critical mass of decision-makers who can champion and execute the transformation is concentrated in the US, with the motivation and mandate to move.</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Self-funding model.</w:t>
      </w:r>
      <w:r>
        <w:rPr>
          <w:rFonts w:ascii="Arial" w:cs="Arial" w:eastAsia="Arial" w:hAnsi="Arial"/>
          <w:color w:val="333333"/>
          <w:sz w:val="22"/>
          <w:szCs w:val="22"/>
        </w:rPr>
        <w:t xml:space="preserve"> Early efficiency gains directly fund the next phase. This is not a blank-check ask. The model is: show results, reduce costs, reinvest. Every dollar saved in Phase 1 is a dollar available for Phase 2 ambition. That financial logic is the backbone of the entire sequencing strategy.</w:t>
      </w:r>
    </w:p>
    <w:p>
      <w:r>
        <w:br w:type="page"/>
      </w:r>
    </w:p>
    <w:p>
      <w:pPr>
        <w:pStyle w:val="Heading1"/>
        <w:spacing w:before="360" w:after="200"/>
      </w:pPr>
      <w:r>
        <w:rPr>
          <w:rFonts w:ascii="Arial" w:cs="Arial" w:eastAsia="Arial" w:hAnsi="Arial"/>
          <w:b/>
          <w:bCs/>
          <w:color w:val="042D5E"/>
          <w:sz w:val="36"/>
          <w:szCs w:val="36"/>
        </w:rPr>
        <w:t xml:space="preserve">2. The Vision</w:t>
      </w:r>
    </w:p>
    <w:p>
      <w:pPr>
        <w:pStyle w:val="Heading2"/>
        <w:spacing w:before="280" w:after="160"/>
      </w:pPr>
      <w:r>
        <w:rPr>
          <w:rFonts w:ascii="Arial" w:cs="Arial" w:eastAsia="Arial" w:hAnsi="Arial"/>
          <w:b/>
          <w:bCs/>
          <w:color w:val="06418C"/>
          <w:sz w:val="28"/>
          <w:szCs w:val="28"/>
        </w:rPr>
        <w:t xml:space="preserve">2.1 The Scope of Transformation</w:t>
      </w:r>
    </w:p>
    <w:p>
      <w:pPr>
        <w:spacing w:after="160"/>
        <w:jc w:val="left"/>
      </w:pPr>
      <w:r>
        <w:rPr>
          <w:rFonts w:ascii="Arial" w:cs="Arial" w:eastAsia="Arial" w:hAnsi="Arial"/>
          <w:color w:val="333333"/>
          <w:sz w:val="22"/>
          <w:szCs w:val="22"/>
        </w:rPr>
        <w:t xml:space="preserve">The transformation spans five interconnected areas, each representing a fundamental shift in how Renesas operates: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Enterprise Data Platform.</w:t>
      </w:r>
      <w:r>
        <w:rPr>
          <w:rFonts w:ascii="Arial" w:cs="Arial" w:eastAsia="Arial" w:hAnsi="Arial"/>
          <w:color w:val="333333"/>
          <w:sz w:val="22"/>
          <w:szCs w:val="22"/>
        </w:rPr>
        <w:t xml:space="preserve"> Data becomes a strategic asset, not a byproduct of operations. A unified lakehouse architecture replaces the fragmented post-acquisition data landscape.</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AI Enablement.</w:t>
      </w:r>
      <w:r>
        <w:rPr>
          <w:rFonts w:ascii="Arial" w:cs="Arial" w:eastAsia="Arial" w:hAnsi="Arial"/>
          <w:color w:val="333333"/>
          <w:sz w:val="22"/>
          <w:szCs w:val="22"/>
        </w:rPr>
        <w:t xml:space="preserve"> AI moves from experiment to enterprise capability across every function. Not a single team’s mandate — a company-wide operating shift.</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Digital Engineering Environment.</w:t>
      </w:r>
      <w:r>
        <w:rPr>
          <w:rFonts w:ascii="Arial" w:cs="Arial" w:eastAsia="Arial" w:hAnsi="Arial"/>
          <w:color w:val="333333"/>
          <w:sz w:val="22"/>
          <w:szCs w:val="22"/>
        </w:rPr>
        <w:t xml:space="preserve"> Product development is accelerated end-to-end through AI-assisted design, intelligent IP reuse, and simulation acceleration.</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Enterprise Automation.</w:t>
      </w:r>
      <w:r>
        <w:rPr>
          <w:rFonts w:ascii="Arial" w:cs="Arial" w:eastAsia="Arial" w:hAnsi="Arial"/>
          <w:color w:val="333333"/>
          <w:sz w:val="22"/>
          <w:szCs w:val="22"/>
        </w:rPr>
        <w:t xml:space="preserve"> Manual drag is eliminated across finance, legal, HR, supply chain, and operations. Capacity is freed for higher-value work.</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Cybersecurity and Infrastructure Resilience.</w:t>
      </w:r>
      <w:r>
        <w:rPr>
          <w:rFonts w:ascii="Arial" w:cs="Arial" w:eastAsia="Arial" w:hAnsi="Arial"/>
          <w:color w:val="333333"/>
          <w:sz w:val="22"/>
          <w:szCs w:val="22"/>
        </w:rPr>
        <w:t xml:space="preserve"> The backbone is protected. As AI expands the attack surface, security architecture evolves in lockstep.</w:t>
      </w:r>
    </w:p>
    <w:p>
      <w:pPr>
        <w:spacing w:after="80"/>
      </w:pPr>
    </w:p>
    <w:p>
      <w:pPr>
        <w:spacing w:after="160"/>
        <w:jc w:val="left"/>
      </w:pPr>
      <w:r>
        <w:rPr>
          <w:rFonts w:ascii="Arial" w:cs="Arial" w:eastAsia="Arial" w:hAnsi="Arial"/>
          <w:color w:val="333333"/>
          <w:sz w:val="22"/>
          <w:szCs w:val="22"/>
        </w:rPr>
        <w:t xml:space="preserve">The scope is deliberate. This is not a single-function digitization effort. It is a redesign of the operating model. The sequencing — which areas move first, which capabilities build on which foundations — is covered in the phasing strategy.</w:t>
      </w:r>
    </w:p>
    <w:p>
      <w:pPr>
        <w:pStyle w:val="Heading2"/>
        <w:spacing w:before="280" w:after="160"/>
      </w:pPr>
      <w:r>
        <w:rPr>
          <w:rFonts w:ascii="Arial" w:cs="Arial" w:eastAsia="Arial" w:hAnsi="Arial"/>
          <w:b/>
          <w:bCs/>
          <w:color w:val="06418C"/>
          <w:sz w:val="28"/>
          <w:szCs w:val="28"/>
        </w:rPr>
        <w:t xml:space="preserve">2.2 What AI-Native Actually Means</w:t>
      </w:r>
    </w:p>
    <w:p>
      <w:pPr>
        <w:spacing w:after="160"/>
        <w:jc w:val="left"/>
      </w:pPr>
      <w:r>
        <w:rPr>
          <w:rFonts w:ascii="Arial" w:cs="Arial" w:eastAsia="Arial" w:hAnsi="Arial"/>
          <w:color w:val="333333"/>
          <w:sz w:val="22"/>
          <w:szCs w:val="22"/>
        </w:rPr>
        <w:t xml:space="preserve">"AI-native" is not a technology choice. It is an operating model. The distinction matters because it determines how success is measured and how the organization adapts.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What an AI-native Renesas looks like:</w:t>
      </w:r>
      <w:r>
        <w:rPr>
          <w:rFonts w:ascii="Arial" w:cs="Arial" w:eastAsia="Arial" w:hAnsi="Arial"/>
          <w:color w:val="333333"/>
          <w:sz w:val="22"/>
          <w:szCs w:val="22"/>
        </w:rPr>
        <w:t xml:space="preserve"/>
      </w:r>
    </w:p>
    <w:p>
      <w:pPr>
        <w:pStyle w:val="ListParagraph"/>
        <w:numPr>
          <w:ilvl w:val="0"/>
          <w:numId w:val="2"/>
        </w:numPr>
        <w:spacing w:after="80"/>
      </w:pPr>
      <w:r>
        <w:rPr>
          <w:rFonts w:ascii="Arial" w:cs="Arial" w:eastAsia="Arial" w:hAnsi="Arial"/>
          <w:color w:val="333333"/>
          <w:sz w:val="22"/>
          <w:szCs w:val="22"/>
        </w:rPr>
        <w:t xml:space="preserve">Decisions informed by real-time data, not last month’s report</w:t>
      </w:r>
    </w:p>
    <w:p>
      <w:pPr>
        <w:pStyle w:val="ListParagraph"/>
        <w:numPr>
          <w:ilvl w:val="0"/>
          <w:numId w:val="2"/>
        </w:numPr>
        <w:spacing w:after="80"/>
      </w:pPr>
      <w:r>
        <w:rPr>
          <w:rFonts w:ascii="Arial" w:cs="Arial" w:eastAsia="Arial" w:hAnsi="Arial"/>
          <w:color w:val="333333"/>
          <w:sz w:val="22"/>
          <w:szCs w:val="22"/>
        </w:rPr>
        <w:t xml:space="preserve">Engineers spending time on design, not documentation</w:t>
      </w:r>
    </w:p>
    <w:p>
      <w:pPr>
        <w:pStyle w:val="ListParagraph"/>
        <w:numPr>
          <w:ilvl w:val="0"/>
          <w:numId w:val="2"/>
        </w:numPr>
        <w:spacing w:after="80"/>
      </w:pPr>
      <w:r>
        <w:rPr>
          <w:rFonts w:ascii="Arial" w:cs="Arial" w:eastAsia="Arial" w:hAnsi="Arial"/>
          <w:color w:val="333333"/>
          <w:sz w:val="22"/>
          <w:szCs w:val="22"/>
        </w:rPr>
        <w:t xml:space="preserve">Products developed with AI in the loop from day one</w:t>
      </w:r>
    </w:p>
    <w:p>
      <w:pPr>
        <w:pStyle w:val="ListParagraph"/>
        <w:numPr>
          <w:ilvl w:val="0"/>
          <w:numId w:val="2"/>
        </w:numPr>
        <w:spacing w:after="80"/>
      </w:pPr>
      <w:r>
        <w:rPr>
          <w:rFonts w:ascii="Arial" w:cs="Arial" w:eastAsia="Arial" w:hAnsi="Arial"/>
          <w:color w:val="333333"/>
          <w:sz w:val="22"/>
          <w:szCs w:val="22"/>
        </w:rPr>
        <w:t xml:space="preserve">Organizational knowledge that does not walk out the door when someone retires</w:t>
      </w:r>
    </w:p>
    <w:p>
      <w:pPr>
        <w:pStyle w:val="ListParagraph"/>
        <w:numPr>
          <w:ilvl w:val="0"/>
          <w:numId w:val="2"/>
        </w:numPr>
        <w:spacing w:after="80"/>
      </w:pPr>
      <w:r>
        <w:rPr>
          <w:rFonts w:ascii="Arial" w:cs="Arial" w:eastAsia="Arial" w:hAnsi="Arial"/>
          <w:color w:val="333333"/>
          <w:sz w:val="22"/>
          <w:szCs w:val="22"/>
        </w:rPr>
        <w:t xml:space="preserve">Every function — from finance to R&amp;D — augmented by AI that understands the Renesas context</w:t>
      </w:r>
    </w:p>
    <w:p>
      <w:pPr>
        <w:spacing w:after="80"/>
      </w:pP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What it requires:</w:t>
      </w:r>
      <w:r>
        <w:rPr>
          <w:rFonts w:ascii="Arial" w:cs="Arial" w:eastAsia="Arial" w:hAnsi="Arial"/>
          <w:color w:val="333333"/>
          <w:sz w:val="22"/>
          <w:szCs w:val="22"/>
        </w:rPr>
        <w:t xml:space="preserve"/>
      </w:r>
    </w:p>
    <w:p>
      <w:pPr>
        <w:pStyle w:val="ListParagraph"/>
        <w:numPr>
          <w:ilvl w:val="0"/>
          <w:numId w:val="2"/>
        </w:numPr>
        <w:spacing w:after="80"/>
      </w:pPr>
      <w:r>
        <w:rPr>
          <w:rFonts w:ascii="Arial" w:cs="Arial" w:eastAsia="Arial" w:hAnsi="Arial"/>
          <w:color w:val="333333"/>
          <w:sz w:val="22"/>
          <w:szCs w:val="22"/>
        </w:rPr>
        <w:t xml:space="preserve">A unified data foundation — not silos</w:t>
      </w:r>
    </w:p>
    <w:p>
      <w:pPr>
        <w:pStyle w:val="ListParagraph"/>
        <w:numPr>
          <w:ilvl w:val="0"/>
          <w:numId w:val="2"/>
        </w:numPr>
        <w:spacing w:after="80"/>
      </w:pPr>
      <w:r>
        <w:rPr>
          <w:rFonts w:ascii="Arial" w:cs="Arial" w:eastAsia="Arial" w:hAnsi="Arial"/>
          <w:color w:val="333333"/>
          <w:sz w:val="22"/>
          <w:szCs w:val="22"/>
        </w:rPr>
        <w:t xml:space="preserve">AI tools trained on Renesas data, not generic answers</w:t>
      </w:r>
    </w:p>
    <w:p>
      <w:pPr>
        <w:pStyle w:val="ListParagraph"/>
        <w:numPr>
          <w:ilvl w:val="0"/>
          <w:numId w:val="2"/>
        </w:numPr>
        <w:spacing w:after="80"/>
      </w:pPr>
      <w:r>
        <w:rPr>
          <w:rFonts w:ascii="Arial" w:cs="Arial" w:eastAsia="Arial" w:hAnsi="Arial"/>
          <w:color w:val="333333"/>
          <w:sz w:val="22"/>
          <w:szCs w:val="22"/>
        </w:rPr>
        <w:t xml:space="preserve">Adoption driven by value, not mandate</w:t>
      </w:r>
    </w:p>
    <w:p>
      <w:pPr>
        <w:pStyle w:val="ListParagraph"/>
        <w:numPr>
          <w:ilvl w:val="0"/>
          <w:numId w:val="2"/>
        </w:numPr>
        <w:spacing w:after="80"/>
      </w:pPr>
      <w:r>
        <w:rPr>
          <w:rFonts w:ascii="Arial" w:cs="Arial" w:eastAsia="Arial" w:hAnsi="Arial"/>
          <w:color w:val="333333"/>
          <w:sz w:val="22"/>
          <w:szCs w:val="22"/>
        </w:rPr>
        <w:t xml:space="preserve">A workforce that grows with the technology, not despite it</w:t>
      </w:r>
    </w:p>
    <w:p>
      <w:pPr>
        <w:pStyle w:val="ListParagraph"/>
        <w:numPr>
          <w:ilvl w:val="0"/>
          <w:numId w:val="2"/>
        </w:numPr>
        <w:spacing w:after="80"/>
      </w:pPr>
      <w:r>
        <w:rPr>
          <w:rFonts w:ascii="Arial" w:cs="Arial" w:eastAsia="Arial" w:hAnsi="Arial"/>
          <w:color w:val="333333"/>
          <w:sz w:val="22"/>
          <w:szCs w:val="22"/>
        </w:rPr>
        <w:t xml:space="preserve">Leadership that sponsors and models the change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An AI-native company does not just use AI. It thinks with AI. The technology is the enabler. The people are the transformation.</w:t>
            </w:r>
          </w:p>
        </w:tc>
      </w:tr>
    </w:tbl>
    <w:p>
      <w:pPr>
        <w:pStyle w:val="Heading2"/>
        <w:spacing w:before="280" w:after="160"/>
      </w:pPr>
      <w:r>
        <w:rPr>
          <w:rFonts w:ascii="Arial" w:cs="Arial" w:eastAsia="Arial" w:hAnsi="Arial"/>
          <w:b/>
          <w:bCs/>
          <w:color w:val="06418C"/>
          <w:sz w:val="28"/>
          <w:szCs w:val="28"/>
        </w:rPr>
        <w:t xml:space="preserve">2.3 The US as Transformation Hub</w:t>
      </w:r>
    </w:p>
    <w:p>
      <w:pPr>
        <w:spacing w:after="160"/>
        <w:jc w:val="left"/>
      </w:pPr>
      <w:r>
        <w:rPr>
          <w:rFonts w:ascii="Arial" w:cs="Arial" w:eastAsia="Arial" w:hAnsi="Arial"/>
          <w:color w:val="333333"/>
          <w:sz w:val="22"/>
          <w:szCs w:val="22"/>
        </w:rPr>
        <w:t xml:space="preserve">The strategic case for US-based execution rests on four arguments: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Largest cost opportunity.</w:t>
      </w:r>
      <w:r>
        <w:rPr>
          <w:rFonts w:ascii="Arial" w:cs="Arial" w:eastAsia="Arial" w:hAnsi="Arial"/>
          <w:color w:val="333333"/>
          <w:sz w:val="22"/>
          <w:szCs w:val="22"/>
        </w:rPr>
        <w:t xml:space="preserve"> Fixed personnel cost is highest in the US. AI augmentation delivers the highest ROI per dollar here first. This is not an argument about capability — it is an argument about economics. A $150K employee augmented by AI to deliver 30% more output represents a $45K value creation per person. At scale across US operations, the math is compelling.</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Supplier and thought leadership ecosystem.</w:t>
      </w:r>
      <w:r>
        <w:rPr>
          <w:rFonts w:ascii="Arial" w:cs="Arial" w:eastAsia="Arial" w:hAnsi="Arial"/>
          <w:color w:val="333333"/>
          <w:sz w:val="22"/>
          <w:szCs w:val="22"/>
        </w:rPr>
        <w:t xml:space="preserve"> The companies building the best AI — in models (Anthropic, OpenAI, Google), data platforms (Databricks, Snowflake), EDA (Cadence, Synopsys), and enterprise tools — are in Silicon Valley, Seattle, and Austin. Proximity matters for speed, depth of partnership, and early access to capability.</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ELT critical mass.</w:t>
      </w:r>
      <w:r>
        <w:rPr>
          <w:rFonts w:ascii="Arial" w:cs="Arial" w:eastAsia="Arial" w:hAnsi="Arial"/>
          <w:color w:val="333333"/>
          <w:sz w:val="22"/>
          <w:szCs w:val="22"/>
        </w:rPr>
        <w:t xml:space="preserve"> Altium, Sales, UX, and Digital leadership is US-based. The coalition of willing executives who can champion and execute the transformation is here. That concentration enables faster decision-making and more cohesive execution.</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The export model.</w:t>
      </w:r>
      <w:r>
        <w:rPr>
          <w:rFonts w:ascii="Arial" w:cs="Arial" w:eastAsia="Arial" w:hAnsi="Arial"/>
          <w:color w:val="333333"/>
          <w:sz w:val="22"/>
          <w:szCs w:val="22"/>
        </w:rPr>
        <w:t xml:space="preserve"> Build the playbook in the US. Prove it works with measured results. Export to Japan with evidence, not theory. Japan’s organizational culture moves on evidence. The fastest path to Japan adoption is US proof points.</w:t>
      </w:r>
    </w:p>
    <w:p>
      <w:pPr>
        <w:pStyle w:val="Heading2"/>
        <w:spacing w:before="280" w:after="160"/>
      </w:pPr>
      <w:r>
        <w:rPr>
          <w:rFonts w:ascii="Arial" w:cs="Arial" w:eastAsia="Arial" w:hAnsi="Arial"/>
          <w:b/>
          <w:bCs/>
          <w:color w:val="06418C"/>
          <w:sz w:val="28"/>
          <w:szCs w:val="28"/>
        </w:rPr>
        <w:t xml:space="preserve">2.4 Bringing Best-of-World to Japan</w:t>
      </w:r>
    </w:p>
    <w:p>
      <w:pPr>
        <w:spacing w:after="160"/>
        <w:jc w:val="left"/>
      </w:pPr>
      <w:r>
        <w:rPr>
          <w:rFonts w:ascii="Arial" w:cs="Arial" w:eastAsia="Arial" w:hAnsi="Arial"/>
          <w:color w:val="333333"/>
          <w:sz w:val="22"/>
          <w:szCs w:val="22"/>
        </w:rPr>
        <w:t xml:space="preserve">Japan’s engineering culture is not a barrier to AI adoption — it is an accelerant. The strengths Japan already possesses are precisely the strengths AI amplifies: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Precision engineering</w:t>
      </w:r>
      <w:r>
        <w:rPr>
          <w:rFonts w:ascii="Arial" w:cs="Arial" w:eastAsia="Arial" w:hAnsi="Arial"/>
          <w:color w:val="333333"/>
          <w:sz w:val="22"/>
          <w:szCs w:val="22"/>
        </w:rPr>
        <w:t xml:space="preserve"> is supercharged by AI-driven process rigor. AI does not replace precision — it scales it.</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Quality mindset</w:t>
      </w:r>
      <w:r>
        <w:rPr>
          <w:rFonts w:ascii="Arial" w:cs="Arial" w:eastAsia="Arial" w:hAnsi="Arial"/>
          <w:color w:val="333333"/>
          <w:sz w:val="22"/>
          <w:szCs w:val="22"/>
        </w:rPr>
        <w:t xml:space="preserve"> becomes a competitive advantage when AI enables traceability at every level. The commitment to zero defects becomes technically achievable.</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Process discipline</w:t>
      </w:r>
      <w:r>
        <w:rPr>
          <w:rFonts w:ascii="Arial" w:cs="Arial" w:eastAsia="Arial" w:hAnsi="Arial"/>
          <w:color w:val="333333"/>
          <w:sz w:val="22"/>
          <w:szCs w:val="22"/>
        </w:rPr>
        <w:t xml:space="preserve"> creates the structured data that AI requires. Japan’s documentation culture, often seen as overhead, becomes the training data for the most powerful AI models.</w:t>
      </w:r>
    </w:p>
    <w:p>
      <w:pPr>
        <w:spacing w:after="80"/>
      </w:pPr>
    </w:p>
    <w:p>
      <w:pPr>
        <w:spacing w:after="160"/>
        <w:jc w:val="left"/>
      </w:pPr>
      <w:r>
        <w:rPr>
          <w:rFonts w:ascii="Arial" w:cs="Arial" w:eastAsia="Arial" w:hAnsi="Arial"/>
          <w:color w:val="333333"/>
          <w:sz w:val="22"/>
          <w:szCs w:val="22"/>
        </w:rPr>
        <w:t xml:space="preserve">The approach is not to replicate Silicon Valley in Tokyo. It is to take the best of the world’s AI capability, adapt it for the Renesas context, and deploy it where Japan’s existing strengths create unique advantages. AI is what Japan’s engineering culture has been waiting for — it makes the disciplines Japan already excels at faster, more precise, and more scalable.</w:t>
      </w:r>
    </w:p>
    <w:p>
      <w:pPr>
        <w:pStyle w:val="Heading2"/>
        <w:spacing w:before="280" w:after="160"/>
      </w:pPr>
      <w:r>
        <w:rPr>
          <w:rFonts w:ascii="Arial" w:cs="Arial" w:eastAsia="Arial" w:hAnsi="Arial"/>
          <w:b/>
          <w:bCs/>
          <w:color w:val="06418C"/>
          <w:sz w:val="28"/>
          <w:szCs w:val="28"/>
        </w:rPr>
        <w:t xml:space="preserve">2.5 The Strategic Outcome</w:t>
      </w:r>
    </w:p>
    <w:p>
      <w:pPr>
        <w:spacing w:after="160"/>
        <w:jc w:val="left"/>
      </w:pPr>
      <w:r>
        <w:rPr>
          <w:rFonts w:ascii="Arial" w:cs="Arial" w:eastAsia="Arial" w:hAnsi="Arial"/>
          <w:color w:val="333333"/>
          <w:sz w:val="22"/>
          <w:szCs w:val="22"/>
        </w:rPr>
        <w:t xml:space="preserve">When this transformation works, the impact compounds across the entire business: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Faster R&amp;D cycles</w:t>
      </w:r>
      <w:r>
        <w:rPr>
          <w:rFonts w:ascii="Arial" w:cs="Arial" w:eastAsia="Arial" w:hAnsi="Arial"/>
          <w:color w:val="333333"/>
          <w:sz w:val="22"/>
          <w:szCs w:val="22"/>
        </w:rPr>
        <w:t xml:space="preserve"> — products get to market sooner, capturing design-in windows competitors miss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Higher engineering throughput</w:t>
      </w:r>
      <w:r>
        <w:rPr>
          <w:rFonts w:ascii="Arial" w:cs="Arial" w:eastAsia="Arial" w:hAnsi="Arial"/>
          <w:color w:val="333333"/>
          <w:sz w:val="22"/>
          <w:szCs w:val="22"/>
        </w:rPr>
        <w:t xml:space="preserve"> — more accomplished with the same or fewer resources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Lower operating cost</w:t>
      </w:r>
      <w:r>
        <w:rPr>
          <w:rFonts w:ascii="Arial" w:cs="Arial" w:eastAsia="Arial" w:hAnsi="Arial"/>
          <w:color w:val="333333"/>
          <w:sz w:val="22"/>
          <w:szCs w:val="22"/>
        </w:rPr>
        <w:t xml:space="preserve"> — self-funding transformation that pays for itself</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Stronger digital capabilities</w:t>
      </w:r>
      <w:r>
        <w:rPr>
          <w:rFonts w:ascii="Arial" w:cs="Arial" w:eastAsia="Arial" w:hAnsi="Arial"/>
          <w:color w:val="333333"/>
          <w:sz w:val="22"/>
          <w:szCs w:val="22"/>
        </w:rPr>
        <w:t xml:space="preserve"> — platform credibility with customers and partners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Competitive moat that compounds over time</w:t>
      </w:r>
      <w:r>
        <w:rPr>
          <w:rFonts w:ascii="Arial" w:cs="Arial" w:eastAsia="Arial" w:hAnsi="Arial"/>
          <w:color w:val="333333"/>
          <w:sz w:val="22"/>
          <w:szCs w:val="22"/>
        </w:rPr>
        <w:t xml:space="preserve"> — each year of AI-native operation builds advantages that late entrants cannot easily replicate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This changes how Renesas competes. Every phase, every use case, every technology investment rolls up to these outcomes.</w:t>
            </w:r>
          </w:p>
        </w:tc>
      </w:tr>
    </w:tbl>
    <w:p>
      <w:r>
        <w:br w:type="page"/>
      </w:r>
    </w:p>
    <w:p>
      <w:pPr>
        <w:pStyle w:val="Heading1"/>
        <w:spacing w:before="360" w:after="200"/>
      </w:pPr>
      <w:r>
        <w:rPr>
          <w:rFonts w:ascii="Arial" w:cs="Arial" w:eastAsia="Arial" w:hAnsi="Arial"/>
          <w:b/>
          <w:bCs/>
          <w:color w:val="042D5E"/>
          <w:sz w:val="36"/>
          <w:szCs w:val="36"/>
        </w:rPr>
        <w:t xml:space="preserve">3. Three Phases: Earn, Scale, Architect</w:t>
      </w:r>
    </w:p>
    <w:p>
      <w:pPr>
        <w:pStyle w:val="Heading2"/>
        <w:spacing w:before="280" w:after="160"/>
      </w:pPr>
      <w:r>
        <w:rPr>
          <w:rFonts w:ascii="Arial" w:cs="Arial" w:eastAsia="Arial" w:hAnsi="Arial"/>
          <w:b/>
          <w:bCs/>
          <w:color w:val="06418C"/>
          <w:sz w:val="28"/>
          <w:szCs w:val="28"/>
        </w:rPr>
        <w:t xml:space="preserve">3.1 The Phasing Model</w:t>
      </w:r>
    </w:p>
    <w:p>
      <w:pPr>
        <w:spacing w:after="160"/>
        <w:jc w:val="left"/>
      </w:pPr>
      <w:r>
        <w:rPr>
          <w:rFonts w:ascii="Arial" w:cs="Arial" w:eastAsia="Arial" w:hAnsi="Arial"/>
          <w:color w:val="333333"/>
          <w:sz w:val="22"/>
          <w:szCs w:val="22"/>
        </w:rPr>
        <w:t xml:space="preserve">The transformation is organized into three overlapping phases, each 18 months in duration. Phase 2 starts at month 9 (mid-Phase 1). Phase 3 starts at month 18 (mid-Phase 2). By month 18, all three phases are in motion simultaneously. This is deliberate — momentum compounds.</w:t>
      </w:r>
    </w:p>
    <w:p>
      <w:pPr>
        <w:spacing w:after="160"/>
        <w:jc w:val="left"/>
      </w:pPr>
      <w:r>
        <w:rPr>
          <w:rFonts w:ascii="Arial" w:cs="Arial" w:eastAsia="Arial" w:hAnsi="Arial"/>
          <w:color w:val="333333"/>
          <w:sz w:val="22"/>
          <w:szCs w:val="22"/>
        </w:rPr>
        <w:t xml:space="preserve">The overlapping structure serves two purposes. First, it prevents the "big bang" fallacy where organizations try to complete one phase entirely before starting the next. Second, it creates a natural acceleration: each phase builds on the infrastructure and organizational momentum of the previous one, so time-to-value shrinks with each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40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36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Key Metric</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Phase 1: Prove It</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Months 0–18</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Data foundation, automation, quick wins</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Cost reduction, adoption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Phase 2: Scale 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Months 9–27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R&amp;D acceleration, operational 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Engineering throughput, time-to-market</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Phase 3: Architect It</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Months 18–36</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Company redesign, workforce of the future</w:t>
            </w:r>
          </w:p>
        </w:tc>
        <w:tc>
          <w:tcPr>
            <w:tcW w:type="dxa" w:w="2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Org structure, platform economics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Self-funding: cost reductions in each phase directly fund the next. This transformation is not asking for unlimited budget. It is asking to prove what is possible — and reinvest what it saves.</w:t>
            </w:r>
          </w:p>
        </w:tc>
      </w:tr>
    </w:tbl>
    <w:p>
      <w:pPr>
        <w:pStyle w:val="Heading2"/>
        <w:spacing w:before="280" w:after="160"/>
      </w:pPr>
      <w:r>
        <w:rPr>
          <w:rFonts w:ascii="Arial" w:cs="Arial" w:eastAsia="Arial" w:hAnsi="Arial"/>
          <w:b/>
          <w:bCs/>
          <w:color w:val="06418C"/>
          <w:sz w:val="28"/>
          <w:szCs w:val="28"/>
        </w:rPr>
        <w:t xml:space="preserve">3.2 Phase 1: Prove It (Months 0–18)</w:t>
      </w:r>
    </w:p>
    <w:p>
      <w:pPr>
        <w:spacing w:after="160"/>
        <w:jc w:val="left"/>
      </w:pPr>
      <w:r>
        <w:rPr>
          <w:rFonts w:ascii="Arial" w:cs="Arial" w:eastAsia="Arial" w:hAnsi="Arial"/>
          <w:color w:val="333333"/>
          <w:sz w:val="22"/>
          <w:szCs w:val="22"/>
        </w:rPr>
        <w:t xml:space="preserve">Phase 1 has three simultaneous objectives: build the data foundation, deliver measurable quick wins, and begin changing how people work.</w:t>
      </w:r>
    </w:p>
    <w:p>
      <w:pPr>
        <w:pStyle w:val="Heading3"/>
        <w:spacing w:before="200" w:after="120"/>
      </w:pPr>
      <w:r>
        <w:rPr>
          <w:rFonts w:ascii="Arial" w:cs="Arial" w:eastAsia="Arial" w:hAnsi="Arial"/>
          <w:b/>
          <w:bCs/>
          <w:color w:val="4471A9"/>
          <w:sz w:val="24"/>
          <w:szCs w:val="24"/>
        </w:rPr>
        <w:t xml:space="preserve">Data Foundation</w:t>
      </w:r>
    </w:p>
    <w:p>
      <w:pPr>
        <w:spacing w:after="160"/>
        <w:jc w:val="left"/>
      </w:pPr>
      <w:r>
        <w:rPr>
          <w:rFonts w:ascii="Arial" w:cs="Arial" w:eastAsia="Arial" w:hAnsi="Arial"/>
          <w:color w:val="333333"/>
          <w:sz w:val="22"/>
          <w:szCs w:val="22"/>
        </w:rPr>
        <w:t xml:space="preserve">The single most important investment in Phase 1 is the unified data lakehouse. Renesas operates with post-acquisition data sprawl across Intersil, IDT, Dialog, Celeno, and Altium — multiple ERP instances, PLM systems, data formats, and naming conventions. Without a clean, governed, unified data layer, nothing else scales. The data platform is not one initiative among many — it is the prerequisite.</w:t>
      </w:r>
    </w:p>
    <w:p>
      <w:pPr>
        <w:spacing w:after="160"/>
        <w:jc w:val="left"/>
      </w:pPr>
      <w:r>
        <w:rPr>
          <w:rFonts w:ascii="Arial" w:cs="Arial" w:eastAsia="Arial" w:hAnsi="Arial"/>
          <w:color w:val="333333"/>
          <w:sz w:val="22"/>
          <w:szCs w:val="22"/>
        </w:rPr>
        <w:t xml:space="preserve">The architecture follows a medallion pattern: Bronze (raw ingestion), Silver (normalized, governed), and Gold (AI-ready feature stores). Data flows from source systems (ERP, PLM, CRM, manufacturing, HR) into a single platform with unified governance. The evaluation for the platform vendor is in progress, with the leading candidate offering unified data + AI/ML + governance in a single platform.</w:t>
      </w:r>
    </w:p>
    <w:p>
      <w:pPr>
        <w:pStyle w:val="Heading3"/>
        <w:spacing w:before="200" w:after="120"/>
      </w:pPr>
      <w:r>
        <w:rPr>
          <w:rFonts w:ascii="Arial" w:cs="Arial" w:eastAsia="Arial" w:hAnsi="Arial"/>
          <w:b/>
          <w:bCs/>
          <w:color w:val="4471A9"/>
          <w:sz w:val="24"/>
          <w:szCs w:val="24"/>
        </w:rPr>
        <w:t xml:space="preserve">Enterprise Automation Quick Wins</w:t>
      </w:r>
    </w:p>
    <w:p>
      <w:pPr>
        <w:spacing w:after="160"/>
        <w:jc w:val="left"/>
      </w:pPr>
      <w:r>
        <w:rPr>
          <w:rFonts w:ascii="Arial" w:cs="Arial" w:eastAsia="Arial" w:hAnsi="Arial"/>
          <w:color w:val="333333"/>
          <w:sz w:val="22"/>
          <w:szCs w:val="22"/>
        </w:rPr>
        <w:t xml:space="preserve">Phase 1 targets six departments with concrete, measurable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c>
          <w:tcPr>
            <w:tcW w:type="dxa" w:w="160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436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What We Deploy</w:t>
            </w:r>
          </w:p>
        </w:tc>
        <w:tc>
          <w:tcPr>
            <w:tcW w:type="dxa" w:w="340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Projected Impact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Finance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Automated variance reporting + FP&amp;A narrative generation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40–60% reduction in manual close prep time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Legal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Contract review AI (NDA, supplier agreements)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70% faster first-pass review</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HR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Job description generation, candidate screening AI</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Faster hiring cycle, reduced agency cost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Engineering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AI-assisted documentation + spec extraction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Less manual writeup, more engineering time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Supply Chain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Demand forecasting + disruption signal detection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Better inventory decisions, fewer surprises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Communications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Knowledge retrieval system (RAG-based)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Institutional knowledge accessible on-demand</w:t>
            </w:r>
          </w:p>
        </w:tc>
      </w:tr>
    </w:tbl>
    <w:p>
      <w:pPr>
        <w:spacing w:after="80"/>
      </w:pPr>
    </w:p>
    <w:p>
      <w:pPr>
        <w:spacing w:after="160"/>
        <w:jc w:val="left"/>
      </w:pPr>
      <w:r>
        <w:rPr>
          <w:rFonts w:ascii="Arial" w:cs="Arial" w:eastAsia="Arial" w:hAnsi="Arial"/>
          <w:color w:val="333333"/>
          <w:sz w:val="22"/>
          <w:szCs w:val="22"/>
        </w:rPr>
        <w:t xml:space="preserve">These are production deployments with measurable ROI — not experiments. Each one has a named business owner, a deployment plan, and success metrics defined before work begins. The finance use case is typically the fastest win because the data is structured and the pain is obvious. Engineering is the strategic one — it builds momentum for Phase 2 R&amp;D acceleration.</w:t>
      </w:r>
    </w:p>
    <w:p>
      <w:pPr>
        <w:pStyle w:val="Heading3"/>
        <w:spacing w:before="200" w:after="120"/>
      </w:pPr>
      <w:r>
        <w:rPr>
          <w:rFonts w:ascii="Arial" w:cs="Arial" w:eastAsia="Arial" w:hAnsi="Arial"/>
          <w:b/>
          <w:bCs/>
          <w:color w:val="4471A9"/>
          <w:sz w:val="24"/>
          <w:szCs w:val="24"/>
        </w:rPr>
        <w:t xml:space="preserve">AI-First Tools and Training</w:t>
      </w:r>
    </w:p>
    <w:p>
      <w:pPr>
        <w:spacing w:after="160"/>
        <w:jc w:val="left"/>
      </w:pPr>
      <w:r>
        <w:rPr>
          <w:rFonts w:ascii="Arial" w:cs="Arial" w:eastAsia="Arial" w:hAnsi="Arial"/>
          <w:color w:val="333333"/>
          <w:sz w:val="22"/>
          <w:szCs w:val="22"/>
        </w:rPr>
        <w:t xml:space="preserve">Every employee receives basic AI literacy training in Phase 1. This is not optional. The AI literacy certification serves as the cultural signal that the transformation includes everyone. Organizations that allow a two-speed adoption pattern — where some teams embrace AI and others resist — create internal friction that compounds over time.</w:t>
      </w:r>
    </w:p>
    <w:p>
      <w:pPr>
        <w:spacing w:after="160"/>
        <w:jc w:val="left"/>
      </w:pPr>
      <w:r>
        <w:rPr>
          <w:rFonts w:ascii="Arial" w:cs="Arial" w:eastAsia="Arial" w:hAnsi="Arial"/>
          <w:color w:val="333333"/>
          <w:sz w:val="22"/>
          <w:szCs w:val="22"/>
        </w:rPr>
        <w:t xml:space="preserve">Productivity tools are deployed company-wide with a tiered approach. Standard tools for general use. Advanced tools for knowledge workers. Premium, domain-specific tools for high-impact engineering and strategic roles. The tiered model ensures investment is allocated by impact, not distributed uniformly.</w:t>
      </w:r>
    </w:p>
    <w:p>
      <w:pPr>
        <w:pStyle w:val="Heading2"/>
        <w:spacing w:before="280" w:after="160"/>
      </w:pPr>
      <w:r>
        <w:rPr>
          <w:rFonts w:ascii="Arial" w:cs="Arial" w:eastAsia="Arial" w:hAnsi="Arial"/>
          <w:b/>
          <w:bCs/>
          <w:color w:val="06418C"/>
          <w:sz w:val="28"/>
          <w:szCs w:val="28"/>
        </w:rPr>
        <w:t xml:space="preserve">3.3 Phase 2: Scale It (Months 9–27)</w:t>
      </w:r>
    </w:p>
    <w:p>
      <w:pPr>
        <w:spacing w:after="160"/>
        <w:jc w:val="left"/>
      </w:pPr>
      <w:r>
        <w:rPr>
          <w:rFonts w:ascii="Arial" w:cs="Arial" w:eastAsia="Arial" w:hAnsi="Arial"/>
          <w:color w:val="333333"/>
          <w:sz w:val="22"/>
          <w:szCs w:val="22"/>
        </w:rPr>
        <w:t xml:space="preserve">Phase 2 begins at month 9, while Phase 1 is still delivering. The data foundation built in Phase 1 is what makes Phase 2 possible. Two tracks run simultaneously:</w:t>
      </w:r>
    </w:p>
    <w:p>
      <w:pPr>
        <w:pStyle w:val="Heading3"/>
        <w:spacing w:before="200" w:after="120"/>
      </w:pPr>
      <w:r>
        <w:rPr>
          <w:rFonts w:ascii="Arial" w:cs="Arial" w:eastAsia="Arial" w:hAnsi="Arial"/>
          <w:b/>
          <w:bCs/>
          <w:color w:val="4471A9"/>
          <w:sz w:val="24"/>
          <w:szCs w:val="24"/>
        </w:rPr>
        <w:t xml:space="preserve">R&amp;D Acceleration</w:t>
      </w:r>
    </w:p>
    <w:p>
      <w:pPr>
        <w:spacing w:after="160"/>
        <w:jc w:val="left"/>
      </w:pPr>
      <w:r>
        <w:rPr>
          <w:rFonts w:ascii="Arial" w:cs="Arial" w:eastAsia="Arial" w:hAnsi="Arial"/>
          <w:color w:val="333333"/>
          <w:sz w:val="22"/>
          <w:szCs w:val="22"/>
        </w:rPr>
        <w:t xml:space="preserve">R&amp;D is where AI creates the most asymmetric value for a semiconductor company. The use cases are high-value and high-complexity, which is why they require the Phase 1 foundation:</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AI-assisted chip design:</w:t>
      </w:r>
      <w:r>
        <w:rPr>
          <w:rFonts w:ascii="Arial" w:cs="Arial" w:eastAsia="Arial" w:hAnsi="Arial"/>
          <w:color w:val="333333"/>
          <w:sz w:val="22"/>
          <w:szCs w:val="22"/>
        </w:rPr>
        <w:t xml:space="preserve"> LLMs fine-tuned on Renesas design data assist with spec-to-architecture exploration, generating candidate RTL, and surfacing trade-offs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EDA workflow automation:</w:t>
      </w:r>
      <w:r>
        <w:rPr>
          <w:rFonts w:ascii="Arial" w:cs="Arial" w:eastAsia="Arial" w:hAnsi="Arial"/>
          <w:color w:val="333333"/>
          <w:sz w:val="22"/>
          <w:szCs w:val="22"/>
        </w:rPr>
        <w:t xml:space="preserve"> Production-proven tools (Cadence Cerebrus has delivered 8% power reduction across 1,000+ tape-outs) automate RTL optimization and place-and-route</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Simulation acceleration:</w:t>
      </w:r>
      <w:r>
        <w:rPr>
          <w:rFonts w:ascii="Arial" w:cs="Arial" w:eastAsia="Arial" w:hAnsi="Arial"/>
          <w:color w:val="333333"/>
          <w:sz w:val="22"/>
          <w:szCs w:val="22"/>
        </w:rPr>
        <w:t xml:space="preserve"> AI-driven verification optimization (Synopsys VSO.ai) delivers 33% better functional coverage and 5x regression test compression</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IP reuse via knowledge graph:</w:t>
      </w:r>
      <w:r>
        <w:rPr>
          <w:rFonts w:ascii="Arial" w:cs="Arial" w:eastAsia="Arial" w:hAnsi="Arial"/>
          <w:color w:val="333333"/>
          <w:sz w:val="22"/>
          <w:szCs w:val="22"/>
        </w:rPr>
        <w:t xml:space="preserve"> A structured index of all verified IP blocks across the entire Renesas portfolio (including acquired entities), queryable in natural language. Industry benchmarks suggest 15–25% NPI cycle time reduction</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Intelligent design review:</w:t>
      </w:r>
      <w:r>
        <w:rPr>
          <w:rFonts w:ascii="Arial" w:cs="Arial" w:eastAsia="Arial" w:hAnsi="Arial"/>
          <w:color w:val="333333"/>
          <w:sz w:val="22"/>
          <w:szCs w:val="22"/>
        </w:rPr>
        <w:t xml:space="preserve"> AI trained on historical design data flags failure patterns, common errors, and optimization opportunities before tape-out</w:t>
      </w:r>
    </w:p>
    <w:p>
      <w:pPr>
        <w:spacing w:after="80"/>
      </w:pPr>
    </w:p>
    <w:p>
      <w:pPr>
        <w:spacing w:after="160"/>
        <w:jc w:val="left"/>
      </w:pPr>
      <w:r>
        <w:rPr>
          <w:rFonts w:ascii="Arial" w:cs="Arial" w:eastAsia="Arial" w:hAnsi="Arial"/>
          <w:color w:val="333333"/>
          <w:sz w:val="22"/>
          <w:szCs w:val="22"/>
        </w:rPr>
        <w:t xml:space="preserve">The financial case is compelling: every tape-out spin avoided saves $10M+ in direct cost and 3–6 months of schedule. For a company with dozens of active design programs, preventing even 2–3 unnecessary spins per year exceeds the entire Phase 1 investment.</w:t>
      </w:r>
    </w:p>
    <w:p>
      <w:pPr>
        <w:pStyle w:val="Heading3"/>
        <w:spacing w:before="200" w:after="120"/>
      </w:pPr>
      <w:r>
        <w:rPr>
          <w:rFonts w:ascii="Arial" w:cs="Arial" w:eastAsia="Arial" w:hAnsi="Arial"/>
          <w:b/>
          <w:bCs/>
          <w:color w:val="4471A9"/>
          <w:sz w:val="24"/>
          <w:szCs w:val="24"/>
        </w:rPr>
        <w:t xml:space="preserve">Operational AI</w:t>
      </w:r>
    </w:p>
    <w:p>
      <w:pPr>
        <w:spacing w:after="160"/>
        <w:jc w:val="left"/>
      </w:pPr>
      <w:r>
        <w:rPr>
          <w:rFonts w:ascii="Arial" w:cs="Arial" w:eastAsia="Arial" w:hAnsi="Arial"/>
          <w:color w:val="333333"/>
          <w:sz w:val="22"/>
          <w:szCs w:val="22"/>
        </w:rPr>
        <w:t xml:space="preserve">The operational track in Phase 2 extends AI into manufacturing, quality, and supply chain at scale:</w:t>
      </w:r>
    </w:p>
    <w:p>
      <w:pPr>
        <w:pStyle w:val="ListParagraph"/>
        <w:numPr>
          <w:ilvl w:val="0"/>
          <w:numId w:val="2"/>
        </w:numPr>
        <w:spacing w:after="80"/>
      </w:pPr>
      <w:r>
        <w:rPr>
          <w:rFonts w:ascii="Arial" w:cs="Arial" w:eastAsia="Arial" w:hAnsi="Arial"/>
          <w:color w:val="333333"/>
          <w:sz w:val="22"/>
          <w:szCs w:val="22"/>
        </w:rPr>
        <w:t xml:space="preserve">Predictive maintenance across fab equipment — Intel achieved 20% reduction in unplanned downtime with similar deployment</w:t>
      </w:r>
    </w:p>
    <w:p>
      <w:pPr>
        <w:pStyle w:val="ListParagraph"/>
        <w:numPr>
          <w:ilvl w:val="0"/>
          <w:numId w:val="2"/>
        </w:numPr>
        <w:spacing w:after="80"/>
      </w:pPr>
      <w:r>
        <w:rPr>
          <w:rFonts w:ascii="Arial" w:cs="Arial" w:eastAsia="Arial" w:hAnsi="Arial"/>
          <w:color w:val="333333"/>
          <w:sz w:val="22"/>
          <w:szCs w:val="22"/>
        </w:rPr>
        <w:t xml:space="preserve">Yield optimization through ML identification of process variable correlations — even 0.5% yield improvement at Renesas volumes represents significant cost recovery</w:t>
      </w:r>
    </w:p>
    <w:p>
      <w:pPr>
        <w:pStyle w:val="ListParagraph"/>
        <w:numPr>
          <w:ilvl w:val="0"/>
          <w:numId w:val="2"/>
        </w:numPr>
        <w:spacing w:after="80"/>
      </w:pPr>
      <w:r>
        <w:rPr>
          <w:rFonts w:ascii="Arial" w:cs="Arial" w:eastAsia="Arial" w:hAnsi="Arial"/>
          <w:color w:val="333333"/>
          <w:sz w:val="22"/>
          <w:szCs w:val="22"/>
        </w:rPr>
        <w:t xml:space="preserve">Supply chain intelligence at scale — moving from reactive to predictive across the global supply network</w:t>
      </w:r>
    </w:p>
    <w:p>
      <w:pPr>
        <w:pStyle w:val="ListParagraph"/>
        <w:numPr>
          <w:ilvl w:val="0"/>
          <w:numId w:val="2"/>
        </w:numPr>
        <w:spacing w:after="80"/>
      </w:pPr>
      <w:r>
        <w:rPr>
          <w:rFonts w:ascii="Arial" w:cs="Arial" w:eastAsia="Arial" w:hAnsi="Arial"/>
          <w:color w:val="333333"/>
          <w:sz w:val="22"/>
          <w:szCs w:val="22"/>
        </w:rPr>
        <w:t xml:space="preserve">Automated compliance checking across product lines and jurisdictions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Phase 2 is where engineering productivity starts to compound. Shorter R&amp;D cycles mean faster time-to-market — which is a competitive weapon. The combined effect: engineering moves faster AND operations cost less. That is the self-funding flywheel accelerating.</w:t>
            </w:r>
          </w:p>
        </w:tc>
      </w:tr>
    </w:tbl>
    <w:p>
      <w:pPr>
        <w:pStyle w:val="Heading2"/>
        <w:spacing w:before="280" w:after="160"/>
      </w:pPr>
      <w:r>
        <w:rPr>
          <w:rFonts w:ascii="Arial" w:cs="Arial" w:eastAsia="Arial" w:hAnsi="Arial"/>
          <w:b/>
          <w:bCs/>
          <w:color w:val="06418C"/>
          <w:sz w:val="28"/>
          <w:szCs w:val="28"/>
        </w:rPr>
        <w:t xml:space="preserve">3.4 Phase 3: Architect It (Months 18–36)</w:t>
      </w:r>
    </w:p>
    <w:p>
      <w:pPr>
        <w:spacing w:after="160"/>
        <w:jc w:val="left"/>
      </w:pPr>
      <w:r>
        <w:rPr>
          <w:rFonts w:ascii="Arial" w:cs="Arial" w:eastAsia="Arial" w:hAnsi="Arial"/>
          <w:color w:val="333333"/>
          <w:sz w:val="22"/>
          <w:szCs w:val="22"/>
        </w:rPr>
        <w:t xml:space="preserve">Phase 3 is where the transformation shifts from improving the company to designing the company. Three big ideas define this phase:</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Workforce of the Future.</w:t>
      </w:r>
      <w:r>
        <w:rPr>
          <w:rFonts w:ascii="Arial" w:cs="Arial" w:eastAsia="Arial" w:hAnsi="Arial"/>
          <w:color w:val="333333"/>
          <w:sz w:val="22"/>
          <w:szCs w:val="22"/>
        </w:rPr>
        <w:t xml:space="preserve"> If AI handles 30% of repetitive engineering work, what does a 5,000-person R&amp;D organization look like? The workforce does not shrink — it evolves. More creative work, more complex problems, more strategic impact per person. But the roles change. Job families change. Skills requirements change. That conversation starts in Phase 1 with HR as a strategic partner, so Phase 3 is an evolution rather than a crisis.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R&amp;D Organization Design.</w:t>
      </w:r>
      <w:r>
        <w:rPr>
          <w:rFonts w:ascii="Arial" w:cs="Arial" w:eastAsia="Arial" w:hAnsi="Arial"/>
          <w:color w:val="333333"/>
          <w:sz w:val="22"/>
          <w:szCs w:val="22"/>
        </w:rPr>
        <w:t xml:space="preserve"> If AI-enabled IP reuse and design automation dramatically improve engineering throughput, does the organizational structure change? Could fewer, more integrated product groups serve the same market breadth with higher quality and speed? This is a board-level conversation with implications for headcount, geographic distribution, and competitive positioning.</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AI-Native Product Development.</w:t>
      </w:r>
      <w:r>
        <w:rPr>
          <w:rFonts w:ascii="Arial" w:cs="Arial" w:eastAsia="Arial" w:hAnsi="Arial"/>
          <w:color w:val="333333"/>
          <w:sz w:val="22"/>
          <w:szCs w:val="22"/>
        </w:rPr>
        <w:t xml:space="preserve"> Products designed from day one with AI in the loop. Simulation-first development. Digital twin architecture. Generative design for power and area optimization. This is not incremental improvement — it is a fundamentally different approach to product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This is why this transformation matters. Not to automate what Renesas does today — but to design what Renesas becomes.</w:t>
            </w:r>
          </w:p>
        </w:tc>
      </w:tr>
    </w:tbl>
    <w:p>
      <w:pPr>
        <w:pStyle w:val="Heading2"/>
        <w:spacing w:before="280" w:after="160"/>
      </w:pPr>
      <w:r>
        <w:rPr>
          <w:rFonts w:ascii="Arial" w:cs="Arial" w:eastAsia="Arial" w:hAnsi="Arial"/>
          <w:b/>
          <w:bCs/>
          <w:color w:val="06418C"/>
          <w:sz w:val="28"/>
          <w:szCs w:val="28"/>
        </w:rPr>
        <w:t xml:space="preserve">3.5 The Self-Funding Flywheel</w:t>
      </w:r>
    </w:p>
    <w:p>
      <w:pPr>
        <w:spacing w:after="160"/>
        <w:jc w:val="left"/>
      </w:pPr>
      <w:r>
        <w:rPr>
          <w:rFonts w:ascii="Arial" w:cs="Arial" w:eastAsia="Arial" w:hAnsi="Arial"/>
          <w:color w:val="333333"/>
          <w:sz w:val="22"/>
          <w:szCs w:val="22"/>
        </w:rPr>
        <w:t xml:space="preserve">The financial model operates on two interlocking loops: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Loop 1: Cost Savings Flywheel.</w:t>
      </w:r>
      <w:r>
        <w:rPr>
          <w:rFonts w:ascii="Arial" w:cs="Arial" w:eastAsia="Arial" w:hAnsi="Arial"/>
          <w:color w:val="333333"/>
          <w:sz w:val="22"/>
          <w:szCs w:val="22"/>
        </w:rPr>
        <w:t xml:space="preserve"> Phase 1 investment generates efficiency gains and cost reductions. Those savings are reinvested into Phase 2, which delivers R&amp;D acceleration and operational savings. Phase 2 savings compound with Phase 1 returns to fund Phase 3. The target: each phase is substantially self-funded by the prior phase’s returns. Phase 1 savings begin at months 6–9, creating the investment capacity for Phase 2 before Phase 1 is complete.</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Loop 2: Speed Flywheel.</w:t>
      </w:r>
      <w:r>
        <w:rPr>
          <w:rFonts w:ascii="Arial" w:cs="Arial" w:eastAsia="Arial" w:hAnsi="Arial"/>
          <w:color w:val="333333"/>
          <w:sz w:val="22"/>
          <w:szCs w:val="22"/>
        </w:rPr>
        <w:t xml:space="preserve"> As capability builds, time-to-revenue on each initiative shrinks. Phase 1 initiatives take 6–9 months to measurable ROI (building the foundation from scratch). Phase 2 initiatives take 3–6 months (infrastructure exists, deployment is faster). Phase 3 initiatives deploy on an existing platform with time-to-value measured in weeks, not months.</w:t>
      </w:r>
    </w:p>
    <w:p>
      <w:pPr>
        <w:spacing w:after="160"/>
        <w:jc w:val="left"/>
      </w:pPr>
      <w:r>
        <w:rPr>
          <w:rFonts w:ascii="Arial" w:cs="Arial" w:eastAsia="Arial" w:hAnsi="Arial"/>
          <w:color w:val="333333"/>
          <w:sz w:val="22"/>
          <w:szCs w:val="22"/>
        </w:rPr>
        <w:t xml:space="preserve">The crossover point — where cumulative savings exceed cumulative investment — is the moment the transformation becomes self-sustaining. Based on comparable enterprise transformations, this crossover typically occurs mid-Phase 2, approximately months 15–20. After crossover, the transformation is no longer a cost center. It is a value generator.</w:t>
      </w:r>
    </w:p>
    <w:p>
      <w:pPr>
        <w:pStyle w:val="Heading2"/>
        <w:spacing w:before="280" w:after="160"/>
      </w:pPr>
      <w:r>
        <w:rPr>
          <w:rFonts w:ascii="Arial" w:cs="Arial" w:eastAsia="Arial" w:hAnsi="Arial"/>
          <w:b/>
          <w:bCs/>
          <w:color w:val="06418C"/>
          <w:sz w:val="28"/>
          <w:szCs w:val="28"/>
        </w:rPr>
        <w:t xml:space="preserve">3.6 What Start Small Actually Means</w:t>
      </w:r>
    </w:p>
    <w:p>
      <w:pPr>
        <w:spacing w:after="160"/>
        <w:jc w:val="left"/>
      </w:pPr>
      <w:r>
        <w:rPr>
          <w:rFonts w:ascii="Arial" w:cs="Arial" w:eastAsia="Arial" w:hAnsi="Arial"/>
          <w:color w:val="333333"/>
          <w:sz w:val="22"/>
          <w:szCs w:val="22"/>
        </w:rPr>
        <w:t xml:space="preserve">Pragmatic sequencing is not a lack of ambition. It is how transformation earns trust. Three commitments define the approach:</w:t>
      </w:r>
    </w:p>
    <w:p>
      <w:pPr>
        <w:pStyle w:val="ListParagraph"/>
        <w:numPr>
          <w:ilvl w:val="0"/>
          <w:numId w:val="2"/>
        </w:numPr>
        <w:spacing w:after="80"/>
      </w:pPr>
      <w:r>
        <w:rPr>
          <w:rFonts w:ascii="Arial" w:cs="Arial" w:eastAsia="Arial" w:hAnsi="Arial"/>
          <w:color w:val="333333"/>
          <w:sz w:val="22"/>
          <w:szCs w:val="22"/>
        </w:rPr>
        <w:t xml:space="preserve">Phase 1 delivers measurable results before Phase 2 asks for expanded investment. Trust is earned through demonstrated value, not PowerPoint promises.</w:t>
      </w:r>
    </w:p>
    <w:p>
      <w:pPr>
        <w:pStyle w:val="ListParagraph"/>
        <w:numPr>
          <w:ilvl w:val="0"/>
          <w:numId w:val="2"/>
        </w:numPr>
        <w:spacing w:after="80"/>
      </w:pPr>
      <w:r>
        <w:rPr>
          <w:rFonts w:ascii="Arial" w:cs="Arial" w:eastAsia="Arial" w:hAnsi="Arial"/>
          <w:color w:val="333333"/>
          <w:sz w:val="22"/>
          <w:szCs w:val="22"/>
        </w:rPr>
        <w:t xml:space="preserve">Every tool deployed in Phase 1 is production-grade, not a demo. The PoC graveyard (70–88% of AI pilots globally never reach production) is avoided by defining the production pathway before starting any initiative.</w:t>
      </w:r>
    </w:p>
    <w:p>
      <w:pPr>
        <w:pStyle w:val="ListParagraph"/>
        <w:numPr>
          <w:ilvl w:val="0"/>
          <w:numId w:val="2"/>
        </w:numPr>
        <w:spacing w:after="80"/>
      </w:pPr>
      <w:r>
        <w:rPr>
          <w:rFonts w:ascii="Arial" w:cs="Arial" w:eastAsia="Arial" w:hAnsi="Arial"/>
          <w:color w:val="333333"/>
          <w:sz w:val="22"/>
          <w:szCs w:val="22"/>
        </w:rPr>
        <w:t xml:space="preserve">The Phase 1 foundation is architected to support Phase 3. Renesas is not building throwaway infrastructure — the data platform, governance framework, and AI architecture are designed for enterprise scale from day one.</w:t>
      </w:r>
    </w:p>
    <w:p>
      <w:r>
        <w:br w:type="page"/>
      </w:r>
    </w:p>
    <w:p>
      <w:pPr>
        <w:pStyle w:val="Heading1"/>
        <w:spacing w:before="360" w:after="200"/>
      </w:pPr>
      <w:r>
        <w:rPr>
          <w:rFonts w:ascii="Arial" w:cs="Arial" w:eastAsia="Arial" w:hAnsi="Arial"/>
          <w:b/>
          <w:bCs/>
          <w:color w:val="042D5E"/>
          <w:sz w:val="36"/>
          <w:szCs w:val="36"/>
        </w:rPr>
        <w:t xml:space="preserve">4. Technology Foundation</w:t>
      </w:r>
    </w:p>
    <w:p>
      <w:pPr>
        <w:pStyle w:val="Heading2"/>
        <w:spacing w:before="280" w:after="160"/>
      </w:pPr>
      <w:r>
        <w:rPr>
          <w:rFonts w:ascii="Arial" w:cs="Arial" w:eastAsia="Arial" w:hAnsi="Arial"/>
          <w:b/>
          <w:bCs/>
          <w:color w:val="06418C"/>
          <w:sz w:val="28"/>
          <w:szCs w:val="28"/>
        </w:rPr>
        <w:t xml:space="preserve">4.1 The Four-Layer Stack</w:t>
      </w:r>
    </w:p>
    <w:p>
      <w:pPr>
        <w:spacing w:after="160"/>
        <w:jc w:val="left"/>
      </w:pPr>
      <w:r>
        <w:rPr>
          <w:rFonts w:ascii="Arial" w:cs="Arial" w:eastAsia="Arial" w:hAnsi="Arial"/>
          <w:color w:val="333333"/>
          <w:sz w:val="22"/>
          <w:szCs w:val="22"/>
        </w:rPr>
        <w:t xml:space="preserve">The technology architecture is a four-layer stack. Each layer enables the next. The order of implementation matters — bottom-up, not top-down:</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Layer 1: Data Layer.</w:t>
      </w:r>
      <w:r>
        <w:rPr>
          <w:rFonts w:ascii="Arial" w:cs="Arial" w:eastAsia="Arial" w:hAnsi="Arial"/>
          <w:color w:val="333333"/>
          <w:sz w:val="22"/>
          <w:szCs w:val="22"/>
        </w:rPr>
        <w:t xml:space="preserve"> The unified lakehouse serves as the single source of truth across all functions and acquired entities. It ingests, normalizes, and governs data from ERP, PLM, CRM, manufacturing IoT, HR, and supply chain systems. The post-acquisition reality — data sprawl across Intersil, IDT, Dialog, Celeno, and Altium — makes this layer both the most urgent and the most challenging.</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Layer 2: Semantic Layer.</w:t>
      </w:r>
      <w:r>
        <w:rPr>
          <w:rFonts w:ascii="Arial" w:cs="Arial" w:eastAsia="Arial" w:hAnsi="Arial"/>
          <w:color w:val="333333"/>
          <w:sz w:val="22"/>
          <w:szCs w:val="22"/>
        </w:rPr>
        <w:t xml:space="preserve"> Ontology and knowledge graphs provide structured meaning and traceability on top of the raw data. This is where relationships between data entities are defined: which requirements drove which design decisions, which parts are in which products, which test results apply to which configurations. The semantic layer is what makes the data meaningful for AI — and what makes AI outputs auditable.</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Layer 3: AI/ML Layer.</w:t>
      </w:r>
      <w:r>
        <w:rPr>
          <w:rFonts w:ascii="Arial" w:cs="Arial" w:eastAsia="Arial" w:hAnsi="Arial"/>
          <w:color w:val="333333"/>
          <w:sz w:val="22"/>
          <w:szCs w:val="22"/>
        </w:rPr>
        <w:t xml:space="preserve"> Models, fine-tuning, RAG, and agents operate on top of the structured data. This layer includes foundation models for general tasks, domain-specific models fine-tuned on Renesas data, and agentic workflows that execute multi-step tasks autonomously.</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Layer 4: Application Layer.</w:t>
      </w:r>
      <w:r>
        <w:rPr>
          <w:rFonts w:ascii="Arial" w:cs="Arial" w:eastAsia="Arial" w:hAnsi="Arial"/>
          <w:color w:val="333333"/>
          <w:sz w:val="22"/>
          <w:szCs w:val="22"/>
        </w:rPr>
        <w:t xml:space="preserve"> Tools, copilots, and workflows that users actually touch. This is the visible surface of the transformation — but it depends entirely on the three layers beneath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Most failed transformations build the application layer first and wonder why nothing scales. This plan builds the foundation first. The sequence is deliberate and non-negotiable.</w:t>
            </w:r>
          </w:p>
        </w:tc>
      </w:tr>
    </w:tbl>
    <w:p>
      <w:pPr>
        <w:pStyle w:val="Heading2"/>
        <w:spacing w:before="280" w:after="160"/>
      </w:pPr>
      <w:r>
        <w:rPr>
          <w:rFonts w:ascii="Arial" w:cs="Arial" w:eastAsia="Arial" w:hAnsi="Arial"/>
          <w:b/>
          <w:bCs/>
          <w:color w:val="06418C"/>
          <w:sz w:val="28"/>
          <w:szCs w:val="28"/>
        </w:rPr>
        <w:t xml:space="preserve">4.2 Building Common Context: How AI Uses Data</w:t>
      </w:r>
    </w:p>
    <w:p>
      <w:pPr>
        <w:spacing w:after="160"/>
        <w:jc w:val="left"/>
      </w:pPr>
      <w:r>
        <w:rPr>
          <w:rFonts w:ascii="Arial" w:cs="Arial" w:eastAsia="Arial" w:hAnsi="Arial"/>
          <w:color w:val="333333"/>
          <w:sz w:val="22"/>
          <w:szCs w:val="22"/>
        </w:rPr>
        <w:t xml:space="preserve">Four foundational AI approaches define the toolkit. Understanding when to use each is a strategic decision that determines what AI can and cannot do:</w:t>
      </w:r>
    </w:p>
    <w:p>
      <w:pPr>
        <w:pStyle w:val="Heading3"/>
        <w:spacing w:before="200" w:after="120"/>
      </w:pPr>
      <w:r>
        <w:rPr>
          <w:rFonts w:ascii="Arial" w:cs="Arial" w:eastAsia="Arial" w:hAnsi="Arial"/>
          <w:b/>
          <w:bCs/>
          <w:color w:val="4471A9"/>
          <w:sz w:val="24"/>
          <w:szCs w:val="24"/>
        </w:rPr>
        <w:t xml:space="preserve">RAG (Retrieval-Augmented Generation)</w:t>
      </w:r>
    </w:p>
    <w:p>
      <w:pPr>
        <w:spacing w:after="160"/>
        <w:jc w:val="left"/>
      </w:pPr>
      <w:r>
        <w:rPr>
          <w:rFonts w:ascii="Arial" w:cs="Arial" w:eastAsia="Arial" w:hAnsi="Arial"/>
          <w:color w:val="333333"/>
          <w:sz w:val="22"/>
          <w:szCs w:val="22"/>
        </w:rPr>
        <w:t xml:space="preserve">RAG enables AI to search internal documents before generating an answer, pulling relevant context from knowledge bases in real time. It provides fast, accurate access to institutional knowledge. Any employee can query the knowledge base in natural language and receive an answer grounded in actual Renesas documents.</w:t>
      </w:r>
    </w:p>
    <w:p>
      <w:pPr>
        <w:spacing w:after="160"/>
        <w:jc w:val="left"/>
      </w:pPr>
      <w:r>
        <w:rPr>
          <w:rFonts w:ascii="Arial" w:cs="Arial" w:eastAsia="Arial" w:hAnsi="Arial"/>
          <w:color w:val="333333"/>
          <w:sz w:val="22"/>
          <w:szCs w:val="22"/>
        </w:rPr>
        <w:t xml:space="preserve">RAG works well for communications, HR policy questions, legal first-pass contract review, customer-facing knowledge bases, and general productivity. Its limitation is critical: RAG retrieves and generates. It does not create structured traceability. You can find answers, but you cannot prove the chain of reasoning or audit the logic end-to-end.</w:t>
      </w:r>
    </w:p>
    <w:p>
      <w:pPr>
        <w:pStyle w:val="Heading3"/>
        <w:spacing w:before="200" w:after="120"/>
      </w:pPr>
      <w:r>
        <w:rPr>
          <w:rFonts w:ascii="Arial" w:cs="Arial" w:eastAsia="Arial" w:hAnsi="Arial"/>
          <w:b/>
          <w:bCs/>
          <w:color w:val="4471A9"/>
          <w:sz w:val="24"/>
          <w:szCs w:val="24"/>
        </w:rPr>
        <w:t xml:space="preserve">Ontology and Knowledge Graphs</w:t>
      </w:r>
    </w:p>
    <w:p>
      <w:pPr>
        <w:spacing w:after="160"/>
        <w:jc w:val="left"/>
      </w:pPr>
      <w:r>
        <w:rPr>
          <w:rFonts w:ascii="Arial" w:cs="Arial" w:eastAsia="Arial" w:hAnsi="Arial"/>
          <w:color w:val="333333"/>
          <w:sz w:val="22"/>
          <w:szCs w:val="22"/>
        </w:rPr>
        <w:t xml:space="preserve">Where RAG finds, ontology knows — and proves what it knows. An ontology creates a structured map of how everything in the business relates to everything else. It is not a search engine but a relationship engine.</w:t>
      </w:r>
    </w:p>
    <w:p>
      <w:pPr>
        <w:spacing w:after="160"/>
        <w:jc w:val="left"/>
      </w:pPr>
      <w:r>
        <w:rPr>
          <w:rFonts w:ascii="Arial" w:cs="Arial" w:eastAsia="Arial" w:hAnsi="Arial"/>
          <w:color w:val="333333"/>
          <w:sz w:val="22"/>
          <w:szCs w:val="22"/>
        </w:rPr>
        <w:t xml:space="preserve">Ontology enables full traceability from requirement to design decision to part selection to manufacturing to field quality. It supports audit-grade provenance and multi-constraint queries. For a semiconductor company operating in regulated industries (automotive ASIL, industrial safety), this is not optional. Every design decision has downstream consequences for manufacturing, customers, and safety compliance. Ontology makes that chain navigable and auditable.</w:t>
      </w:r>
    </w:p>
    <w:p>
      <w:pPr>
        <w:spacing w:after="160"/>
        <w:jc w:val="left"/>
      </w:pPr>
      <w:r>
        <w:rPr>
          <w:rFonts w:ascii="Arial" w:cs="Arial" w:eastAsia="Arial" w:hAnsi="Arial"/>
          <w:color w:val="333333"/>
          <w:sz w:val="22"/>
          <w:szCs w:val="22"/>
        </w:rPr>
        <w:t xml:space="preserve">Ontology also offers a data processing advantage: it structures relationships upfront rather than discovering them at query time, requiring less compute while delivering more precision.</w:t>
      </w:r>
    </w:p>
    <w:p>
      <w:pPr>
        <w:pStyle w:val="Heading3"/>
        <w:spacing w:before="200" w:after="120"/>
      </w:pPr>
      <w:r>
        <w:rPr>
          <w:rFonts w:ascii="Arial" w:cs="Arial" w:eastAsia="Arial" w:hAnsi="Arial"/>
          <w:b/>
          <w:bCs/>
          <w:color w:val="4471A9"/>
          <w:sz w:val="24"/>
          <w:szCs w:val="24"/>
        </w:rPr>
        <w:t xml:space="preserve">Fine-Tuning</w:t>
      </w:r>
    </w:p>
    <w:p>
      <w:pPr>
        <w:spacing w:after="160"/>
        <w:jc w:val="left"/>
      </w:pPr>
      <w:r>
        <w:rPr>
          <w:rFonts w:ascii="Arial" w:cs="Arial" w:eastAsia="Arial" w:hAnsi="Arial"/>
          <w:color w:val="333333"/>
          <w:sz w:val="22"/>
          <w:szCs w:val="22"/>
        </w:rPr>
        <w:t xml:space="preserve">Fine-tuning trains a general AI model on Renesas-specific data so it understands the company’s terminology, products, processes, and history. The result is AI that gives Renesas-specific answers rather than generic ones. NVIDIA’s ChipNeMo demonstrated the power of this approach: a 13B-parameter model fine-tuned on NVIDIA chip design data matched or exceeded a 70B general-purpose model on chip design tasks. The implication: the competitive moat is Renesas’s data, not the model vendor.</w:t>
      </w:r>
    </w:p>
    <w:p>
      <w:pPr>
        <w:pStyle w:val="Heading3"/>
        <w:spacing w:before="200" w:after="120"/>
      </w:pPr>
      <w:r>
        <w:rPr>
          <w:rFonts w:ascii="Arial" w:cs="Arial" w:eastAsia="Arial" w:hAnsi="Arial"/>
          <w:b/>
          <w:bCs/>
          <w:color w:val="4471A9"/>
          <w:sz w:val="24"/>
          <w:szCs w:val="24"/>
        </w:rPr>
        <w:t xml:space="preserve">Agentic AI</w:t>
      </w:r>
    </w:p>
    <w:p>
      <w:pPr>
        <w:spacing w:after="160"/>
        <w:jc w:val="left"/>
      </w:pPr>
      <w:r>
        <w:rPr>
          <w:rFonts w:ascii="Arial" w:cs="Arial" w:eastAsia="Arial" w:hAnsi="Arial"/>
          <w:color w:val="333333"/>
          <w:sz w:val="22"/>
          <w:szCs w:val="22"/>
        </w:rPr>
        <w:t xml:space="preserve">Agentic AI represents the next wave: AI that takes sequences of actions rather than just answering questions. An agent can monitor supply chain signals, detect disruption, alert procurement, and suggest alternatives — autonomously, within defined guardrails. This is Phase 2–3 capability, built on Phase 1 foundations.</w:t>
      </w:r>
    </w:p>
    <w:p>
      <w:pPr>
        <w:pStyle w:val="Heading2"/>
        <w:spacing w:before="280" w:after="160"/>
      </w:pPr>
      <w:r>
        <w:rPr>
          <w:rFonts w:ascii="Arial" w:cs="Arial" w:eastAsia="Arial" w:hAnsi="Arial"/>
          <w:b/>
          <w:bCs/>
          <w:color w:val="06418C"/>
          <w:sz w:val="28"/>
          <w:szCs w:val="28"/>
        </w:rPr>
        <w:t xml:space="preserve">4.3 RAG vs. Ontology: Choosing the Right Tool</w:t>
      </w:r>
    </w:p>
    <w:p>
      <w:pPr>
        <w:spacing w:after="160"/>
        <w:jc w:val="left"/>
      </w:pPr>
      <w:r>
        <w:rPr>
          <w:rFonts w:ascii="Arial" w:cs="Arial" w:eastAsia="Arial" w:hAnsi="Arial"/>
          <w:color w:val="333333"/>
          <w:sz w:val="22"/>
          <w:szCs w:val="22"/>
        </w:rPr>
        <w:t xml:space="preserve">Choosing the wrong AI approach for a given problem is expensive. The decision matrix below maps use cases to the appropriate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98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RAG</w:t>
            </w:r>
          </w:p>
        </w:tc>
        <w:tc>
          <w:tcPr>
            <w:tcW w:type="dxa" w:w="298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Ontology</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Communications &amp; content</w:t>
            </w:r>
          </w:p>
        </w:tc>
        <w:tc>
          <w:tcPr>
            <w:tcW w:type="dxa" w:w="2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Best fit — fast, flexible</w:t>
            </w:r>
          </w:p>
        </w:tc>
        <w:tc>
          <w:tcPr>
            <w:tcW w:type="dxa" w:w="2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Overkill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Legal first-pass review</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Good for volume</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Not needed yet</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Legal regulatory compliance</w:t>
            </w:r>
          </w:p>
        </w:tc>
        <w:tc>
          <w:tcPr>
            <w:tcW w:type="dxa" w:w="2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Insufficient</w:t>
            </w:r>
          </w:p>
        </w:tc>
        <w:tc>
          <w:tcPr>
            <w:tcW w:type="dxa" w:w="2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Required for audit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R&amp;D design traceability</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Cannot prove chain</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Required</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Audit trail / regulatory proof</w:t>
            </w:r>
          </w:p>
        </w:tc>
        <w:tc>
          <w:tcPr>
            <w:tcW w:type="dxa" w:w="2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Not auditable</w:t>
            </w:r>
          </w:p>
        </w:tc>
        <w:tc>
          <w:tcPr>
            <w:tcW w:type="dxa" w:w="2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Required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Customer knowledge base</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Good fit</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Optional enhancement</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Product development history</w:t>
            </w:r>
          </w:p>
        </w:tc>
        <w:tc>
          <w:tcPr>
            <w:tcW w:type="dxa" w:w="2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Loses relationships</w:t>
            </w:r>
          </w:p>
        </w:tc>
        <w:tc>
          <w:tcPr>
            <w:tcW w:type="dxa" w:w="2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Required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IP reuse across portfolio</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Partial (search only)</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Full (relationships + context)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RAG is great for finding. Ontology is required for knowing — and for proving what you know. In semiconductor product development and audit, proof is not optional.</w:t>
            </w:r>
          </w:p>
        </w:tc>
      </w:tr>
    </w:tbl>
    <w:p>
      <w:pPr>
        <w:pStyle w:val="Heading2"/>
        <w:spacing w:before="280" w:after="160"/>
      </w:pPr>
      <w:r>
        <w:rPr>
          <w:rFonts w:ascii="Arial" w:cs="Arial" w:eastAsia="Arial" w:hAnsi="Arial"/>
          <w:b/>
          <w:bCs/>
          <w:color w:val="06418C"/>
          <w:sz w:val="28"/>
          <w:szCs w:val="28"/>
        </w:rPr>
        <w:t xml:space="preserve">4.4 The Data Platform</w:t>
      </w:r>
    </w:p>
    <w:p>
      <w:pPr>
        <w:spacing w:after="160"/>
        <w:jc w:val="left"/>
      </w:pPr>
      <w:r>
        <w:rPr>
          <w:rFonts w:ascii="Arial" w:cs="Arial" w:eastAsia="Arial" w:hAnsi="Arial"/>
          <w:color w:val="333333"/>
          <w:sz w:val="22"/>
          <w:szCs w:val="22"/>
        </w:rPr>
        <w:t xml:space="preserve">The data platform serves as the central nervous system. A hub architecture connects all data sources — ERP/Finance, PLM/Engineering, supply chain, manufacturing/IoT, CRM/Sales, and HR — through a single governed layer. The platform enables ML training, real-time inference, and feedback loops back to source systems.</w:t>
      </w:r>
    </w:p>
    <w:p>
      <w:pPr>
        <w:spacing w:after="160"/>
        <w:jc w:val="left"/>
      </w:pPr>
      <w:r>
        <w:rPr>
          <w:rFonts w:ascii="Arial" w:cs="Arial" w:eastAsia="Arial" w:hAnsi="Arial"/>
          <w:color w:val="333333"/>
          <w:sz w:val="22"/>
          <w:szCs w:val="22"/>
        </w:rPr>
        <w:t xml:space="preserve">The Renesas-specific context makes this especially urgent. Post-acquisition data sprawl across Intersil, IDT, Dialog, Celeno, and Altium means multiple ERP instances, PLM systems, data formats, naming conventions, and quality standards. Unification is the prerequisite for everything else. AI built on top of fragmented data produces fragmented results.</w:t>
      </w:r>
    </w:p>
    <w:p>
      <w:pPr>
        <w:spacing w:after="160"/>
        <w:jc w:val="left"/>
      </w:pPr>
      <w:r>
        <w:rPr>
          <w:rFonts w:ascii="Arial" w:cs="Arial" w:eastAsia="Arial" w:hAnsi="Arial"/>
          <w:color w:val="333333"/>
          <w:sz w:val="22"/>
          <w:szCs w:val="22"/>
        </w:rPr>
        <w:t xml:space="preserve">The platform evaluation criteria are: unified data + AI/ML in a single platform, enterprise-grade governance, integration with existing enterprise systems, cost model, talent availability, and data residency compliance (critical for Japan operations). The leading candidate is evaluated against alternatives based on these criteria.</w:t>
      </w:r>
    </w:p>
    <w:p>
      <w:pPr>
        <w:pStyle w:val="Heading2"/>
        <w:spacing w:before="280" w:after="160"/>
      </w:pPr>
      <w:r>
        <w:rPr>
          <w:rFonts w:ascii="Arial" w:cs="Arial" w:eastAsia="Arial" w:hAnsi="Arial"/>
          <w:b/>
          <w:bCs/>
          <w:color w:val="06418C"/>
          <w:sz w:val="28"/>
          <w:szCs w:val="28"/>
        </w:rPr>
        <w:t xml:space="preserve">4.5 Agentic AI: The Next Horizon</w:t>
      </w:r>
    </w:p>
    <w:p>
      <w:pPr>
        <w:spacing w:after="160"/>
        <w:jc w:val="left"/>
      </w:pPr>
      <w:r>
        <w:rPr>
          <w:rFonts w:ascii="Arial" w:cs="Arial" w:eastAsia="Arial" w:hAnsi="Arial"/>
          <w:color w:val="333333"/>
          <w:sz w:val="22"/>
          <w:szCs w:val="22"/>
        </w:rPr>
        <w:t xml:space="preserve">AI capability evolves through three stages, each dependent on the previous: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Stage 1 (Phase 1): AI answers questions.</w:t>
      </w:r>
      <w:r>
        <w:rPr>
          <w:rFonts w:ascii="Arial" w:cs="Arial" w:eastAsia="Arial" w:hAnsi="Arial"/>
          <w:color w:val="333333"/>
          <w:sz w:val="22"/>
          <w:szCs w:val="22"/>
        </w:rPr>
        <w:t xml:space="preserve"> Knowledge retrieval, document search, Q&amp;A. The foundation layer that makes information accessible.</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Stage 2 (Phase 1–2): AI writes and suggests.</w:t>
      </w:r>
      <w:r>
        <w:rPr>
          <w:rFonts w:ascii="Arial" w:cs="Arial" w:eastAsia="Arial" w:hAnsi="Arial"/>
          <w:color w:val="333333"/>
          <w:sz w:val="22"/>
          <w:szCs w:val="22"/>
        </w:rPr>
        <w:t xml:space="preserve"> Copilots that draft documents, summarize information, suggest analyses, and assist with decision-making. The productivity multiplier.</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Stage 3 (Phase 2–3): AI executes autonomously.</w:t>
      </w:r>
      <w:r>
        <w:rPr>
          <w:rFonts w:ascii="Arial" w:cs="Arial" w:eastAsia="Arial" w:hAnsi="Arial"/>
          <w:color w:val="333333"/>
          <w:sz w:val="22"/>
          <w:szCs w:val="22"/>
        </w:rPr>
        <w:t xml:space="preserve"> Agents that monitor, act, route, and decide within guardrails. Multi-step task automation across supply chain, compliance, quality, and design workflows.</w:t>
      </w:r>
    </w:p>
    <w:p>
      <w:pPr>
        <w:spacing w:after="80"/>
      </w:pPr>
    </w:p>
    <w:p>
      <w:pPr>
        <w:spacing w:after="160"/>
        <w:jc w:val="left"/>
      </w:pPr>
      <w:r>
        <w:rPr>
          <w:rFonts w:ascii="Arial" w:cs="Arial" w:eastAsia="Arial" w:hAnsi="Arial"/>
          <w:color w:val="333333"/>
          <w:sz w:val="22"/>
          <w:szCs w:val="22"/>
        </w:rPr>
        <w:t xml:space="preserve">The progression is ask, assist, act. Each stage requires the previous one to be working. Renesas does not jump to agents — it builds the foundation first. Phase 1 builds the data and retrieval layer. Phase 2 deploys copilots. Phase 3 unleashes agents on well-governed, well-understood workflows.</w:t>
      </w:r>
    </w:p>
    <w:p>
      <w:pPr>
        <w:pStyle w:val="Heading2"/>
        <w:spacing w:before="280" w:after="160"/>
      </w:pPr>
      <w:r>
        <w:rPr>
          <w:rFonts w:ascii="Arial" w:cs="Arial" w:eastAsia="Arial" w:hAnsi="Arial"/>
          <w:b/>
          <w:bCs/>
          <w:color w:val="06418C"/>
          <w:sz w:val="28"/>
          <w:szCs w:val="28"/>
        </w:rPr>
        <w:t xml:space="preserve">4.6 Deterministic vs. Vibe Coding: The Shift</w:t>
      </w:r>
    </w:p>
    <w:p>
      <w:pPr>
        <w:spacing w:after="160"/>
        <w:jc w:val="left"/>
      </w:pPr>
      <w:r>
        <w:rPr>
          <w:rFonts w:ascii="Arial" w:cs="Arial" w:eastAsia="Arial" w:hAnsi="Arial"/>
          <w:color w:val="333333"/>
          <w:sz w:val="22"/>
          <w:szCs w:val="22"/>
        </w:rPr>
        <w:t xml:space="preserve">The way work gets done is changing fundamentally. Understanding this shift is essential to understanding the Phase 1 to Phase 3 arc:</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Deterministic (Traditional).</w:t>
      </w:r>
      <w:r>
        <w:rPr>
          <w:rFonts w:ascii="Arial" w:cs="Arial" w:eastAsia="Arial" w:hAnsi="Arial"/>
          <w:color w:val="333333"/>
          <w:sz w:val="22"/>
          <w:szCs w:val="22"/>
        </w:rPr>
        <w:t xml:space="preserve"> You define every input. You specify every step. You execute sequentially. You review the output. Example: an engineer writes RTL by hand, runs simulation, reads logs line by line, manually iterates. The workflow stays the same — it is just faster with better tools.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Vibe Coding (AI-Native).</w:t>
      </w:r>
      <w:r>
        <w:rPr>
          <w:rFonts w:ascii="Arial" w:cs="Arial" w:eastAsia="Arial" w:hAnsi="Arial"/>
          <w:color w:val="333333"/>
          <w:sz w:val="22"/>
          <w:szCs w:val="22"/>
        </w:rPr>
        <w:t xml:space="preserve"> You describe the intent. AI determines the best path. It executes. You validate and redirect. Example: describe a power management block meeting these specs, and AI explores architecture options, generates candidate RTL, runs verification, surfaces trade-offs. The engineer validates and refines. The workflow is fundamentally different.</w:t>
      </w:r>
    </w:p>
    <w:p>
      <w:pPr>
        <w:spacing w:after="160"/>
        <w:jc w:val="left"/>
      </w:pPr>
      <w:r>
        <w:rPr>
          <w:rFonts w:ascii="Arial" w:cs="Arial" w:eastAsia="Arial" w:hAnsi="Arial"/>
          <w:color w:val="333333"/>
          <w:sz w:val="22"/>
          <w:szCs w:val="22"/>
        </w:rPr>
        <w:t xml:space="preserve">In software, this is already mainstream. NVIDIA’s 30,000 engineers use Cursor (AI IDE), producing 3x more code at the same quality. The principle extends to every engineering and business function: vibe engineering, vibe analysis, vibe design. Phase 1 is deterministic with AI tools. Phase 2 begins the shift. Phase 3 is vibe engineering at scale.</w:t>
      </w:r>
    </w:p>
    <w:p>
      <w:pPr>
        <w:pStyle w:val="Heading2"/>
        <w:spacing w:before="280" w:after="160"/>
      </w:pPr>
      <w:r>
        <w:rPr>
          <w:rFonts w:ascii="Arial" w:cs="Arial" w:eastAsia="Arial" w:hAnsi="Arial"/>
          <w:b/>
          <w:bCs/>
          <w:color w:val="06418C"/>
          <w:sz w:val="28"/>
          <w:szCs w:val="28"/>
        </w:rPr>
        <w:t xml:space="preserve">4.7 AI Tools: A Tiered Approach</w:t>
      </w:r>
    </w:p>
    <w:p>
      <w:pPr>
        <w:spacing w:after="160"/>
        <w:jc w:val="left"/>
      </w:pPr>
      <w:r>
        <w:rPr>
          <w:rFonts w:ascii="Arial" w:cs="Arial" w:eastAsia="Arial" w:hAnsi="Arial"/>
          <w:color w:val="333333"/>
          <w:sz w:val="22"/>
          <w:szCs w:val="22"/>
        </w:rPr>
        <w:t xml:space="preserve">Different roles need different tools. The budget is allocated accordingly across three tiers: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Tier 1: All Employees (Foundation).</w:t>
      </w:r>
      <w:r>
        <w:rPr>
          <w:rFonts w:ascii="Arial" w:cs="Arial" w:eastAsia="Arial" w:hAnsi="Arial"/>
          <w:color w:val="333333"/>
          <w:sz w:val="22"/>
          <w:szCs w:val="22"/>
        </w:rPr>
        <w:t xml:space="preserve"> Basic AI literacy certification (mandatory). Standard productivity AI. Knowledge retrieval tools (RAG-based, internal). Lowest per-seat cost at scale.</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Tier 2: Knowledge Workers and Managers.</w:t>
      </w:r>
      <w:r>
        <w:rPr>
          <w:rFonts w:ascii="Arial" w:cs="Arial" w:eastAsia="Arial" w:hAnsi="Arial"/>
          <w:color w:val="333333"/>
          <w:sz w:val="22"/>
          <w:szCs w:val="22"/>
        </w:rPr>
        <w:t xml:space="preserve"> Advanced AI tools for analysis, writing, and decision support. Multi-vendor approach: best tool for the task, not one vendor for everything. Moderate budget, allocated by function based on impact.</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Tier 3: High-Impact Roles (Engineering, Data Science, Strategic Planning).</w:t>
      </w:r>
      <w:r>
        <w:rPr>
          <w:rFonts w:ascii="Arial" w:cs="Arial" w:eastAsia="Arial" w:hAnsi="Arial"/>
          <w:color w:val="333333"/>
          <w:sz w:val="22"/>
          <w:szCs w:val="22"/>
        </w:rPr>
        <w:t xml:space="preserve"> Premium AI tools with top-tier models for complex reasoning and design assistance. Domain-specific fine-tuned models. Highest per-seat cost, justified by output value.</w:t>
      </w:r>
    </w:p>
    <w:p>
      <w:pPr>
        <w:spacing w:after="80"/>
      </w:pPr>
    </w:p>
    <w:p>
      <w:pPr>
        <w:spacing w:after="160"/>
        <w:jc w:val="left"/>
      </w:pPr>
      <w:r>
        <w:rPr>
          <w:rFonts w:ascii="Arial" w:cs="Arial" w:eastAsia="Arial" w:hAnsi="Arial"/>
          <w:color w:val="333333"/>
          <w:sz w:val="22"/>
          <w:szCs w:val="22"/>
        </w:rPr>
        <w:t xml:space="preserve">A note on the productivity suite: the current state includes Microsoft 365 with Copilot licenses. The honest assessment is that Copilot adoption and accuracy have underperformed expectations industry-wide. Gartner reports only 5% of Copilot pilot organizations scaled to larger deployments. Copilot market share contracted from 18.8% to 11.5% between July 2025 and January 2026. The recommendation: evaluate alternatives on three criteria — actual productivity impact measured by users, cost per seat, and integration with the data and security architecture. This evaluation is not a foregone conclusion.</w:t>
      </w:r>
    </w:p>
    <w:p>
      <w:r>
        <w:br w:type="page"/>
      </w:r>
    </w:p>
    <w:p>
      <w:pPr>
        <w:pStyle w:val="Heading1"/>
        <w:spacing w:before="360" w:after="200"/>
      </w:pPr>
      <w:r>
        <w:rPr>
          <w:rFonts w:ascii="Arial" w:cs="Arial" w:eastAsia="Arial" w:hAnsi="Arial"/>
          <w:b/>
          <w:bCs/>
          <w:color w:val="042D5E"/>
          <w:sz w:val="36"/>
          <w:szCs w:val="36"/>
        </w:rPr>
        <w:t xml:space="preserve">5. Use Cases by Function</w:t>
      </w:r>
    </w:p>
    <w:p>
      <w:pPr>
        <w:spacing w:after="160"/>
        <w:jc w:val="left"/>
      </w:pPr>
      <w:r>
        <w:rPr>
          <w:rFonts w:ascii="Arial" w:cs="Arial" w:eastAsia="Arial" w:hAnsi="Arial"/>
          <w:color w:val="333333"/>
          <w:sz w:val="22"/>
          <w:szCs w:val="22"/>
        </w:rPr>
        <w:t xml:space="preserve">The transformation opportunity spans every function at Renesas. The sequencing is everything — Phase 1 targets high-ROI, low-complexity deployments, Phase 2 moves to higher-value, higher-complexity engineering use cases, and Phase 3 transforms organizational structure. This section provides detailed analysis of each functional area.</w:t>
      </w:r>
    </w:p>
    <w:p>
      <w:pPr>
        <w:pStyle w:val="Heading2"/>
        <w:spacing w:before="280" w:after="160"/>
      </w:pPr>
      <w:r>
        <w:rPr>
          <w:rFonts w:ascii="Arial" w:cs="Arial" w:eastAsia="Arial" w:hAnsi="Arial"/>
          <w:b/>
          <w:bCs/>
          <w:color w:val="06418C"/>
          <w:sz w:val="28"/>
          <w:szCs w:val="28"/>
        </w:rPr>
        <w:t xml:space="preserve">5.1 CEO and ELT: Instant Intelligence</w:t>
      </w:r>
    </w:p>
    <w:p>
      <w:pPr>
        <w:spacing w:after="160"/>
        <w:jc w:val="left"/>
      </w:pPr>
      <w:r>
        <w:rPr>
          <w:rFonts w:ascii="Arial" w:cs="Arial" w:eastAsia="Arial" w:hAnsi="Arial"/>
          <w:color w:val="333333"/>
          <w:sz w:val="22"/>
          <w:szCs w:val="22"/>
        </w:rPr>
        <w:t xml:space="preserve">Leadership should never have to email someone for an answer the data already has. Today, a CEO question follows a tortuous path: email to function head, function head asks team, team pulls data, analysis is prepared, and an answer is delivered days to weeks later. The future: CEO asks a question in natural language, AI queries the unified data layer, and a structured answer with source data, trend context, and confidence levels is delivered in seconds.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What this looks like in practice:</w:t>
      </w:r>
      <w:r>
        <w:rPr>
          <w:rFonts w:ascii="Arial" w:cs="Arial" w:eastAsia="Arial" w:hAnsi="Arial"/>
          <w:color w:val="333333"/>
          <w:sz w:val="22"/>
          <w:szCs w:val="22"/>
        </w:rPr>
        <w:t xml:space="preserve"/>
      </w:r>
    </w:p>
    <w:p>
      <w:pPr>
        <w:pStyle w:val="ListParagraph"/>
        <w:numPr>
          <w:ilvl w:val="0"/>
          <w:numId w:val="2"/>
        </w:numPr>
        <w:spacing w:after="80"/>
      </w:pPr>
      <w:r>
        <w:rPr>
          <w:rFonts w:ascii="Arial" w:cs="Arial" w:eastAsia="Arial" w:hAnsi="Arial"/>
          <w:color w:val="333333"/>
          <w:sz w:val="22"/>
          <w:szCs w:val="22"/>
        </w:rPr>
        <w:t xml:space="preserve">"What is our yield trend at the Naka fab this quarter?" — instant answer with charts</w:t>
      </w:r>
    </w:p>
    <w:p>
      <w:pPr>
        <w:pStyle w:val="ListParagraph"/>
        <w:numPr>
          <w:ilvl w:val="0"/>
          <w:numId w:val="2"/>
        </w:numPr>
        <w:spacing w:after="80"/>
      </w:pPr>
      <w:r>
        <w:rPr>
          <w:rFonts w:ascii="Arial" w:cs="Arial" w:eastAsia="Arial" w:hAnsi="Arial"/>
          <w:color w:val="333333"/>
          <w:sz w:val="22"/>
          <w:szCs w:val="22"/>
        </w:rPr>
        <w:t xml:space="preserve">"How does our R-Car pipeline compare to last year at this stage?" — real-time dashboard</w:t>
      </w:r>
    </w:p>
    <w:p>
      <w:pPr>
        <w:pStyle w:val="ListParagraph"/>
        <w:numPr>
          <w:ilvl w:val="0"/>
          <w:numId w:val="2"/>
        </w:numPr>
        <w:spacing w:after="80"/>
      </w:pPr>
      <w:r>
        <w:rPr>
          <w:rFonts w:ascii="Arial" w:cs="Arial" w:eastAsia="Arial" w:hAnsi="Arial"/>
          <w:color w:val="333333"/>
          <w:sz w:val="22"/>
          <w:szCs w:val="22"/>
        </w:rPr>
        <w:t xml:space="preserve">"Which product groups have the longest time-to-revenue?" — ranked analysis with drivers</w:t>
      </w:r>
    </w:p>
    <w:p>
      <w:pPr>
        <w:pStyle w:val="ListParagraph"/>
        <w:numPr>
          <w:ilvl w:val="0"/>
          <w:numId w:val="2"/>
        </w:numPr>
        <w:spacing w:after="80"/>
      </w:pPr>
      <w:r>
        <w:rPr>
          <w:rFonts w:ascii="Arial" w:cs="Arial" w:eastAsia="Arial" w:hAnsi="Arial"/>
          <w:color w:val="333333"/>
          <w:sz w:val="22"/>
          <w:szCs w:val="22"/>
        </w:rPr>
        <w:t xml:space="preserve">"What is the tariff exposure on our US-bound automotive products?" — scenario model with sensitivity analysis</w:t>
      </w:r>
    </w:p>
    <w:p>
      <w:pPr>
        <w:spacing w:after="80"/>
      </w:pPr>
    </w:p>
    <w:p>
      <w:pPr>
        <w:spacing w:after="160"/>
        <w:jc w:val="left"/>
      </w:pPr>
      <w:r>
        <w:rPr>
          <w:rFonts w:ascii="Arial" w:cs="Arial" w:eastAsia="Arial" w:hAnsi="Arial"/>
          <w:color w:val="333333"/>
          <w:sz w:val="22"/>
          <w:szCs w:val="22"/>
        </w:rPr>
        <w:t xml:space="preserve">The technical foundation is the unified data platform. Once Renesas has normalized data from ERP, PLM, CRM, and manufacturing systems, building the natural-language query layer is straightforward. This is a Phase 1 deliverable that the CEO will feel directly — building it early earns trust.</w:t>
      </w:r>
    </w:p>
    <w:p>
      <w:pPr>
        <w:spacing w:after="160"/>
        <w:jc w:val="left"/>
      </w:pPr>
      <w:r>
        <w:rPr>
          <w:rFonts w:ascii="Arial" w:cs="Arial" w:eastAsia="Arial" w:hAnsi="Arial"/>
          <w:color w:val="333333"/>
          <w:sz w:val="22"/>
          <w:szCs w:val="22"/>
        </w:rPr>
        <w:t xml:space="preserve">Governance controls ensure data access is role-appropriate and answer confidence levels are clearly indicated. The system does not guess — when data is insufficient for a reliable answer, it says so.</w:t>
      </w:r>
    </w:p>
    <w:p>
      <w:pPr>
        <w:pStyle w:val="Heading2"/>
        <w:spacing w:before="280" w:after="160"/>
      </w:pPr>
      <w:r>
        <w:rPr>
          <w:rFonts w:ascii="Arial" w:cs="Arial" w:eastAsia="Arial" w:hAnsi="Arial"/>
          <w:b/>
          <w:bCs/>
          <w:color w:val="06418C"/>
          <w:sz w:val="28"/>
          <w:szCs w:val="28"/>
        </w:rPr>
        <w:t xml:space="preserve">5.2 R&amp;D: The Primary Lever</w:t>
      </w:r>
    </w:p>
    <w:p>
      <w:pPr>
        <w:spacing w:after="160"/>
        <w:jc w:val="left"/>
      </w:pPr>
      <w:r>
        <w:rPr>
          <w:rFonts w:ascii="Arial" w:cs="Arial" w:eastAsia="Arial" w:hAnsi="Arial"/>
          <w:color w:val="333333"/>
          <w:sz w:val="22"/>
          <w:szCs w:val="22"/>
        </w:rPr>
        <w:t xml:space="preserve">R&amp;D is where AI creates the most asymmetric value for a semiconductor company. The use cases are high-value and high-complexity, which is precisely why they require the Phase 1 foundation.</w:t>
      </w:r>
    </w:p>
    <w:p>
      <w:pPr>
        <w:pStyle w:val="Heading3"/>
        <w:spacing w:before="200" w:after="120"/>
      </w:pPr>
      <w:r>
        <w:rPr>
          <w:rFonts w:ascii="Arial" w:cs="Arial" w:eastAsia="Arial" w:hAnsi="Arial"/>
          <w:b/>
          <w:bCs/>
          <w:color w:val="4471A9"/>
          <w:sz w:val="24"/>
          <w:szCs w:val="24"/>
        </w:rPr>
        <w:t xml:space="preserve">Intelligent IP Reuse</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The Problem.</w:t>
      </w:r>
      <w:r>
        <w:rPr>
          <w:rFonts w:ascii="Arial" w:cs="Arial" w:eastAsia="Arial" w:hAnsi="Arial"/>
          <w:color w:val="333333"/>
          <w:sz w:val="22"/>
          <w:szCs w:val="22"/>
        </w:rPr>
        <w:t xml:space="preserve"> Engineers reinvent what already exists. Across multiple acquisitions (Intersil, IDT, Dialog, Celeno), Renesas possesses a vast portfolio of verified IP blocks, test results, errata documentation, and integration notes. But this knowledge is fragmented across incompatible systems, undocumented in many cases, and effectively invisible to engineers working on new designs.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The Solution.</w:t>
      </w:r>
      <w:r>
        <w:rPr>
          <w:rFonts w:ascii="Arial" w:cs="Arial" w:eastAsia="Arial" w:hAnsi="Arial"/>
          <w:color w:val="333333"/>
          <w:sz w:val="22"/>
          <w:szCs w:val="22"/>
        </w:rPr>
        <w:t xml:space="preserve"> A knowledge graph that indexes all verified IP blocks across the entire Renesas portfolio. Every block is enriched with metadata: verification status, known errata, integration notes, performance characteristics, and previous usage context. Engineers query this in natural language: "Find a verified USB 3.0 controller block that meets automotive temperature range and has been used in at least two production tape-outs."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The Impact.</w:t>
      </w:r>
      <w:r>
        <w:rPr>
          <w:rFonts w:ascii="Arial" w:cs="Arial" w:eastAsia="Arial" w:hAnsi="Arial"/>
          <w:color w:val="333333"/>
          <w:sz w:val="22"/>
          <w:szCs w:val="22"/>
        </w:rPr>
        <w:t xml:space="preserve"> Industry benchmarks suggest 15–25% NPI cycle time reduction from effective IP reuse. For a company with Renesas’s portfolio breadth, the savings compound: each reused block avoids months of redundant design, verification, and qualification work.</w:t>
      </w:r>
    </w:p>
    <w:p>
      <w:pPr>
        <w:pStyle w:val="Heading3"/>
        <w:spacing w:before="200" w:after="120"/>
      </w:pPr>
      <w:r>
        <w:rPr>
          <w:rFonts w:ascii="Arial" w:cs="Arial" w:eastAsia="Arial" w:hAnsi="Arial"/>
          <w:b/>
          <w:bCs/>
          <w:color w:val="4471A9"/>
          <w:sz w:val="24"/>
          <w:szCs w:val="24"/>
        </w:rPr>
        <w:t xml:space="preserve">AI-Assisted Design Review</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The Problem.</w:t>
      </w:r>
      <w:r>
        <w:rPr>
          <w:rFonts w:ascii="Arial" w:cs="Arial" w:eastAsia="Arial" w:hAnsi="Arial"/>
          <w:color w:val="333333"/>
          <w:sz w:val="22"/>
          <w:szCs w:val="22"/>
        </w:rPr>
        <w:t xml:space="preserve"> Design reviews are manual, subjective, and miss patterns that humans consistently miss. The same types of errors recur across design programs because the institutional knowledge of past failures is locked in individual experience.</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The Solution.</w:t>
      </w:r>
      <w:r>
        <w:rPr>
          <w:rFonts w:ascii="Arial" w:cs="Arial" w:eastAsia="Arial" w:hAnsi="Arial"/>
          <w:color w:val="333333"/>
          <w:sz w:val="22"/>
          <w:szCs w:val="22"/>
        </w:rPr>
        <w:t xml:space="preserve"> AI trained on historical design data — past bug reports, design change orders, verification failures, and tape-out outcomes — flags failure patterns, common errors, and optimization opportunities before tape-out.</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The Impact.</w:t>
      </w:r>
      <w:r>
        <w:rPr>
          <w:rFonts w:ascii="Arial" w:cs="Arial" w:eastAsia="Arial" w:hAnsi="Arial"/>
          <w:color w:val="333333"/>
          <w:sz w:val="22"/>
          <w:szCs w:val="22"/>
        </w:rPr>
        <w:t xml:space="preserve"> Every tape-out spin avoided saves $10M+ in direct cost and 3–6 months of schedule. For a company with dozens of active design programs, preventing even 2–3 unnecessary spins per year pays for the entire Phase 1 investment.</w:t>
      </w:r>
    </w:p>
    <w:p>
      <w:pPr>
        <w:pStyle w:val="Heading3"/>
        <w:spacing w:before="200" w:after="120"/>
      </w:pPr>
      <w:r>
        <w:rPr>
          <w:rFonts w:ascii="Arial" w:cs="Arial" w:eastAsia="Arial" w:hAnsi="Arial"/>
          <w:b/>
          <w:bCs/>
          <w:color w:val="4471A9"/>
          <w:sz w:val="24"/>
          <w:szCs w:val="24"/>
        </w:rPr>
        <w:t xml:space="preserve">Spec-to-Architecture Assistance</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The Problem.</w:t>
      </w:r>
      <w:r>
        <w:rPr>
          <w:rFonts w:ascii="Arial" w:cs="Arial" w:eastAsia="Arial" w:hAnsi="Arial"/>
          <w:color w:val="333333"/>
          <w:sz w:val="22"/>
          <w:szCs w:val="22"/>
        </w:rPr>
        <w:t xml:space="preserve"> Getting from customer requirements to initial architecture is slow and heavily manual. The design space exploration is limited by the experience of the individual engineer.</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The Solution.</w:t>
      </w:r>
      <w:r>
        <w:rPr>
          <w:rFonts w:ascii="Arial" w:cs="Arial" w:eastAsia="Arial" w:hAnsi="Arial"/>
          <w:color w:val="333333"/>
          <w:sz w:val="22"/>
          <w:szCs w:val="22"/>
        </w:rPr>
        <w:t xml:space="preserve"> An LLM fine-tuned on the Renesas design corpus assists with architecture exploration — generating candidate architectures, surfacing relevant prior designs, and identifying trade-offs the engineer may not have considered.</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The Impact.</w:t>
      </w:r>
      <w:r>
        <w:rPr>
          <w:rFonts w:ascii="Arial" w:cs="Arial" w:eastAsia="Arial" w:hAnsi="Arial"/>
          <w:color w:val="333333"/>
          <w:sz w:val="22"/>
          <w:szCs w:val="22"/>
        </w:rPr>
        <w:t xml:space="preserve"> Engineers focus on novel problems rather than boilerplate architecture work. The design space explored is broader, leading to better initial architectures and fewer mid-stream pivots.</w:t>
      </w:r>
    </w:p>
    <w:p>
      <w:pPr>
        <w:pStyle w:val="Heading3"/>
        <w:spacing w:before="200" w:after="120"/>
      </w:pPr>
      <w:r>
        <w:rPr>
          <w:rFonts w:ascii="Arial" w:cs="Arial" w:eastAsia="Arial" w:hAnsi="Arial"/>
          <w:b/>
          <w:bCs/>
          <w:color w:val="4471A9"/>
          <w:sz w:val="24"/>
          <w:szCs w:val="24"/>
        </w:rPr>
        <w:t xml:space="preserve">Verification Acceleration</w:t>
      </w:r>
    </w:p>
    <w:p>
      <w:pPr>
        <w:spacing w:after="160"/>
        <w:jc w:val="left"/>
      </w:pPr>
      <w:r>
        <w:rPr>
          <w:rFonts w:ascii="Arial" w:cs="Arial" w:eastAsia="Arial" w:hAnsi="Arial"/>
          <w:color w:val="333333"/>
          <w:sz w:val="22"/>
          <w:szCs w:val="22"/>
        </w:rPr>
        <w:t xml:space="preserve">Verification consumes 60–70% of the chip design cycle. AI-driven verification optimization, already proven at NVIDIA (33% better functional coverage, 5x regression test compression using Synopsys VSO.ai), directly translates to faster tape-out and higher confidence. The verification cycle is the single largest bottleneck in semiconductor development. Even modest improvements here have outsized schedule and cost impact.</w:t>
      </w:r>
    </w:p>
    <w:p>
      <w:pPr>
        <w:pStyle w:val="Heading2"/>
        <w:spacing w:before="280" w:after="160"/>
      </w:pPr>
      <w:r>
        <w:rPr>
          <w:rFonts w:ascii="Arial" w:cs="Arial" w:eastAsia="Arial" w:hAnsi="Arial"/>
          <w:b/>
          <w:bCs/>
          <w:color w:val="06418C"/>
          <w:sz w:val="28"/>
          <w:szCs w:val="28"/>
        </w:rPr>
        <w:t xml:space="preserve">5.3 Operations and Manufacturing</w:t>
      </w:r>
    </w:p>
    <w:p>
      <w:pPr>
        <w:spacing w:after="160"/>
        <w:jc w:val="left"/>
      </w:pPr>
      <w:r>
        <w:rPr>
          <w:rFonts w:ascii="Arial" w:cs="Arial" w:eastAsia="Arial" w:hAnsi="Arial"/>
          <w:color w:val="333333"/>
          <w:sz w:val="22"/>
          <w:szCs w:val="22"/>
        </w:rPr>
        <w:t xml:space="preserve">The factory floor is a data source Renesas is not fully using. Three use cases define the manufacturing AI opportunity:</w:t>
      </w:r>
    </w:p>
    <w:p>
      <w:pPr>
        <w:pStyle w:val="Heading3"/>
        <w:spacing w:before="200" w:after="120"/>
      </w:pPr>
      <w:r>
        <w:rPr>
          <w:rFonts w:ascii="Arial" w:cs="Arial" w:eastAsia="Arial" w:hAnsi="Arial"/>
          <w:b/>
          <w:bCs/>
          <w:color w:val="4471A9"/>
          <w:sz w:val="24"/>
          <w:szCs w:val="24"/>
        </w:rPr>
        <w:t xml:space="preserve">Predictive Maintenance</w:t>
      </w:r>
    </w:p>
    <w:p>
      <w:pPr>
        <w:spacing w:after="160"/>
        <w:jc w:val="left"/>
      </w:pPr>
      <w:r>
        <w:rPr>
          <w:rFonts w:ascii="Arial" w:cs="Arial" w:eastAsia="Arial" w:hAnsi="Arial"/>
          <w:color w:val="333333"/>
          <w:sz w:val="22"/>
          <w:szCs w:val="22"/>
        </w:rPr>
        <w:t xml:space="preserve">Sensor data from fab equipment, combined with ML models, predicts equipment failure before it happens. Intel achieved a 20% reduction in unplanned downtime with similar deployments. For Renesas, fab equipment is expensive and downtime has cascading effects on delivery commitments to automotive customers who operate on tight just-in-time schedules.</w:t>
      </w:r>
    </w:p>
    <w:p>
      <w:pPr>
        <w:pStyle w:val="Heading3"/>
        <w:spacing w:before="200" w:after="120"/>
      </w:pPr>
      <w:r>
        <w:rPr>
          <w:rFonts w:ascii="Arial" w:cs="Arial" w:eastAsia="Arial" w:hAnsi="Arial"/>
          <w:b/>
          <w:bCs/>
          <w:color w:val="4471A9"/>
          <w:sz w:val="24"/>
          <w:szCs w:val="24"/>
        </w:rPr>
        <w:t xml:space="preserve">Yield Optimization</w:t>
      </w:r>
    </w:p>
    <w:p>
      <w:pPr>
        <w:spacing w:after="160"/>
        <w:jc w:val="left"/>
      </w:pPr>
      <w:r>
        <w:rPr>
          <w:rFonts w:ascii="Arial" w:cs="Arial" w:eastAsia="Arial" w:hAnsi="Arial"/>
          <w:color w:val="333333"/>
          <w:sz w:val="22"/>
          <w:szCs w:val="22"/>
        </w:rPr>
        <w:t xml:space="preserve">ML models identify process variables correlated with yield loss that are invisible to traditional statistical process control. TSMC and Samsung use AI-driven process control at scale. Semiconductor manufacturing is a game of percentages: even 0.5% yield improvement at Renesas volumes translates to significant cost recovery.</w:t>
      </w:r>
    </w:p>
    <w:p>
      <w:pPr>
        <w:pStyle w:val="Heading3"/>
        <w:spacing w:before="200" w:after="120"/>
      </w:pPr>
      <w:r>
        <w:rPr>
          <w:rFonts w:ascii="Arial" w:cs="Arial" w:eastAsia="Arial" w:hAnsi="Arial"/>
          <w:b/>
          <w:bCs/>
          <w:color w:val="4471A9"/>
          <w:sz w:val="24"/>
          <w:szCs w:val="24"/>
        </w:rPr>
        <w:t xml:space="preserve">Defect Detection</w:t>
      </w:r>
    </w:p>
    <w:p>
      <w:pPr>
        <w:spacing w:after="160"/>
        <w:jc w:val="left"/>
      </w:pPr>
      <w:r>
        <w:rPr>
          <w:rFonts w:ascii="Arial" w:cs="Arial" w:eastAsia="Arial" w:hAnsi="Arial"/>
          <w:color w:val="333333"/>
          <w:sz w:val="22"/>
          <w:szCs w:val="22"/>
        </w:rPr>
        <w:t xml:space="preserve">Computer vision applied to wafer inspection operates at speeds and consistency levels humans cannot match. This is the lowest-resistance manufacturing AI use case: straightforward deployment, high ROI, and minimal organizational friction. A natural Phase 1 target.</w:t>
      </w:r>
    </w:p>
    <w:p>
      <w:pPr>
        <w:pStyle w:val="Heading2"/>
        <w:spacing w:before="280" w:after="160"/>
      </w:pPr>
      <w:r>
        <w:rPr>
          <w:rFonts w:ascii="Arial" w:cs="Arial" w:eastAsia="Arial" w:hAnsi="Arial"/>
          <w:b/>
          <w:bCs/>
          <w:color w:val="06418C"/>
          <w:sz w:val="28"/>
          <w:szCs w:val="28"/>
        </w:rPr>
        <w:t xml:space="preserve">5.4 Supply Chain</w:t>
      </w:r>
    </w:p>
    <w:p>
      <w:pPr>
        <w:spacing w:after="160"/>
        <w:jc w:val="left"/>
      </w:pPr>
      <w:r>
        <w:rPr>
          <w:rFonts w:ascii="Arial" w:cs="Arial" w:eastAsia="Arial" w:hAnsi="Arial"/>
          <w:color w:val="333333"/>
          <w:sz w:val="22"/>
          <w:szCs w:val="22"/>
        </w:rPr>
        <w:t xml:space="preserve">Supply chain fragility is a strategic risk that the 2020–2023 disruption cycle made painfully clear. AI transforms supply chain management from reactive to predictive:</w:t>
      </w:r>
    </w:p>
    <w:p>
      <w:pPr>
        <w:pStyle w:val="Heading3"/>
        <w:spacing w:before="200" w:after="120"/>
      </w:pPr>
      <w:r>
        <w:rPr>
          <w:rFonts w:ascii="Arial" w:cs="Arial" w:eastAsia="Arial" w:hAnsi="Arial"/>
          <w:b/>
          <w:bCs/>
          <w:color w:val="4471A9"/>
          <w:sz w:val="24"/>
          <w:szCs w:val="24"/>
        </w:rPr>
        <w:t xml:space="preserve">Demand Sensing</w:t>
      </w:r>
    </w:p>
    <w:p>
      <w:pPr>
        <w:spacing w:after="160"/>
        <w:jc w:val="left"/>
      </w:pPr>
      <w:r>
        <w:rPr>
          <w:rFonts w:ascii="Arial" w:cs="Arial" w:eastAsia="Arial" w:hAnsi="Arial"/>
          <w:color w:val="333333"/>
          <w:sz w:val="22"/>
          <w:szCs w:val="22"/>
        </w:rPr>
        <w:t xml:space="preserve">Forward-looking signal detection replaces backward-looking forecasting. The model ingests customer order patterns, macroeconomic signals, OEM production schedules, and market indicators to predict demand shifts before they manifest in orders. The result: reduced excess inventory and improved on-time delivery.</w:t>
      </w:r>
    </w:p>
    <w:p>
      <w:pPr>
        <w:pStyle w:val="Heading3"/>
        <w:spacing w:before="200" w:after="120"/>
      </w:pPr>
      <w:r>
        <w:rPr>
          <w:rFonts w:ascii="Arial" w:cs="Arial" w:eastAsia="Arial" w:hAnsi="Arial"/>
          <w:b/>
          <w:bCs/>
          <w:color w:val="4471A9"/>
          <w:sz w:val="24"/>
          <w:szCs w:val="24"/>
        </w:rPr>
        <w:t xml:space="preserve">Disruption Intelligence</w:t>
      </w:r>
    </w:p>
    <w:p>
      <w:pPr>
        <w:spacing w:after="160"/>
        <w:jc w:val="left"/>
      </w:pPr>
      <w:r>
        <w:rPr>
          <w:rFonts w:ascii="Arial" w:cs="Arial" w:eastAsia="Arial" w:hAnsi="Arial"/>
          <w:color w:val="333333"/>
          <w:sz w:val="22"/>
          <w:szCs w:val="22"/>
        </w:rPr>
        <w:t xml:space="preserve">Real-time monitoring of supplier geopolitical risk, capacity constraints, and natural events provides early warning. The Renesas-specific context includes TSMC concentration risk, Japan logistics vulnerabilities, and US-China supply chain dynamics. Early warning enables faster response and fewer crisis-mode fire drills.</w:t>
      </w:r>
    </w:p>
    <w:p>
      <w:pPr>
        <w:pStyle w:val="Heading3"/>
        <w:spacing w:before="200" w:after="120"/>
      </w:pPr>
      <w:r>
        <w:rPr>
          <w:rFonts w:ascii="Arial" w:cs="Arial" w:eastAsia="Arial" w:hAnsi="Arial"/>
          <w:b/>
          <w:bCs/>
          <w:color w:val="4471A9"/>
          <w:sz w:val="24"/>
          <w:szCs w:val="24"/>
        </w:rPr>
        <w:t xml:space="preserve">Component Obsolescence Prediction</w:t>
      </w:r>
    </w:p>
    <w:p>
      <w:pPr>
        <w:spacing w:after="160"/>
        <w:jc w:val="left"/>
      </w:pPr>
      <w:r>
        <w:rPr>
          <w:rFonts w:ascii="Arial" w:cs="Arial" w:eastAsia="Arial" w:hAnsi="Arial"/>
          <w:color w:val="333333"/>
          <w:sz w:val="22"/>
          <w:szCs w:val="22"/>
        </w:rPr>
        <w:t xml:space="preserve">AI predicts end-of-life 12–24 months before formal supplier notification. This is critical for automotive customers who require 15+ year supply guarantees. Proactive management — qualifying alternatives, planning substitutions, communicating with customers — replaces the reactive scrambling that currently characterizes obsolescence events.</w:t>
      </w:r>
    </w:p>
    <w:p>
      <w:pPr>
        <w:pStyle w:val="Heading2"/>
        <w:spacing w:before="280" w:after="160"/>
      </w:pPr>
      <w:r>
        <w:rPr>
          <w:rFonts w:ascii="Arial" w:cs="Arial" w:eastAsia="Arial" w:hAnsi="Arial"/>
          <w:b/>
          <w:bCs/>
          <w:color w:val="06418C"/>
          <w:sz w:val="28"/>
          <w:szCs w:val="28"/>
        </w:rPr>
        <w:t xml:space="preserve">5.5 Finance</w:t>
      </w:r>
    </w:p>
    <w:p>
      <w:pPr>
        <w:spacing w:after="160"/>
        <w:jc w:val="left"/>
      </w:pPr>
      <w:r>
        <w:rPr>
          <w:rFonts w:ascii="Arial" w:cs="Arial" w:eastAsia="Arial" w:hAnsi="Arial"/>
          <w:color w:val="333333"/>
          <w:sz w:val="22"/>
          <w:szCs w:val="22"/>
        </w:rPr>
        <w:t xml:space="preserve">Finance is one of the fastest and cheapest places to demonstrate AI value. The data is structured, the pain is obvious, and the results are visible to the CEO.</w:t>
      </w:r>
    </w:p>
    <w:p>
      <w:pPr>
        <w:pStyle w:val="Heading3"/>
        <w:spacing w:before="200" w:after="120"/>
      </w:pPr>
      <w:r>
        <w:rPr>
          <w:rFonts w:ascii="Arial" w:cs="Arial" w:eastAsia="Arial" w:hAnsi="Arial"/>
          <w:b/>
          <w:bCs/>
          <w:color w:val="4471A9"/>
          <w:sz w:val="24"/>
          <w:szCs w:val="24"/>
        </w:rPr>
        <w:t xml:space="preserve">Automated Reporting and Variance Narrative</w:t>
      </w:r>
    </w:p>
    <w:p>
      <w:pPr>
        <w:spacing w:after="160"/>
        <w:jc w:val="left"/>
      </w:pPr>
      <w:r>
        <w:rPr>
          <w:rFonts w:ascii="Arial" w:cs="Arial" w:eastAsia="Arial" w:hAnsi="Arial"/>
          <w:color w:val="333333"/>
          <w:sz w:val="22"/>
          <w:szCs w:val="22"/>
        </w:rPr>
        <w:t xml:space="preserve">Finance teams spend 40–60% of close time on manual report preparation. AI generates variance commentary, exception flags, and board-ready summaries directly from the data layer. Timeline to production: 3–6 months. This is the canonical Phase 1 quick win.</w:t>
      </w:r>
    </w:p>
    <w:p>
      <w:pPr>
        <w:pStyle w:val="Heading3"/>
        <w:spacing w:before="200" w:after="120"/>
      </w:pPr>
      <w:r>
        <w:rPr>
          <w:rFonts w:ascii="Arial" w:cs="Arial" w:eastAsia="Arial" w:hAnsi="Arial"/>
          <w:b/>
          <w:bCs/>
          <w:color w:val="4471A9"/>
          <w:sz w:val="24"/>
          <w:szCs w:val="24"/>
        </w:rPr>
        <w:t xml:space="preserve">FP&amp;A Scenario Modeling</w:t>
      </w:r>
    </w:p>
    <w:p>
      <w:pPr>
        <w:spacing w:after="160"/>
        <w:jc w:val="left"/>
      </w:pPr>
      <w:r>
        <w:rPr>
          <w:rFonts w:ascii="Arial" w:cs="Arial" w:eastAsia="Arial" w:hAnsi="Arial"/>
          <w:color w:val="333333"/>
          <w:sz w:val="22"/>
          <w:szCs w:val="22"/>
        </w:rPr>
        <w:t xml:space="preserve">AI-assisted "what if" modeling enables real-time scenario analysis: exchange rate scenarios, product mix shifts, tariff impacts, pricing elasticity. Finance becomes faster and more strategic — less time pulling data, more time advising. Imagine modeling the impact of a tariff change on every product line in real time, instead of waiting two weeks for the analysis.</w:t>
      </w:r>
    </w:p>
    <w:p>
      <w:pPr>
        <w:pStyle w:val="Heading3"/>
        <w:spacing w:before="200" w:after="120"/>
      </w:pPr>
      <w:r>
        <w:rPr>
          <w:rFonts w:ascii="Arial" w:cs="Arial" w:eastAsia="Arial" w:hAnsi="Arial"/>
          <w:b/>
          <w:bCs/>
          <w:color w:val="4471A9"/>
          <w:sz w:val="24"/>
          <w:szCs w:val="24"/>
        </w:rPr>
        <w:t xml:space="preserve">Pricing Intelligence</w:t>
      </w:r>
    </w:p>
    <w:p>
      <w:pPr>
        <w:spacing w:after="160"/>
        <w:jc w:val="left"/>
      </w:pPr>
      <w:r>
        <w:rPr>
          <w:rFonts w:ascii="Arial" w:cs="Arial" w:eastAsia="Arial" w:hAnsi="Arial"/>
          <w:color w:val="333333"/>
          <w:sz w:val="22"/>
          <w:szCs w:val="22"/>
        </w:rPr>
        <w:t xml:space="preserve">AI analyzes competitive pricing, customer elasticity, and product mix optimization. Particularly relevant for Renesas’s direct vs. distribution channel economics, where pricing decisions cascade through complex channel structures.</w:t>
      </w:r>
    </w:p>
    <w:p>
      <w:pPr>
        <w:pStyle w:val="Heading2"/>
        <w:spacing w:before="280" w:after="160"/>
      </w:pPr>
      <w:r>
        <w:rPr>
          <w:rFonts w:ascii="Arial" w:cs="Arial" w:eastAsia="Arial" w:hAnsi="Arial"/>
          <w:b/>
          <w:bCs/>
          <w:color w:val="06418C"/>
          <w:sz w:val="28"/>
          <w:szCs w:val="28"/>
        </w:rPr>
        <w:t xml:space="preserve">5.6 Legal and Compliance</w:t>
      </w:r>
    </w:p>
    <w:p>
      <w:pPr>
        <w:spacing w:after="160"/>
        <w:jc w:val="left"/>
      </w:pPr>
      <w:r>
        <w:rPr>
          <w:rFonts w:ascii="Arial" w:cs="Arial" w:eastAsia="Arial" w:hAnsi="Arial"/>
          <w:color w:val="333333"/>
          <w:sz w:val="22"/>
          <w:szCs w:val="22"/>
        </w:rPr>
        <w:t xml:space="preserve">AI reduces legal risk and cost simultaneously. The architecture matters — different legal functions require different AI approaches:</w:t>
      </w:r>
    </w:p>
    <w:p>
      <w:pPr>
        <w:pStyle w:val="Heading3"/>
        <w:spacing w:before="200" w:after="120"/>
      </w:pPr>
      <w:r>
        <w:rPr>
          <w:rFonts w:ascii="Arial" w:cs="Arial" w:eastAsia="Arial" w:hAnsi="Arial"/>
          <w:b/>
          <w:bCs/>
          <w:color w:val="4471A9"/>
          <w:sz w:val="24"/>
          <w:szCs w:val="24"/>
        </w:rPr>
        <w:t xml:space="preserve">Contract Review (RAG-based) — Phase 1</w:t>
      </w:r>
    </w:p>
    <w:p>
      <w:pPr>
        <w:spacing w:after="160"/>
        <w:jc w:val="left"/>
      </w:pPr>
      <w:r>
        <w:rPr>
          <w:rFonts w:ascii="Arial" w:cs="Arial" w:eastAsia="Arial" w:hAnsi="Arial"/>
          <w:color w:val="333333"/>
          <w:sz w:val="22"/>
          <w:szCs w:val="22"/>
        </w:rPr>
        <w:t xml:space="preserve">NDAs, supplier agreements, and customer contracts receive first-pass AI review in minutes rather than days. The target: 70% faster first-pass review, with the legal team focusing on exceptions and judgment calls. RAG is the appropriate architecture: volume is high, stakes are medium, and full traceability is not required for first pass.</w:t>
      </w:r>
    </w:p>
    <w:p>
      <w:pPr>
        <w:pStyle w:val="Heading3"/>
        <w:spacing w:before="200" w:after="120"/>
      </w:pPr>
      <w:r>
        <w:rPr>
          <w:rFonts w:ascii="Arial" w:cs="Arial" w:eastAsia="Arial" w:hAnsi="Arial"/>
          <w:b/>
          <w:bCs/>
          <w:color w:val="4471A9"/>
          <w:sz w:val="24"/>
          <w:szCs w:val="24"/>
        </w:rPr>
        <w:t xml:space="preserve">Export Control and Trade Compliance — Ontology Required</w:t>
      </w:r>
    </w:p>
    <w:p>
      <w:pPr>
        <w:spacing w:after="160"/>
        <w:jc w:val="left"/>
      </w:pPr>
      <w:r>
        <w:rPr>
          <w:rFonts w:ascii="Arial" w:cs="Arial" w:eastAsia="Arial" w:hAnsi="Arial"/>
          <w:color w:val="333333"/>
          <w:sz w:val="22"/>
          <w:szCs w:val="22"/>
        </w:rPr>
        <w:t xml:space="preserve">Renesas sells globally, including to restricted jurisdictions. Export control is complex and high-stakes. AI monitors regulatory changes, flags potential violations, and maintains an audit trail. Ontology is required here — audit trail and traceability are non-negotiable for compliance.</w:t>
      </w:r>
    </w:p>
    <w:p>
      <w:pPr>
        <w:pStyle w:val="Heading3"/>
        <w:spacing w:before="200" w:after="120"/>
      </w:pPr>
      <w:r>
        <w:rPr>
          <w:rFonts w:ascii="Arial" w:cs="Arial" w:eastAsia="Arial" w:hAnsi="Arial"/>
          <w:b/>
          <w:bCs/>
          <w:color w:val="4471A9"/>
          <w:sz w:val="24"/>
          <w:szCs w:val="24"/>
        </w:rPr>
        <w:t xml:space="preserve">AI-Powered Contract Risk Review — Phase 1-2</w:t>
      </w:r>
    </w:p>
    <w:p>
      <w:pPr>
        <w:spacing w:after="160"/>
        <w:jc w:val="left"/>
      </w:pPr>
      <w:r>
        <w:rPr>
          <w:rFonts w:ascii="Arial" w:cs="Arial" w:eastAsia="Arial" w:hAnsi="Arial"/>
          <w:color w:val="333333"/>
          <w:sz w:val="22"/>
          <w:szCs w:val="22"/>
        </w:rPr>
        <w:t xml:space="preserve">AI-assisted review of supplier and partner contract terms against risk frameworks flags unusual clauses, unfavorable terms, concentration risk, and misalignment with operational reality.</w:t>
      </w:r>
    </w:p>
    <w:p>
      <w:pPr>
        <w:spacing w:after="160"/>
        <w:jc w:val="left"/>
      </w:pPr>
      <w:r>
        <w:rPr>
          <w:rFonts w:ascii="Arial" w:cs="Arial" w:eastAsia="Arial" w:hAnsi="Arial"/>
          <w:color w:val="333333"/>
          <w:sz w:val="22"/>
          <w:szCs w:val="22"/>
        </w:rPr>
        <w:t xml:space="preserve">The Wolfspeed lesson is instructive. Contract terms and conditions that created downstream exposure were not flagged early enough. AI-assisted contract review — analyzing terms against risk frameworks, cross-referencing with historical contract outcomes, and flagging patterns that lead to disputes — could have caught those issues at the review stage. This is not hypothetical. It is a real governance use case with concrete precedent.</w:t>
      </w:r>
    </w:p>
    <w:p>
      <w:pPr>
        <w:pStyle w:val="Heading2"/>
        <w:spacing w:before="280" w:after="160"/>
      </w:pPr>
      <w:r>
        <w:rPr>
          <w:rFonts w:ascii="Arial" w:cs="Arial" w:eastAsia="Arial" w:hAnsi="Arial"/>
          <w:b/>
          <w:bCs/>
          <w:color w:val="06418C"/>
          <w:sz w:val="28"/>
          <w:szCs w:val="28"/>
        </w:rPr>
        <w:t xml:space="preserve">5.7 HR and Workforce Planning</w:t>
      </w:r>
    </w:p>
    <w:p>
      <w:pPr>
        <w:spacing w:after="160"/>
        <w:jc w:val="left"/>
      </w:pPr>
      <w:r>
        <w:rPr>
          <w:rFonts w:ascii="Arial" w:cs="Arial" w:eastAsia="Arial" w:hAnsi="Arial"/>
          <w:color w:val="333333"/>
          <w:sz w:val="22"/>
          <w:szCs w:val="22"/>
        </w:rPr>
        <w:t xml:space="preserve">The transformation of the workforce starts in Phase 1, not Phase 3. This is a fundamental design principle. The companies that succeeded — Deere, NVIDIA, Siemens — all treated talent transformation as a parallel track alongside platform investment, not a consequence of it.</w:t>
      </w:r>
    </w:p>
    <w:p>
      <w:pPr>
        <w:pStyle w:val="Heading3"/>
        <w:spacing w:before="200" w:after="120"/>
      </w:pPr>
      <w:r>
        <w:rPr>
          <w:rFonts w:ascii="Arial" w:cs="Arial" w:eastAsia="Arial" w:hAnsi="Arial"/>
          <w:b/>
          <w:bCs/>
          <w:color w:val="4471A9"/>
          <w:sz w:val="24"/>
          <w:szCs w:val="24"/>
        </w:rPr>
        <w:t xml:space="preserve">Phase 1: Operational AI and Foundation</w:t>
      </w:r>
    </w:p>
    <w:p>
      <w:pPr>
        <w:pStyle w:val="ListParagraph"/>
        <w:numPr>
          <w:ilvl w:val="0"/>
          <w:numId w:val="2"/>
        </w:numPr>
        <w:spacing w:after="80"/>
      </w:pPr>
      <w:r>
        <w:rPr>
          <w:rFonts w:ascii="Arial" w:cs="Arial" w:eastAsia="Arial" w:hAnsi="Arial"/>
          <w:color w:val="333333"/>
          <w:sz w:val="22"/>
          <w:szCs w:val="22"/>
        </w:rPr>
        <w:t xml:space="preserve">Job description generation and calibration</w:t>
      </w:r>
    </w:p>
    <w:p>
      <w:pPr>
        <w:pStyle w:val="ListParagraph"/>
        <w:numPr>
          <w:ilvl w:val="0"/>
          <w:numId w:val="2"/>
        </w:numPr>
        <w:spacing w:after="80"/>
      </w:pPr>
      <w:r>
        <w:rPr>
          <w:rFonts w:ascii="Arial" w:cs="Arial" w:eastAsia="Arial" w:hAnsi="Arial"/>
          <w:color w:val="333333"/>
          <w:sz w:val="22"/>
          <w:szCs w:val="22"/>
        </w:rPr>
        <w:t xml:space="preserve">Candidate screening (structured, bias-tested)</w:t>
      </w:r>
    </w:p>
    <w:p>
      <w:pPr>
        <w:pStyle w:val="ListParagraph"/>
        <w:numPr>
          <w:ilvl w:val="0"/>
          <w:numId w:val="2"/>
        </w:numPr>
        <w:spacing w:after="80"/>
      </w:pPr>
      <w:r>
        <w:rPr>
          <w:rFonts w:ascii="Arial" w:cs="Arial" w:eastAsia="Arial" w:hAnsi="Arial"/>
          <w:color w:val="333333"/>
          <w:sz w:val="22"/>
          <w:szCs w:val="22"/>
        </w:rPr>
        <w:t xml:space="preserve">AI literacy certification for all employees (mandatory)</w:t>
      </w:r>
    </w:p>
    <w:p>
      <w:pPr>
        <w:pStyle w:val="ListParagraph"/>
        <w:numPr>
          <w:ilvl w:val="0"/>
          <w:numId w:val="2"/>
        </w:numPr>
        <w:spacing w:after="80"/>
      </w:pPr>
      <w:r>
        <w:rPr>
          <w:rFonts w:ascii="Arial" w:cs="Arial" w:eastAsia="Arial" w:hAnsi="Arial"/>
          <w:color w:val="333333"/>
          <w:sz w:val="22"/>
          <w:szCs w:val="22"/>
        </w:rPr>
        <w:t xml:space="preserve">Workforce skills baseline assessment: what does Renesas have today?</w:t>
      </w:r>
    </w:p>
    <w:p>
      <w:pPr>
        <w:pStyle w:val="Heading3"/>
        <w:spacing w:before="200" w:after="120"/>
      </w:pPr>
      <w:r>
        <w:rPr>
          <w:rFonts w:ascii="Arial" w:cs="Arial" w:eastAsia="Arial" w:hAnsi="Arial"/>
          <w:b/>
          <w:bCs/>
          <w:color w:val="4471A9"/>
          <w:sz w:val="24"/>
          <w:szCs w:val="24"/>
        </w:rPr>
        <w:t xml:space="preserve">Phase 2: Workforce Intelligence</w:t>
      </w:r>
    </w:p>
    <w:p>
      <w:pPr>
        <w:pStyle w:val="ListParagraph"/>
        <w:numPr>
          <w:ilvl w:val="0"/>
          <w:numId w:val="2"/>
        </w:numPr>
        <w:spacing w:after="80"/>
      </w:pPr>
      <w:r>
        <w:rPr>
          <w:rFonts w:ascii="Arial" w:cs="Arial" w:eastAsia="Arial" w:hAnsi="Arial"/>
          <w:color w:val="333333"/>
          <w:sz w:val="22"/>
          <w:szCs w:val="22"/>
        </w:rPr>
        <w:t xml:space="preserve">Skills gap analysis: what does the AI-native future require vs. what exists?</w:t>
      </w:r>
    </w:p>
    <w:p>
      <w:pPr>
        <w:pStyle w:val="ListParagraph"/>
        <w:numPr>
          <w:ilvl w:val="0"/>
          <w:numId w:val="2"/>
        </w:numPr>
        <w:spacing w:after="80"/>
      </w:pPr>
      <w:r>
        <w:rPr>
          <w:rFonts w:ascii="Arial" w:cs="Arial" w:eastAsia="Arial" w:hAnsi="Arial"/>
          <w:color w:val="333333"/>
          <w:sz w:val="22"/>
          <w:szCs w:val="22"/>
        </w:rPr>
        <w:t xml:space="preserve">Reskilling pathways designed and deployed</w:t>
      </w:r>
    </w:p>
    <w:p>
      <w:pPr>
        <w:pStyle w:val="ListParagraph"/>
        <w:numPr>
          <w:ilvl w:val="0"/>
          <w:numId w:val="2"/>
        </w:numPr>
        <w:spacing w:after="80"/>
      </w:pPr>
      <w:r>
        <w:rPr>
          <w:rFonts w:ascii="Arial" w:cs="Arial" w:eastAsia="Arial" w:hAnsi="Arial"/>
          <w:color w:val="333333"/>
          <w:sz w:val="22"/>
          <w:szCs w:val="22"/>
        </w:rPr>
        <w:t xml:space="preserve">New AI-native job families defined</w:t>
      </w:r>
    </w:p>
    <w:p>
      <w:pPr>
        <w:pStyle w:val="ListParagraph"/>
        <w:numPr>
          <w:ilvl w:val="0"/>
          <w:numId w:val="2"/>
        </w:numPr>
        <w:spacing w:after="80"/>
      </w:pPr>
      <w:r>
        <w:rPr>
          <w:rFonts w:ascii="Arial" w:cs="Arial" w:eastAsia="Arial" w:hAnsi="Arial"/>
          <w:color w:val="333333"/>
          <w:sz w:val="22"/>
          <w:szCs w:val="22"/>
        </w:rPr>
        <w:t xml:space="preserve">Build vs. hire vs. retrain decision framework</w:t>
      </w:r>
    </w:p>
    <w:p>
      <w:pPr>
        <w:pStyle w:val="Heading3"/>
        <w:spacing w:before="200" w:after="120"/>
      </w:pPr>
      <w:r>
        <w:rPr>
          <w:rFonts w:ascii="Arial" w:cs="Arial" w:eastAsia="Arial" w:hAnsi="Arial"/>
          <w:b/>
          <w:bCs/>
          <w:color w:val="4471A9"/>
          <w:sz w:val="24"/>
          <w:szCs w:val="24"/>
        </w:rPr>
        <w:t xml:space="preserve">Phase 3: Workforce Architecture</w:t>
      </w:r>
    </w:p>
    <w:p>
      <w:pPr>
        <w:spacing w:after="160"/>
        <w:jc w:val="left"/>
      </w:pPr>
      <w:r>
        <w:rPr>
          <w:rFonts w:ascii="Arial" w:cs="Arial" w:eastAsia="Arial" w:hAnsi="Arial"/>
          <w:color w:val="333333"/>
          <w:sz w:val="22"/>
          <w:szCs w:val="22"/>
        </w:rPr>
        <w:t xml:space="preserve">If AI handles 30% of repetitive engineering tasks, what does the R&amp;D organization look like? Workforce planning becomes a strategic function, not an HR administrative exercise. Organization design matches the AI-native operating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HR is a strategic partner from Day 1. The companies that wait until Phase 3 to think about the workforce will have the technology and not the people to use it.</w:t>
            </w:r>
          </w:p>
        </w:tc>
      </w:tr>
    </w:tbl>
    <w:p>
      <w:pPr>
        <w:pStyle w:val="Heading2"/>
        <w:spacing w:before="280" w:after="160"/>
      </w:pPr>
      <w:r>
        <w:rPr>
          <w:rFonts w:ascii="Arial" w:cs="Arial" w:eastAsia="Arial" w:hAnsi="Arial"/>
          <w:b/>
          <w:bCs/>
          <w:color w:val="06418C"/>
          <w:sz w:val="28"/>
          <w:szCs w:val="28"/>
        </w:rPr>
        <w:t xml:space="preserve">5.8 Sales and Customer Intelligence</w:t>
      </w:r>
    </w:p>
    <w:p>
      <w:pPr>
        <w:spacing w:after="160"/>
        <w:jc w:val="left"/>
      </w:pPr>
      <w:r>
        <w:rPr>
          <w:rFonts w:ascii="Arial" w:cs="Arial" w:eastAsia="Arial" w:hAnsi="Arial"/>
          <w:color w:val="333333"/>
          <w:sz w:val="22"/>
          <w:szCs w:val="22"/>
        </w:rPr>
        <w:t xml:space="preserve">AI makes sales more targeted and customers more successful. Two tracks define the opportunity:</w:t>
      </w:r>
    </w:p>
    <w:p>
      <w:pPr>
        <w:pStyle w:val="Heading3"/>
        <w:spacing w:before="200" w:after="120"/>
      </w:pPr>
      <w:r>
        <w:rPr>
          <w:rFonts w:ascii="Arial" w:cs="Arial" w:eastAsia="Arial" w:hAnsi="Arial"/>
          <w:b/>
          <w:bCs/>
          <w:color w:val="4471A9"/>
          <w:sz w:val="24"/>
          <w:szCs w:val="24"/>
        </w:rPr>
        <w:t xml:space="preserve">Internal Sales Intelligence</w:t>
      </w:r>
    </w:p>
    <w:p>
      <w:pPr>
        <w:pStyle w:val="ListParagraph"/>
        <w:numPr>
          <w:ilvl w:val="0"/>
          <w:numId w:val="2"/>
        </w:numPr>
        <w:spacing w:after="80"/>
      </w:pPr>
      <w:r>
        <w:rPr>
          <w:rFonts w:ascii="Arial" w:cs="Arial" w:eastAsia="Arial" w:hAnsi="Arial"/>
          <w:color w:val="333333"/>
          <w:sz w:val="22"/>
          <w:szCs w:val="22"/>
        </w:rPr>
        <w:t xml:space="preserve">Lead scoring and prioritization based on customer design activity patterns</w:t>
      </w:r>
    </w:p>
    <w:p>
      <w:pPr>
        <w:pStyle w:val="ListParagraph"/>
        <w:numPr>
          <w:ilvl w:val="0"/>
          <w:numId w:val="2"/>
        </w:numPr>
        <w:spacing w:after="80"/>
      </w:pPr>
      <w:r>
        <w:rPr>
          <w:rFonts w:ascii="Arial" w:cs="Arial" w:eastAsia="Arial" w:hAnsi="Arial"/>
          <w:color w:val="333333"/>
          <w:sz w:val="22"/>
          <w:szCs w:val="22"/>
        </w:rPr>
        <w:t xml:space="preserve">Design-in opportunity detection: which customers are in early design phase?</w:t>
      </w:r>
    </w:p>
    <w:p>
      <w:pPr>
        <w:pStyle w:val="ListParagraph"/>
        <w:numPr>
          <w:ilvl w:val="0"/>
          <w:numId w:val="2"/>
        </w:numPr>
        <w:spacing w:after="80"/>
      </w:pPr>
      <w:r>
        <w:rPr>
          <w:rFonts w:ascii="Arial" w:cs="Arial" w:eastAsia="Arial" w:hAnsi="Arial"/>
          <w:color w:val="333333"/>
          <w:sz w:val="22"/>
          <w:szCs w:val="22"/>
        </w:rPr>
        <w:t xml:space="preserve">CRM enrichment: auto-log meeting notes, update pipeline, flag churn signals</w:t>
      </w:r>
    </w:p>
    <w:p>
      <w:pPr>
        <w:pStyle w:val="ListParagraph"/>
        <w:numPr>
          <w:ilvl w:val="0"/>
          <w:numId w:val="2"/>
        </w:numPr>
        <w:spacing w:after="80"/>
      </w:pPr>
      <w:r>
        <w:rPr>
          <w:rFonts w:ascii="Arial" w:cs="Arial" w:eastAsia="Arial" w:hAnsi="Arial"/>
          <w:color w:val="333333"/>
          <w:sz w:val="22"/>
          <w:szCs w:val="22"/>
        </w:rPr>
        <w:t xml:space="preserve">Competitive positioning intelligence: what are customers evaluating?</w:t>
      </w:r>
    </w:p>
    <w:p>
      <w:pPr>
        <w:spacing w:after="80"/>
      </w:pPr>
    </w:p>
    <w:p>
      <w:pPr>
        <w:spacing w:after="160"/>
        <w:jc w:val="left"/>
      </w:pPr>
      <w:r>
        <w:rPr>
          <w:rFonts w:ascii="Arial" w:cs="Arial" w:eastAsia="Arial" w:hAnsi="Arial"/>
          <w:color w:val="333333"/>
          <w:sz w:val="22"/>
          <w:szCs w:val="22"/>
        </w:rPr>
        <w:t xml:space="preserve">In semiconductor sales, knowing 3 months earlier that a customer is starting a new design means getting into the selection process before competitors. That time advantage translates directly to design-in wins.</w:t>
      </w:r>
    </w:p>
    <w:p>
      <w:pPr>
        <w:pStyle w:val="Heading3"/>
        <w:spacing w:before="200" w:after="120"/>
      </w:pPr>
      <w:r>
        <w:rPr>
          <w:rFonts w:ascii="Arial" w:cs="Arial" w:eastAsia="Arial" w:hAnsi="Arial"/>
          <w:b/>
          <w:bCs/>
          <w:color w:val="4471A9"/>
          <w:sz w:val="24"/>
          <w:szCs w:val="24"/>
        </w:rPr>
        <w:t xml:space="preserve">Customer-Facing Design Enablement</w:t>
      </w:r>
    </w:p>
    <w:p>
      <w:pPr>
        <w:pStyle w:val="ListParagraph"/>
        <w:numPr>
          <w:ilvl w:val="0"/>
          <w:numId w:val="2"/>
        </w:numPr>
        <w:spacing w:after="80"/>
      </w:pPr>
      <w:r>
        <w:rPr>
          <w:rFonts w:ascii="Arial" w:cs="Arial" w:eastAsia="Arial" w:hAnsi="Arial"/>
          <w:color w:val="333333"/>
          <w:sz w:val="22"/>
          <w:szCs w:val="22"/>
        </w:rPr>
        <w:t xml:space="preserve">AI-assisted product selection — right part for the application</w:t>
      </w:r>
    </w:p>
    <w:p>
      <w:pPr>
        <w:pStyle w:val="ListParagraph"/>
        <w:numPr>
          <w:ilvl w:val="0"/>
          <w:numId w:val="2"/>
        </w:numPr>
        <w:spacing w:after="80"/>
      </w:pPr>
      <w:r>
        <w:rPr>
          <w:rFonts w:ascii="Arial" w:cs="Arial" w:eastAsia="Arial" w:hAnsi="Arial"/>
          <w:color w:val="333333"/>
          <w:sz w:val="22"/>
          <w:szCs w:val="22"/>
        </w:rPr>
        <w:t xml:space="preserve">Application note generation tailored to customer design context</w:t>
      </w:r>
    </w:p>
    <w:p>
      <w:pPr>
        <w:pStyle w:val="ListParagraph"/>
        <w:numPr>
          <w:ilvl w:val="0"/>
          <w:numId w:val="2"/>
        </w:numPr>
        <w:spacing w:after="80"/>
      </w:pPr>
      <w:r>
        <w:rPr>
          <w:rFonts w:ascii="Arial" w:cs="Arial" w:eastAsia="Arial" w:hAnsi="Arial"/>
          <w:color w:val="333333"/>
          <w:sz w:val="22"/>
          <w:szCs w:val="22"/>
        </w:rPr>
        <w:t xml:space="preserve">Reference design recommendation engine</w:t>
      </w:r>
    </w:p>
    <w:p>
      <w:pPr>
        <w:spacing w:after="80"/>
      </w:pPr>
    </w:p>
    <w:p>
      <w:pPr>
        <w:spacing w:after="160"/>
        <w:jc w:val="left"/>
      </w:pPr>
      <w:r>
        <w:rPr>
          <w:rFonts w:ascii="Arial" w:cs="Arial" w:eastAsia="Arial" w:hAnsi="Arial"/>
          <w:color w:val="333333"/>
          <w:sz w:val="22"/>
          <w:szCs w:val="22"/>
        </w:rPr>
        <w:t xml:space="preserve">As the R365 platform and Altium ecosystem evolve, the design intelligence potential grows significantly. The data infrastructure being built now is the foundation for that future.</w:t>
      </w:r>
    </w:p>
    <w:p>
      <w:pPr>
        <w:pStyle w:val="Heading2"/>
        <w:spacing w:before="280" w:after="160"/>
      </w:pPr>
      <w:r>
        <w:rPr>
          <w:rFonts w:ascii="Arial" w:cs="Arial" w:eastAsia="Arial" w:hAnsi="Arial"/>
          <w:b/>
          <w:bCs/>
          <w:color w:val="06418C"/>
          <w:sz w:val="28"/>
          <w:szCs w:val="28"/>
        </w:rPr>
        <w:t xml:space="preserve">5.9 Communications, Knowledge, and Audit</w:t>
      </w:r>
    </w:p>
    <w:p>
      <w:pPr>
        <w:pStyle w:val="Heading3"/>
        <w:spacing w:before="200" w:after="120"/>
      </w:pPr>
      <w:r>
        <w:rPr>
          <w:rFonts w:ascii="Arial" w:cs="Arial" w:eastAsia="Arial" w:hAnsi="Arial"/>
          <w:b/>
          <w:bCs/>
          <w:color w:val="4471A9"/>
          <w:sz w:val="24"/>
          <w:szCs w:val="24"/>
        </w:rPr>
        <w:t xml:space="preserve">Communications and Institutional Knowledge</w:t>
      </w:r>
    </w:p>
    <w:p>
      <w:pPr>
        <w:spacing w:after="160"/>
        <w:jc w:val="left"/>
      </w:pPr>
      <w:r>
        <w:rPr>
          <w:rFonts w:ascii="Arial" w:cs="Arial" w:eastAsia="Arial" w:hAnsi="Arial"/>
          <w:color w:val="333333"/>
          <w:sz w:val="22"/>
          <w:szCs w:val="22"/>
        </w:rPr>
        <w:t xml:space="preserve">RAG-based knowledge retrieval enables any employee to query the institutional knowledge base in natural language. Meeting notes and action items are extracted automatically. Translation and localization tools bridge the Japan–US communication gap — a source of real, daily friction that AI can substantially reduce.</w:t>
      </w:r>
    </w:p>
    <w:p>
      <w:pPr>
        <w:spacing w:after="160"/>
        <w:jc w:val="left"/>
      </w:pPr>
      <w:r>
        <w:rPr>
          <w:rFonts w:ascii="Arial" w:cs="Arial" w:eastAsia="Arial" w:hAnsi="Arial"/>
          <w:color w:val="333333"/>
          <w:sz w:val="22"/>
          <w:szCs w:val="22"/>
        </w:rPr>
        <w:t xml:space="preserve">The most compelling case: "The expert who retires takes everything with them." Not anymore. AI indexes technical reports, design decisions, lessons learned, and application notes so they are queryable by the next generation of engineers. For a company with Renesas’s depth of engineering history, this is transformative.</w:t>
      </w:r>
    </w:p>
    <w:p>
      <w:pPr>
        <w:pStyle w:val="Heading3"/>
        <w:spacing w:before="200" w:after="120"/>
      </w:pPr>
      <w:r>
        <w:rPr>
          <w:rFonts w:ascii="Arial" w:cs="Arial" w:eastAsia="Arial" w:hAnsi="Arial"/>
          <w:b/>
          <w:bCs/>
          <w:color w:val="4471A9"/>
          <w:sz w:val="24"/>
          <w:szCs w:val="24"/>
        </w:rPr>
        <w:t xml:space="preserve">Audit and Compliance</w:t>
      </w:r>
    </w:p>
    <w:p>
      <w:pPr>
        <w:spacing w:after="160"/>
        <w:jc w:val="left"/>
      </w:pPr>
      <w:r>
        <w:rPr>
          <w:rFonts w:ascii="Arial" w:cs="Arial" w:eastAsia="Arial" w:hAnsi="Arial"/>
          <w:color w:val="333333"/>
          <w:sz w:val="22"/>
          <w:szCs w:val="22"/>
        </w:rPr>
        <w:t xml:space="preserve">Continuous monitoring replaces point-in-time auditing. AI samples transactions, flags anomalies, and maintains evidence trails in real time. NIST AI RMF serves as the governance framework — a de facto standard accepted across US, EU, and Japan regulatory environments.</w:t>
      </w:r>
    </w:p>
    <w:p>
      <w:r>
        <w:br w:type="page"/>
      </w:r>
    </w:p>
    <w:p>
      <w:pPr>
        <w:pStyle w:val="Heading1"/>
        <w:spacing w:before="360" w:after="200"/>
      </w:pPr>
      <w:r>
        <w:rPr>
          <w:rFonts w:ascii="Arial" w:cs="Arial" w:eastAsia="Arial" w:hAnsi="Arial"/>
          <w:b/>
          <w:bCs/>
          <w:color w:val="042D5E"/>
          <w:sz w:val="36"/>
          <w:szCs w:val="36"/>
        </w:rPr>
        <w:t xml:space="preserve">6. PLM: The Backbone</w:t>
      </w:r>
    </w:p>
    <w:p>
      <w:pPr>
        <w:pStyle w:val="Heading2"/>
        <w:spacing w:before="280" w:after="160"/>
      </w:pPr>
      <w:r>
        <w:rPr>
          <w:rFonts w:ascii="Arial" w:cs="Arial" w:eastAsia="Arial" w:hAnsi="Arial"/>
          <w:b/>
          <w:bCs/>
          <w:color w:val="06418C"/>
          <w:sz w:val="28"/>
          <w:szCs w:val="28"/>
        </w:rPr>
        <w:t xml:space="preserve">6.1 What PLM Is and Why It Matters</w:t>
      </w:r>
    </w:p>
    <w:p>
      <w:pPr>
        <w:spacing w:after="160"/>
        <w:jc w:val="left"/>
      </w:pPr>
      <w:r>
        <w:rPr>
          <w:rFonts w:ascii="Arial" w:cs="Arial" w:eastAsia="Arial" w:hAnsi="Arial"/>
          <w:color w:val="333333"/>
          <w:sz w:val="22"/>
          <w:szCs w:val="22"/>
        </w:rPr>
        <w:t xml:space="preserve">Product Lifecycle Management is not a software tool. It is the system of record for how Renesas creates products. Traditional PLM manages part numbers, BOMs, engineering change orders, lifecycle state, and ERP integration — the operational backbone of product data.</w:t>
      </w:r>
    </w:p>
    <w:p>
      <w:pPr>
        <w:spacing w:after="160"/>
        <w:jc w:val="left"/>
      </w:pPr>
      <w:r>
        <w:rPr>
          <w:rFonts w:ascii="Arial" w:cs="Arial" w:eastAsia="Arial" w:hAnsi="Arial"/>
          <w:color w:val="333333"/>
          <w:sz w:val="22"/>
          <w:szCs w:val="22"/>
        </w:rPr>
        <w:t xml:space="preserve">Digital PLM goes further: requirements to design to manufacturing to field traceability. It is the digital thread that connects customer needs to silicon to software to quality. This is where ontology and knowledge graphs live in practice.</w:t>
      </w:r>
    </w:p>
    <w:p>
      <w:pPr>
        <w:spacing w:after="160"/>
        <w:jc w:val="left"/>
      </w:pPr>
      <w:r>
        <w:rPr>
          <w:rFonts w:ascii="Arial" w:cs="Arial" w:eastAsia="Arial" w:hAnsi="Arial"/>
          <w:color w:val="333333"/>
          <w:sz w:val="22"/>
          <w:szCs w:val="22"/>
        </w:rPr>
        <w:t xml:space="preserve">The Renesas reality is challenging: multiple acquisitions brought multiple legacy PLM systems — Teamcenter, Windchill, Agile, and homegrown tools — with incompatible part numbering, BOM structures, and design databases. AI transformation cannot scale on fragmented product data. PLM unification is not optional.</w:t>
      </w:r>
    </w:p>
    <w:p>
      <w:pPr>
        <w:pStyle w:val="Heading2"/>
        <w:spacing w:before="280" w:after="160"/>
      </w:pPr>
      <w:r>
        <w:rPr>
          <w:rFonts w:ascii="Arial" w:cs="Arial" w:eastAsia="Arial" w:hAnsi="Arial"/>
          <w:b/>
          <w:bCs/>
          <w:color w:val="06418C"/>
          <w:sz w:val="28"/>
          <w:szCs w:val="28"/>
        </w:rPr>
        <w:t xml:space="preserve">6.2 AI-Enabled PLM: Upstream and Downstream</w:t>
      </w:r>
    </w:p>
    <w:p>
      <w:pPr>
        <w:spacing w:after="160"/>
        <w:jc w:val="left"/>
      </w:pPr>
      <w:r>
        <w:rPr>
          <w:rFonts w:ascii="Arial" w:cs="Arial" w:eastAsia="Arial" w:hAnsi="Arial"/>
          <w:color w:val="333333"/>
          <w:sz w:val="22"/>
          <w:szCs w:val="22"/>
        </w:rPr>
        <w:t xml:space="preserve">AI transforms PLM in both directions, and the implications are significant:</w:t>
      </w:r>
    </w:p>
    <w:p>
      <w:pPr>
        <w:pStyle w:val="Heading3"/>
        <w:spacing w:before="200" w:after="120"/>
      </w:pPr>
      <w:r>
        <w:rPr>
          <w:rFonts w:ascii="Arial" w:cs="Arial" w:eastAsia="Arial" w:hAnsi="Arial"/>
          <w:b/>
          <w:bCs/>
          <w:color w:val="4471A9"/>
          <w:sz w:val="24"/>
          <w:szCs w:val="24"/>
        </w:rPr>
        <w:t xml:space="preserve">Upstream (Requirements to Design)</w:t>
      </w:r>
    </w:p>
    <w:p>
      <w:pPr>
        <w:pStyle w:val="ListParagraph"/>
        <w:numPr>
          <w:ilvl w:val="0"/>
          <w:numId w:val="2"/>
        </w:numPr>
        <w:spacing w:after="80"/>
      </w:pPr>
      <w:r>
        <w:rPr>
          <w:rFonts w:ascii="Arial" w:cs="Arial" w:eastAsia="Arial" w:hAnsi="Arial"/>
          <w:color w:val="333333"/>
          <w:sz w:val="22"/>
          <w:szCs w:val="22"/>
        </w:rPr>
        <w:t xml:space="preserve">LLMs extract requirements from customer specs automatically, reducing manual interpretation</w:t>
      </w:r>
    </w:p>
    <w:p>
      <w:pPr>
        <w:pStyle w:val="ListParagraph"/>
        <w:numPr>
          <w:ilvl w:val="0"/>
          <w:numId w:val="2"/>
        </w:numPr>
        <w:spacing w:after="80"/>
      </w:pPr>
      <w:r>
        <w:rPr>
          <w:rFonts w:ascii="Arial" w:cs="Arial" w:eastAsia="Arial" w:hAnsi="Arial"/>
          <w:color w:val="333333"/>
          <w:sz w:val="22"/>
          <w:szCs w:val="22"/>
        </w:rPr>
        <w:t xml:space="preserve">Conflict detection catches contradictory requirements before engineering time is wasted</w:t>
      </w:r>
    </w:p>
    <w:p>
      <w:pPr>
        <w:pStyle w:val="ListParagraph"/>
        <w:numPr>
          <w:ilvl w:val="0"/>
          <w:numId w:val="2"/>
        </w:numPr>
        <w:spacing w:after="80"/>
      </w:pPr>
      <w:r>
        <w:rPr>
          <w:rFonts w:ascii="Arial" w:cs="Arial" w:eastAsia="Arial" w:hAnsi="Arial"/>
          <w:color w:val="333333"/>
          <w:sz w:val="22"/>
          <w:szCs w:val="22"/>
        </w:rPr>
        <w:t xml:space="preserve">Requirements-to-design traceability auto-links design artifacts to upstream requirements</w:t>
      </w:r>
    </w:p>
    <w:p>
      <w:pPr>
        <w:pStyle w:val="ListParagraph"/>
        <w:numPr>
          <w:ilvl w:val="0"/>
          <w:numId w:val="2"/>
        </w:numPr>
        <w:spacing w:after="80"/>
      </w:pPr>
      <w:r>
        <w:rPr>
          <w:rFonts w:ascii="Arial" w:cs="Arial" w:eastAsia="Arial" w:hAnsi="Arial"/>
          <w:color w:val="333333"/>
          <w:sz w:val="22"/>
          <w:szCs w:val="22"/>
        </w:rPr>
        <w:t xml:space="preserve">Change impact propagation: when a requirement changes, immediately see everything affected downstream</w:t>
      </w:r>
    </w:p>
    <w:p>
      <w:pPr>
        <w:pStyle w:val="Heading3"/>
        <w:spacing w:before="200" w:after="120"/>
      </w:pPr>
      <w:r>
        <w:rPr>
          <w:rFonts w:ascii="Arial" w:cs="Arial" w:eastAsia="Arial" w:hAnsi="Arial"/>
          <w:b/>
          <w:bCs/>
          <w:color w:val="4471A9"/>
          <w:sz w:val="24"/>
          <w:szCs w:val="24"/>
        </w:rPr>
        <w:t xml:space="preserve">Downstream (Design to Manufacturing to Field)</w:t>
      </w:r>
    </w:p>
    <w:p>
      <w:pPr>
        <w:pStyle w:val="ListParagraph"/>
        <w:numPr>
          <w:ilvl w:val="0"/>
          <w:numId w:val="2"/>
        </w:numPr>
        <w:spacing w:after="80"/>
      </w:pPr>
      <w:r>
        <w:rPr>
          <w:rFonts w:ascii="Arial" w:cs="Arial" w:eastAsia="Arial" w:hAnsi="Arial"/>
          <w:color w:val="333333"/>
          <w:sz w:val="22"/>
          <w:szCs w:val="22"/>
        </w:rPr>
        <w:t xml:space="preserve">BOM reconciliation across acquired systems — AI maps across naming conventions and languages</w:t>
      </w:r>
    </w:p>
    <w:p>
      <w:pPr>
        <w:pStyle w:val="ListParagraph"/>
        <w:numPr>
          <w:ilvl w:val="0"/>
          <w:numId w:val="2"/>
        </w:numPr>
        <w:spacing w:after="80"/>
      </w:pPr>
      <w:r>
        <w:rPr>
          <w:rFonts w:ascii="Arial" w:cs="Arial" w:eastAsia="Arial" w:hAnsi="Arial"/>
          <w:color w:val="333333"/>
          <w:sz w:val="22"/>
          <w:szCs w:val="22"/>
        </w:rPr>
        <w:t xml:space="preserve">Part deduplication: identify and eliminate duplicate parts across the portfolio</w:t>
      </w:r>
    </w:p>
    <w:p>
      <w:pPr>
        <w:pStyle w:val="ListParagraph"/>
        <w:numPr>
          <w:ilvl w:val="0"/>
          <w:numId w:val="2"/>
        </w:numPr>
        <w:spacing w:after="80"/>
      </w:pPr>
      <w:r>
        <w:rPr>
          <w:rFonts w:ascii="Arial" w:cs="Arial" w:eastAsia="Arial" w:hAnsi="Arial"/>
          <w:color w:val="333333"/>
          <w:sz w:val="22"/>
          <w:szCs w:val="22"/>
        </w:rPr>
        <w:t xml:space="preserve">Obsolescence prediction: 12–24 months early warning on EOL components</w:t>
      </w:r>
    </w:p>
    <w:p>
      <w:pPr>
        <w:pStyle w:val="ListParagraph"/>
        <w:numPr>
          <w:ilvl w:val="0"/>
          <w:numId w:val="2"/>
        </w:numPr>
        <w:spacing w:after="80"/>
      </w:pPr>
      <w:r>
        <w:rPr>
          <w:rFonts w:ascii="Arial" w:cs="Arial" w:eastAsia="Arial" w:hAnsi="Arial"/>
          <w:color w:val="333333"/>
          <w:sz w:val="22"/>
          <w:szCs w:val="22"/>
        </w:rPr>
        <w:t xml:space="preserve">Quality pattern detection: cluster failure modes and flag systematic issues early</w:t>
      </w:r>
    </w:p>
    <w:p>
      <w:pPr>
        <w:spacing w:after="80"/>
      </w:pPr>
    </w:p>
    <w:p>
      <w:pPr>
        <w:spacing w:after="160"/>
        <w:jc w:val="left"/>
      </w:pPr>
      <w:r>
        <w:rPr>
          <w:rFonts w:ascii="Arial" w:cs="Arial" w:eastAsia="Arial" w:hAnsi="Arial"/>
          <w:color w:val="333333"/>
          <w:sz w:val="22"/>
          <w:szCs w:val="22"/>
        </w:rPr>
        <w:t xml:space="preserve">The compound effect is critical: clean, AI-enriched PLM data feeds the R&amp;D AI models in Phase 2. Phase 1 PLM work is not just about operational efficiency — it enables Phase 2 R&amp;D acceleration. The data that flows from PLM into the unified data platform becomes AI training data, feature stores, and intelligence. That closed loop — PLM to data platform to AI models back to engineering — makes the whole system get smarter over time.</w:t>
      </w:r>
    </w:p>
    <w:p>
      <w:pPr>
        <w:pStyle w:val="Heading2"/>
        <w:spacing w:before="280" w:after="160"/>
      </w:pPr>
      <w:r>
        <w:rPr>
          <w:rFonts w:ascii="Arial" w:cs="Arial" w:eastAsia="Arial" w:hAnsi="Arial"/>
          <w:b/>
          <w:bCs/>
          <w:color w:val="06418C"/>
          <w:sz w:val="28"/>
          <w:szCs w:val="28"/>
        </w:rPr>
        <w:t xml:space="preserve">6.3 The PLM-Data Platform Connection</w:t>
      </w:r>
    </w:p>
    <w:p>
      <w:pPr>
        <w:spacing w:after="160"/>
        <w:jc w:val="left"/>
      </w:pPr>
      <w:r>
        <w:rPr>
          <w:rFonts w:ascii="Arial" w:cs="Arial" w:eastAsia="Arial" w:hAnsi="Arial"/>
          <w:color w:val="333333"/>
          <w:sz w:val="22"/>
          <w:szCs w:val="22"/>
        </w:rPr>
        <w:t xml:space="preserve">PLM data follows the same medallion pattern as all other data sources: PLM systems feed into the data platform at the Bronze layer (raw), are normalized and governed at the Silver layer, and become AI-ready feature stores at the Gold layer.</w:t>
      </w:r>
    </w:p>
    <w:p>
      <w:pPr>
        <w:spacing w:after="160"/>
        <w:jc w:val="left"/>
      </w:pPr>
      <w:r>
        <w:rPr>
          <w:rFonts w:ascii="Arial" w:cs="Arial" w:eastAsia="Arial" w:hAnsi="Arial"/>
          <w:color w:val="333333"/>
          <w:sz w:val="22"/>
          <w:szCs w:val="22"/>
        </w:rPr>
        <w:t xml:space="preserve">This connection enables use cases that are impossible with PLM data in isolation:</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NPI risk prediction:</w:t>
      </w:r>
      <w:r>
        <w:rPr>
          <w:rFonts w:ascii="Arial" w:cs="Arial" w:eastAsia="Arial" w:hAnsi="Arial"/>
          <w:color w:val="333333"/>
          <w:sz w:val="22"/>
          <w:szCs w:val="22"/>
        </w:rPr>
        <w:t xml:space="preserve"> Which programs will slip? ML models trained on historical program data identify risk signals early.</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IP reuse recommendation:</w:t>
      </w:r>
      <w:r>
        <w:rPr>
          <w:rFonts w:ascii="Arial" w:cs="Arial" w:eastAsia="Arial" w:hAnsi="Arial"/>
          <w:color w:val="333333"/>
          <w:sz w:val="22"/>
          <w:szCs w:val="22"/>
        </w:rPr>
        <w:t xml:space="preserve"> What verified design blocks exist for this requirement? The knowledge graph maps across the entire portfolio.</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Design quality prediction:</w:t>
      </w:r>
      <w:r>
        <w:rPr>
          <w:rFonts w:ascii="Arial" w:cs="Arial" w:eastAsia="Arial" w:hAnsi="Arial"/>
          <w:color w:val="333333"/>
          <w:sz w:val="22"/>
          <w:szCs w:val="22"/>
        </w:rPr>
        <w:t xml:space="preserve"> Which blocks have high revision probability? Historical change order data reveals patterns.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Quality pattern detection:</w:t>
      </w:r>
      <w:r>
        <w:rPr>
          <w:rFonts w:ascii="Arial" w:cs="Arial" w:eastAsia="Arial" w:hAnsi="Arial"/>
          <w:color w:val="333333"/>
          <w:sz w:val="22"/>
          <w:szCs w:val="22"/>
        </w:rPr>
        <w:t xml:space="preserve"> Across the full product history, what failure modes cluster together?</w:t>
      </w:r>
    </w:p>
    <w:p>
      <w:r>
        <w:br w:type="page"/>
      </w:r>
    </w:p>
    <w:p>
      <w:pPr>
        <w:pStyle w:val="Heading1"/>
        <w:spacing w:before="360" w:after="200"/>
      </w:pPr>
      <w:r>
        <w:rPr>
          <w:rFonts w:ascii="Arial" w:cs="Arial" w:eastAsia="Arial" w:hAnsi="Arial"/>
          <w:b/>
          <w:bCs/>
          <w:color w:val="042D5E"/>
          <w:sz w:val="36"/>
          <w:szCs w:val="36"/>
        </w:rPr>
        <w:t xml:space="preserve">7. Partner Ecosystem</w:t>
      </w:r>
    </w:p>
    <w:p>
      <w:pPr>
        <w:pStyle w:val="Heading2"/>
        <w:spacing w:before="280" w:after="160"/>
      </w:pPr>
      <w:r>
        <w:rPr>
          <w:rFonts w:ascii="Arial" w:cs="Arial" w:eastAsia="Arial" w:hAnsi="Arial"/>
          <w:b/>
          <w:bCs/>
          <w:color w:val="06418C"/>
          <w:sz w:val="28"/>
          <w:szCs w:val="28"/>
        </w:rPr>
        <w:t xml:space="preserve">7.1 The Strategic Approach: Build, Buy, Partner</w:t>
      </w:r>
    </w:p>
    <w:p>
      <w:pPr>
        <w:spacing w:after="160"/>
        <w:jc w:val="left"/>
      </w:pPr>
      <w:r>
        <w:rPr>
          <w:rFonts w:ascii="Arial" w:cs="Arial" w:eastAsia="Arial" w:hAnsi="Arial"/>
          <w:color w:val="333333"/>
          <w:sz w:val="22"/>
          <w:szCs w:val="22"/>
        </w:rPr>
        <w:t xml:space="preserve">The partner strategy follows a clear framework with explicit criteria for each category:</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Build (Protect Competitive Advantage).</w:t>
      </w:r>
      <w:r>
        <w:rPr>
          <w:rFonts w:ascii="Arial" w:cs="Arial" w:eastAsia="Arial" w:hAnsi="Arial"/>
          <w:color w:val="333333"/>
          <w:sz w:val="22"/>
          <w:szCs w:val="22"/>
        </w:rPr>
        <w:t xml:space="preserve"> Domain knowledge graphs on Renesas-specific design data. Fine-tuned models on proprietary engineering corpus. Internal data pipelines and governance. The criteria: touches Renesas IP, creates competitive moat, must be owned.</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Buy/License (Market-Solved, Proven at Scale).</w:t>
      </w:r>
      <w:r>
        <w:rPr>
          <w:rFonts w:ascii="Arial" w:cs="Arial" w:eastAsia="Arial" w:hAnsi="Arial"/>
          <w:color w:val="333333"/>
          <w:sz w:val="22"/>
          <w:szCs w:val="22"/>
        </w:rPr>
        <w:t xml:space="preserve"> Foundation AI models (top-tier reasoning + cost-effective at scale). Data platform infrastructure. EDA AI tools with production-proven track records. The criteria: well-understood market, build vs. buy math is clear, speed to value matters.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Partner (Specialization + Speed).</w:t>
      </w:r>
      <w:r>
        <w:rPr>
          <w:rFonts w:ascii="Arial" w:cs="Arial" w:eastAsia="Arial" w:hAnsi="Arial"/>
          <w:color w:val="333333"/>
          <w:sz w:val="22"/>
          <w:szCs w:val="22"/>
        </w:rPr>
        <w:t xml:space="preserve"> Semiconductor AI specialists in emerging areas. System integrators for enterprise deployment. Academic partnerships for longer-horizon research. The criteria: capability exists but at startup scale, partnership is faster than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Multi-vendor by design. No single AI model vendor gets everything. No platform lock-in. Renesas maintains optionality and evaluates on results, not relationships.</w:t>
            </w:r>
          </w:p>
        </w:tc>
      </w:tr>
    </w:tbl>
    <w:p>
      <w:pPr>
        <w:pStyle w:val="Heading2"/>
        <w:spacing w:before="280" w:after="160"/>
      </w:pPr>
      <w:r>
        <w:rPr>
          <w:rFonts w:ascii="Arial" w:cs="Arial" w:eastAsia="Arial" w:hAnsi="Arial"/>
          <w:b/>
          <w:bCs/>
          <w:color w:val="06418C"/>
          <w:sz w:val="28"/>
          <w:szCs w:val="28"/>
        </w:rPr>
        <w:t xml:space="preserve">7.2 The Partner Map</w:t>
      </w:r>
    </w:p>
    <w:p>
      <w:pPr>
        <w:spacing w:after="160"/>
        <w:jc w:val="left"/>
      </w:pPr>
      <w:r>
        <w:rPr>
          <w:rFonts w:ascii="Arial" w:cs="Arial" w:eastAsia="Arial" w:hAnsi="Arial"/>
          <w:color w:val="333333"/>
          <w:sz w:val="22"/>
          <w:szCs w:val="22"/>
        </w:rPr>
        <w:t xml:space="preserve">The ecosystem of capabilities Renesas needs spans six categories: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AI Foundation (Models and Platforms).</w:t>
      </w:r>
      <w:r>
        <w:rPr>
          <w:rFonts w:ascii="Arial" w:cs="Arial" w:eastAsia="Arial" w:hAnsi="Arial"/>
          <w:color w:val="333333"/>
          <w:sz w:val="22"/>
          <w:szCs w:val="22"/>
        </w:rPr>
        <w:t xml:space="preserve"> Top-tier reasoning models for complex engineering and strategic tasks. Cost-effective models for high-volume productivity tasks. Unified data + AI platform with governance. The evaluation includes leading providers across each tier.</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EDA and Design AI.</w:t>
      </w:r>
      <w:r>
        <w:rPr>
          <w:rFonts w:ascii="Arial" w:cs="Arial" w:eastAsia="Arial" w:hAnsi="Arial"/>
          <w:color w:val="333333"/>
          <w:sz w:val="22"/>
          <w:szCs w:val="22"/>
        </w:rPr>
        <w:t xml:space="preserve"> Production-proven RTL optimization and power analysis. PLM-EDA integration for design-to-manufacturing traceability. Leading options include established EDA vendors with 1,000+ production tape-outs.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Semiconductor AI Specialists.</w:t>
      </w:r>
      <w:r>
        <w:rPr>
          <w:rFonts w:ascii="Arial" w:cs="Arial" w:eastAsia="Arial" w:hAnsi="Arial"/>
          <w:color w:val="333333"/>
          <w:sz w:val="22"/>
          <w:szCs w:val="22"/>
        </w:rPr>
        <w:t xml:space="preserve"> Formal verification + AI (an emerging, unsolved problem — first-mover advantage is available). Chip architecture optimization. Power optimization for embedded designs. Smaller companies in this space are potential acquisition or deep partnership targets.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Data and Analytics.</w:t>
      </w:r>
      <w:r>
        <w:rPr>
          <w:rFonts w:ascii="Arial" w:cs="Arial" w:eastAsia="Arial" w:hAnsi="Arial"/>
          <w:color w:val="333333"/>
          <w:sz w:val="22"/>
          <w:szCs w:val="22"/>
        </w:rPr>
        <w:t xml:space="preserve"> BI and analytics layer for business intelligence. Operational AI platforms designed for industrial companies.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PLM.</w:t>
      </w:r>
      <w:r>
        <w:rPr>
          <w:rFonts w:ascii="Arial" w:cs="Arial" w:eastAsia="Arial" w:hAnsi="Arial"/>
          <w:color w:val="333333"/>
          <w:sz w:val="22"/>
          <w:szCs w:val="22"/>
        </w:rPr>
        <w:t xml:space="preserve"> AI-embedded product lifecycle management. Parts rationalization and requirements AI. The PLM vendor landscape is evolving rapidly as incumbents integrate AI capabilities.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Cloud and Infrastructure.</w:t>
      </w:r>
      <w:r>
        <w:rPr>
          <w:rFonts w:ascii="Arial" w:cs="Arial" w:eastAsia="Arial" w:hAnsi="Arial"/>
          <w:color w:val="333333"/>
          <w:sz w:val="22"/>
          <w:szCs w:val="22"/>
        </w:rPr>
        <w:t xml:space="preserve"> Evaluation based on data residency requirements (Japan compliance), AI service integration, and cost. Multi-cloud strategy maintains flexibility.</w:t>
      </w:r>
    </w:p>
    <w:p>
      <w:pPr>
        <w:pStyle w:val="Heading2"/>
        <w:spacing w:before="280" w:after="160"/>
      </w:pPr>
      <w:r>
        <w:rPr>
          <w:rFonts w:ascii="Arial" w:cs="Arial" w:eastAsia="Arial" w:hAnsi="Arial"/>
          <w:b/>
          <w:bCs/>
          <w:color w:val="06418C"/>
          <w:sz w:val="28"/>
          <w:szCs w:val="28"/>
        </w:rPr>
        <w:t xml:space="preserve">7.3 Emerging Capability: Acquire or Partner</w:t>
      </w:r>
    </w:p>
    <w:p>
      <w:pPr>
        <w:spacing w:after="160"/>
        <w:jc w:val="left"/>
      </w:pPr>
      <w:r>
        <w:rPr>
          <w:rFonts w:ascii="Arial" w:cs="Arial" w:eastAsia="Arial" w:hAnsi="Arial"/>
          <w:color w:val="333333"/>
          <w:sz w:val="22"/>
          <w:szCs w:val="22"/>
        </w:rPr>
        <w:t xml:space="preserve">Some of what Renesas needs does not exist at scale yet. That creates an opportunity for strategic positioning:</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High uniqueness + long to build = acquire or deep partnership.</w:t>
      </w:r>
      <w:r>
        <w:rPr>
          <w:rFonts w:ascii="Arial" w:cs="Arial" w:eastAsia="Arial" w:hAnsi="Arial"/>
          <w:color w:val="333333"/>
          <w:sz w:val="22"/>
          <w:szCs w:val="22"/>
        </w:rPr>
        <w:t xml:space="preserve"> Formal verification + AI is the prime example — it is an emerging category with strategic value. The first company to solve formal verification with AI has a significant competitive moat. An early partnership or small acquisition could be transformative.</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High uniqueness + short to build = build internally.</w:t>
      </w:r>
      <w:r>
        <w:rPr>
          <w:rFonts w:ascii="Arial" w:cs="Arial" w:eastAsia="Arial" w:hAnsi="Arial"/>
          <w:color w:val="333333"/>
          <w:sz w:val="22"/>
          <w:szCs w:val="22"/>
        </w:rPr>
        <w:t xml:space="preserve"> Renesas-specific fine-tuned models. Internal ontology and knowledge graph on proprietary data. These are competitive assets that must remain in-house.</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Low uniqueness + market-solved = license/buy.</w:t>
      </w:r>
      <w:r>
        <w:rPr>
          <w:rFonts w:ascii="Arial" w:cs="Arial" w:eastAsia="Arial" w:hAnsi="Arial"/>
          <w:color w:val="333333"/>
          <w:sz w:val="22"/>
          <w:szCs w:val="22"/>
        </w:rPr>
        <w:t xml:space="preserve"> Foundation models, data platforms, EDA tools, productivity suites. No competitive advantage in building what the market has already commoditized.</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Low uniqueness + widely available = standard partnership.</w:t>
      </w:r>
      <w:r>
        <w:rPr>
          <w:rFonts w:ascii="Arial" w:cs="Arial" w:eastAsia="Arial" w:hAnsi="Arial"/>
          <w:color w:val="333333"/>
          <w:sz w:val="22"/>
          <w:szCs w:val="22"/>
        </w:rPr>
        <w:t xml:space="preserve"> System integration, deployment, training. Standard capabilities sourced through standard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Startup partnerships beat acquisitions for speed — most of the time. Acquire when capability is proven, strategic enough to protect, and the talent is the asset.</w:t>
            </w:r>
          </w:p>
        </w:tc>
      </w:tr>
    </w:tbl>
    <w:p>
      <w:pPr>
        <w:pStyle w:val="Heading2"/>
        <w:spacing w:before="280" w:after="160"/>
      </w:pPr>
      <w:r>
        <w:rPr>
          <w:rFonts w:ascii="Arial" w:cs="Arial" w:eastAsia="Arial" w:hAnsi="Arial"/>
          <w:b/>
          <w:bCs/>
          <w:color w:val="06418C"/>
          <w:sz w:val="28"/>
          <w:szCs w:val="28"/>
        </w:rPr>
        <w:t xml:space="preserve">7.4 Governance of the Ecosystem</w:t>
      </w:r>
    </w:p>
    <w:p>
      <w:pPr>
        <w:spacing w:after="160"/>
        <w:jc w:val="left"/>
      </w:pPr>
      <w:r>
        <w:rPr>
          <w:rFonts w:ascii="Arial" w:cs="Arial" w:eastAsia="Arial" w:hAnsi="Arial"/>
          <w:color w:val="333333"/>
          <w:sz w:val="22"/>
          <w:szCs w:val="22"/>
        </w:rPr>
        <w:t xml:space="preserve">Vendor sprawl is a transformation killer. The natural tendency is for every function to buy its own tool, creating silos, integration nightmares, and uncontrollable costs. Three governance principles prevent this: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Platform discipline.</w:t>
      </w:r>
      <w:r>
        <w:rPr>
          <w:rFonts w:ascii="Arial" w:cs="Arial" w:eastAsia="Arial" w:hAnsi="Arial"/>
          <w:color w:val="333333"/>
          <w:sz w:val="22"/>
          <w:szCs w:val="22"/>
        </w:rPr>
        <w:t xml:space="preserve"> One data platform. One AI model governance layer. Integration standards that all tools must meet. No shadow AI. Every deployment connects to the unified architecture.</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IP protection.</w:t>
      </w:r>
      <w:r>
        <w:rPr>
          <w:rFonts w:ascii="Arial" w:cs="Arial" w:eastAsia="Arial" w:hAnsi="Arial"/>
          <w:color w:val="333333"/>
          <w:sz w:val="22"/>
          <w:szCs w:val="22"/>
        </w:rPr>
        <w:t xml:space="preserve"> Anything built on proprietary Renesas data stays proprietary. Contractual protections on model training, data handling, and output ownership are non-negotiable. Renesas’s design data, engineering knowledge graphs, and fine-tuned models are competitive assets.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No single-vendor lock-in.</w:t>
      </w:r>
      <w:r>
        <w:rPr>
          <w:rFonts w:ascii="Arial" w:cs="Arial" w:eastAsia="Arial" w:hAnsi="Arial"/>
          <w:color w:val="333333"/>
          <w:sz w:val="22"/>
          <w:szCs w:val="22"/>
        </w:rPr>
        <w:t xml:space="preserve"> Multi-vendor optionality for AI models, cloud infrastructure, and key tools. Continuous evaluation on results, not relationships. The best reasoning model, the best coding model, and the best enterprise model may come from different providers.</w:t>
      </w:r>
    </w:p>
    <w:p>
      <w:r>
        <w:br w:type="page"/>
      </w:r>
    </w:p>
    <w:p>
      <w:pPr>
        <w:pStyle w:val="Heading1"/>
        <w:spacing w:before="360" w:after="200"/>
      </w:pPr>
      <w:r>
        <w:rPr>
          <w:rFonts w:ascii="Arial" w:cs="Arial" w:eastAsia="Arial" w:hAnsi="Arial"/>
          <w:b/>
          <w:bCs/>
          <w:color w:val="042D5E"/>
          <w:sz w:val="36"/>
          <w:szCs w:val="36"/>
        </w:rPr>
        <w:t xml:space="preserve">8. Competitive Landscape</w:t>
      </w:r>
    </w:p>
    <w:p>
      <w:pPr>
        <w:spacing w:after="160"/>
        <w:jc w:val="left"/>
      </w:pPr>
      <w:r>
        <w:rPr>
          <w:rFonts w:ascii="Arial" w:cs="Arial" w:eastAsia="Arial" w:hAnsi="Arial"/>
          <w:color w:val="333333"/>
          <w:sz w:val="22"/>
          <w:szCs w:val="22"/>
        </w:rPr>
        <w:t xml:space="preserve">Understanding where peers stand — based on verifiable evidence, not assumptions — is essential for calibrating ambition and urgency. The analysis below rates companies on both external product AI and internal digital/AI maturity.</w:t>
      </w:r>
    </w:p>
    <w:p>
      <w:pPr>
        <w:pStyle w:val="Heading2"/>
        <w:spacing w:before="280" w:after="160"/>
      </w:pPr>
      <w:r>
        <w:rPr>
          <w:rFonts w:ascii="Arial" w:cs="Arial" w:eastAsia="Arial" w:hAnsi="Arial"/>
          <w:b/>
          <w:bCs/>
          <w:color w:val="06418C"/>
          <w:sz w:val="28"/>
          <w:szCs w:val="28"/>
        </w:rPr>
        <w:t xml:space="preserve">8.1 Where Peers 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5560"/>
      </w:tblGrid>
      <w:tr>
        <w:tc>
          <w:tcPr>
            <w:tcW w:type="dxa" w:w="140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20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Product AI</w:t>
            </w:r>
          </w:p>
        </w:tc>
        <w:tc>
          <w:tcPr>
            <w:tcW w:type="dxa" w:w="120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Internal AI</w:t>
            </w:r>
          </w:p>
        </w:tc>
        <w:tc>
          <w:tcPr>
            <w:tcW w:type="dxa" w:w="556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18"/>
                <w:szCs w:val="18"/>
              </w:rPr>
              <w:t xml:space="preserve">NVIDIA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ChipNeMo, DeepSeek partnership, 100% engineer AI adoption. Public and verifiable.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18"/>
                <w:szCs w:val="18"/>
              </w:rPr>
              <w:t xml:space="preserve">Siemens EDA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9 copilots (CES 2026), Teamcenter AI, industrial foundation model. Announced.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18"/>
                <w:szCs w:val="18"/>
              </w:rPr>
              <w:t xml:space="preserve">NXP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$307M Kinara acquisition (Oct 2025). Verified SEC filing.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18"/>
                <w:szCs w:val="18"/>
              </w:rPr>
              <w:t xml:space="preserve">Infineon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★★★½</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GenAI chatbot for all, 100+ apps, 1K+ upskilled. Verified case studies.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18"/>
                <w:szCs w:val="18"/>
              </w:rPr>
              <w:t xml:space="preserve">TI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 (opaque)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Strong product AI (Jacinto/Sitara). Internal DX not publicly visible.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18"/>
                <w:szCs w:val="18"/>
              </w:rPr>
              <w:t xml:space="preserve">STMicro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★★½</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NPU-accelerated MCU (STM32N6). Manufacturing robotics. Product-focused.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18"/>
                <w:szCs w:val="18"/>
              </w:rPr>
              <w:t xml:space="preserve">Renesas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 → ★★★★</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18"/>
                <w:szCs w:val="18"/>
              </w:rPr>
              <w:t xml:space="preserve">Platform pivot underway. This vision defines the target.</w:t>
            </w:r>
          </w:p>
        </w:tc>
      </w:tr>
    </w:tbl>
    <w:p>
      <w:pPr>
        <w:spacing w:after="100"/>
      </w:pP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Sourcing note.</w:t>
      </w:r>
      <w:r>
        <w:rPr>
          <w:rFonts w:ascii="Arial" w:cs="Arial" w:eastAsia="Arial" w:hAnsi="Arial"/>
          <w:color w:val="333333"/>
          <w:sz w:val="22"/>
          <w:szCs w:val="22"/>
        </w:rPr>
        <w:t xml:space="preserve"> Ratings for internal digital/AI maturity are based on publicly available evidence: case studies, SEC filings, press releases, and HR reports. Where evidence is not available, companies are rated conservatively. This is a directional view based on what is verifiable, not a definitive ranking.</w:t>
      </w:r>
    </w:p>
    <w:p>
      <w:pPr>
        <w:pStyle w:val="Heading2"/>
        <w:spacing w:before="280" w:after="160"/>
      </w:pPr>
      <w:r>
        <w:rPr>
          <w:rFonts w:ascii="Arial" w:cs="Arial" w:eastAsia="Arial" w:hAnsi="Arial"/>
          <w:b/>
          <w:bCs/>
          <w:color w:val="06418C"/>
          <w:sz w:val="28"/>
          <w:szCs w:val="28"/>
        </w:rPr>
        <w:t xml:space="preserve">8.2 John Deere: The Playbook</w:t>
      </w:r>
    </w:p>
    <w:p>
      <w:pPr>
        <w:spacing w:after="160"/>
        <w:jc w:val="left"/>
      </w:pPr>
      <w:r>
        <w:rPr>
          <w:rFonts w:ascii="Arial" w:cs="Arial" w:eastAsia="Arial" w:hAnsi="Arial"/>
          <w:color w:val="333333"/>
          <w:sz w:val="22"/>
          <w:szCs w:val="22"/>
        </w:rPr>
        <w:t xml:space="preserve">John Deere is the anchor case study for this vision — a 188-year-old equipment company that became an AI-native technology platform through a decade-long, deliberate transformation.</w:t>
      </w:r>
    </w:p>
    <w:p>
      <w:pPr>
        <w:pStyle w:val="Heading3"/>
        <w:spacing w:before="200" w:after="120"/>
      </w:pPr>
      <w:r>
        <w:rPr>
          <w:rFonts w:ascii="Arial" w:cs="Arial" w:eastAsia="Arial" w:hAnsi="Arial"/>
          <w:b/>
          <w:bCs/>
          <w:color w:val="4471A9"/>
          <w:sz w:val="24"/>
          <w:szCs w:val="24"/>
        </w:rPr>
        <w:t xml:space="preserve">The Transformation</w:t>
      </w:r>
    </w:p>
    <w:p>
      <w:pPr>
        <w:spacing w:after="160"/>
        <w:jc w:val="left"/>
      </w:pPr>
      <w:r>
        <w:rPr>
          <w:rFonts w:ascii="Arial" w:cs="Arial" w:eastAsia="Arial" w:hAnsi="Arial"/>
          <w:color w:val="333333"/>
          <w:sz w:val="22"/>
          <w:szCs w:val="22"/>
        </w:rPr>
        <w:t xml:space="preserve">Deere executed a pivot from equipment manufacturer to AI-driven agriculture platform. Not by abandoning hardware — by embedding AI, data, and recurring revenue into every product and process. The scale is remarkable:</w:t>
      </w:r>
    </w:p>
    <w:p>
      <w:pPr>
        <w:pStyle w:val="ListParagraph"/>
        <w:numPr>
          <w:ilvl w:val="0"/>
          <w:numId w:val="2"/>
        </w:numPr>
        <w:spacing w:after="80"/>
      </w:pPr>
      <w:r>
        <w:rPr>
          <w:rFonts w:ascii="Arial" w:cs="Arial" w:eastAsia="Arial" w:hAnsi="Arial"/>
          <w:color w:val="333333"/>
          <w:sz w:val="22"/>
          <w:szCs w:val="22"/>
        </w:rPr>
        <w:t xml:space="preserve">1M+ connected machines (2025). 500M+ engaged acres on Operations Center platform.</w:t>
      </w:r>
    </w:p>
    <w:p>
      <w:pPr>
        <w:pStyle w:val="ListParagraph"/>
        <w:numPr>
          <w:ilvl w:val="0"/>
          <w:numId w:val="2"/>
        </w:numPr>
        <w:spacing w:after="80"/>
      </w:pPr>
      <w:r>
        <w:rPr>
          <w:rFonts w:ascii="Arial" w:cs="Arial" w:eastAsia="Arial" w:hAnsi="Arial"/>
          <w:color w:val="333333"/>
          <w:sz w:val="22"/>
          <w:szCs w:val="22"/>
        </w:rPr>
        <w:t xml:space="preserve">60% of new equipment includes integrated AI. 80% includes autonomous capabilities.</w:t>
      </w:r>
    </w:p>
    <w:p>
      <w:pPr>
        <w:pStyle w:val="ListParagraph"/>
        <w:numPr>
          <w:ilvl w:val="0"/>
          <w:numId w:val="2"/>
        </w:numPr>
        <w:spacing w:after="80"/>
      </w:pPr>
      <w:r>
        <w:rPr>
          <w:rFonts w:ascii="Arial" w:cs="Arial" w:eastAsia="Arial" w:hAnsi="Arial"/>
          <w:color w:val="333333"/>
          <w:sz w:val="22"/>
          <w:szCs w:val="22"/>
        </w:rPr>
        <w:t xml:space="preserve">See &amp; Spray technology: 5M acres covered, 59% herbicide savings, 31M gallons saved annually.</w:t>
      </w:r>
    </w:p>
    <w:p>
      <w:pPr>
        <w:pStyle w:val="ListParagraph"/>
        <w:numPr>
          <w:ilvl w:val="0"/>
          <w:numId w:val="2"/>
        </w:numPr>
        <w:spacing w:after="80"/>
      </w:pPr>
      <w:r>
        <w:rPr>
          <w:rFonts w:ascii="Arial" w:cs="Arial" w:eastAsia="Arial" w:hAnsi="Arial"/>
          <w:color w:val="333333"/>
          <w:sz w:val="22"/>
          <w:szCs w:val="22"/>
        </w:rPr>
        <w:t xml:space="preserve">Revenue target: 10% from software/services by 2030 (~$4.6B). Software margins: 85% vs. 25% for equipment.</w:t>
      </w:r>
    </w:p>
    <w:p>
      <w:pPr>
        <w:pStyle w:val="ListParagraph"/>
        <w:numPr>
          <w:ilvl w:val="0"/>
          <w:numId w:val="2"/>
        </w:numPr>
        <w:spacing w:after="80"/>
      </w:pPr>
      <w:r>
        <w:rPr>
          <w:rFonts w:ascii="Arial" w:cs="Arial" w:eastAsia="Arial" w:hAnsi="Arial"/>
          <w:color w:val="333333"/>
          <w:sz w:val="22"/>
          <w:szCs w:val="22"/>
        </w:rPr>
        <w:t xml:space="preserve">Agile transformation: 500+ teams, 165% more output, 63% faster time-to-market.</w:t>
      </w:r>
    </w:p>
    <w:p>
      <w:pPr>
        <w:pStyle w:val="Heading3"/>
        <w:spacing w:before="200" w:after="120"/>
      </w:pPr>
      <w:r>
        <w:rPr>
          <w:rFonts w:ascii="Arial" w:cs="Arial" w:eastAsia="Arial" w:hAnsi="Arial"/>
          <w:b/>
          <w:bCs/>
          <w:color w:val="4471A9"/>
          <w:sz w:val="24"/>
          <w:szCs w:val="24"/>
        </w:rPr>
        <w:t xml:space="preserve">How They Did It</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Aggressive, targeted M&amp;A.</w:t>
      </w:r>
      <w:r>
        <w:rPr>
          <w:rFonts w:ascii="Arial" w:cs="Arial" w:eastAsia="Arial" w:hAnsi="Arial"/>
          <w:color w:val="333333"/>
          <w:sz w:val="22"/>
          <w:szCs w:val="22"/>
        </w:rPr>
        <w:t xml:space="preserve"> Blue River Technology ($305M, 2017 — computer vision). Bear Flag Robotics ($250M, 2021 — autonomy). ANELLO Photonics (2023 — sensors). Total: $670M+ in AI/autonomy acquisitions.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Dedicated innovation structure.</w:t>
      </w:r>
      <w:r>
        <w:rPr>
          <w:rFonts w:ascii="Arial" w:cs="Arial" w:eastAsia="Arial" w:hAnsi="Arial"/>
          <w:color w:val="333333"/>
          <w:sz w:val="22"/>
          <w:szCs w:val="22"/>
        </w:rPr>
        <w:t xml:space="preserve"> Created the Intelligent Solutions Group (ISG): a 134,000 sq ft facility for data science and AI that operates with startup autonomy inside the enterprise.</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Workforce shift.</w:t>
      </w:r>
      <w:r>
        <w:rPr>
          <w:rFonts w:ascii="Arial" w:cs="Arial" w:eastAsia="Arial" w:hAnsi="Arial"/>
          <w:color w:val="333333"/>
          <w:sz w:val="22"/>
          <w:szCs w:val="22"/>
        </w:rPr>
        <w:t xml:space="preserve"> More software engineers than mechanical engineers. 100+ employees upskilled from manufacturing to software roles. Skills mapping 7 years ahead of current requirements.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Data as moat.</w:t>
      </w:r>
      <w:r>
        <w:rPr>
          <w:rFonts w:ascii="Arial" w:cs="Arial" w:eastAsia="Arial" w:hAnsi="Arial"/>
          <w:color w:val="333333"/>
          <w:sz w:val="22"/>
          <w:szCs w:val="22"/>
        </w:rPr>
        <w:t xml:space="preserve"> Deere does NOT sell farm data. They monetize via platform lock-in and premium analytics. Trust equals retention.</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Subscription model.</w:t>
      </w:r>
      <w:r>
        <w:rPr>
          <w:rFonts w:ascii="Arial" w:cs="Arial" w:eastAsia="Arial" w:hAnsi="Arial"/>
          <w:color w:val="333333"/>
          <w:sz w:val="22"/>
          <w:szCs w:val="22"/>
        </w:rPr>
        <w:t xml:space="preserve"> Per-acre pricing tied to customer ROI. Auto-generated savings reports demonstrate value. 1.5-year payback.</w:t>
      </w:r>
    </w:p>
    <w:p>
      <w:pPr>
        <w:pStyle w:val="Heading3"/>
        <w:spacing w:before="200" w:after="120"/>
      </w:pPr>
      <w:r>
        <w:rPr>
          <w:rFonts w:ascii="Arial" w:cs="Arial" w:eastAsia="Arial" w:hAnsi="Arial"/>
          <w:b/>
          <w:bCs/>
          <w:color w:val="4471A9"/>
          <w:sz w:val="24"/>
          <w:szCs w:val="24"/>
        </w:rPr>
        <w:t xml:space="preserve">Why It Matters for Renesas</w:t>
      </w:r>
    </w:p>
    <w:p>
      <w:pPr>
        <w:pStyle w:val="ListParagraph"/>
        <w:numPr>
          <w:ilvl w:val="0"/>
          <w:numId w:val="2"/>
        </w:numPr>
        <w:spacing w:after="80"/>
      </w:pPr>
      <w:r>
        <w:rPr>
          <w:rFonts w:ascii="Arial" w:cs="Arial" w:eastAsia="Arial" w:hAnsi="Arial"/>
          <w:color w:val="333333"/>
          <w:sz w:val="22"/>
          <w:szCs w:val="22"/>
        </w:rPr>
        <w:t xml:space="preserve">The hardware to platform pivot is exactly the trajectory Renesas is on. Deere proves it is possible at industrial scale.</w:t>
      </w:r>
    </w:p>
    <w:p>
      <w:pPr>
        <w:pStyle w:val="ListParagraph"/>
        <w:numPr>
          <w:ilvl w:val="0"/>
          <w:numId w:val="2"/>
        </w:numPr>
        <w:spacing w:after="80"/>
      </w:pPr>
      <w:r>
        <w:rPr>
          <w:rFonts w:ascii="Arial" w:cs="Arial" w:eastAsia="Arial" w:hAnsi="Arial"/>
          <w:color w:val="333333"/>
          <w:sz w:val="22"/>
          <w:szCs w:val="22"/>
        </w:rPr>
        <w:t xml:space="preserve">Subscription + ecosystem lock-in = recurring revenue with 85% margins. Renesas + Altium could build similar platform economics.</w:t>
      </w:r>
    </w:p>
    <w:p>
      <w:pPr>
        <w:pStyle w:val="ListParagraph"/>
        <w:numPr>
          <w:ilvl w:val="0"/>
          <w:numId w:val="2"/>
        </w:numPr>
        <w:spacing w:after="80"/>
      </w:pPr>
      <w:r>
        <w:rPr>
          <w:rFonts w:ascii="Arial" w:cs="Arial" w:eastAsia="Arial" w:hAnsi="Arial"/>
          <w:color w:val="333333"/>
          <w:sz w:val="22"/>
          <w:szCs w:val="22"/>
        </w:rPr>
        <w:t xml:space="preserve">Talent transformation was parallel (people + platforms simultaneously), not sequential. It started in Year 1.</w:t>
      </w:r>
    </w:p>
    <w:p>
      <w:pPr>
        <w:pStyle w:val="ListParagraph"/>
        <w:numPr>
          <w:ilvl w:val="0"/>
          <w:numId w:val="2"/>
        </w:numPr>
        <w:spacing w:after="80"/>
      </w:pPr>
      <w:r>
        <w:rPr>
          <w:rFonts w:ascii="Arial" w:cs="Arial" w:eastAsia="Arial" w:hAnsi="Arial"/>
          <w:color w:val="333333"/>
          <w:sz w:val="22"/>
          <w:szCs w:val="22"/>
        </w:rPr>
        <w:t xml:space="preserve">Acquisitions were kept separate initially (Silicon Valley), then gradually integrated — the same model that applies to Renesas’s US hub.</w:t>
      </w:r>
    </w:p>
    <w:p>
      <w:pPr>
        <w:pStyle w:val="ListParagraph"/>
        <w:numPr>
          <w:ilvl w:val="0"/>
          <w:numId w:val="2"/>
        </w:numPr>
        <w:spacing w:after="80"/>
      </w:pPr>
      <w:r>
        <w:rPr>
          <w:rFonts w:ascii="Arial" w:cs="Arial" w:eastAsia="Arial" w:hAnsi="Arial"/>
          <w:color w:val="333333"/>
          <w:sz w:val="22"/>
          <w:szCs w:val="22"/>
        </w:rPr>
        <w:t xml:space="preserve">Total transformation timeline: approximately 10 years from first moves to current scale. Started small. Compounded.</w:t>
      </w:r>
    </w:p>
    <w:p>
      <w:pPr>
        <w:pStyle w:val="Heading2"/>
        <w:spacing w:before="280" w:after="160"/>
      </w:pPr>
      <w:r>
        <w:rPr>
          <w:rFonts w:ascii="Arial" w:cs="Arial" w:eastAsia="Arial" w:hAnsi="Arial"/>
          <w:b/>
          <w:bCs/>
          <w:color w:val="06418C"/>
          <w:sz w:val="28"/>
          <w:szCs w:val="28"/>
        </w:rPr>
        <w:t xml:space="preserve">8.3 NVIDIA: The Gold Standard</w:t>
      </w:r>
    </w:p>
    <w:p>
      <w:pPr>
        <w:spacing w:after="160"/>
        <w:jc w:val="left"/>
      </w:pPr>
      <w:r>
        <w:rPr>
          <w:rFonts w:ascii="Arial" w:cs="Arial" w:eastAsia="Arial" w:hAnsi="Arial"/>
          <w:color w:val="333333"/>
          <w:sz w:val="22"/>
          <w:szCs w:val="22"/>
        </w:rPr>
        <w:t xml:space="preserve">NVIDIA does not just sell AI. It deploys AI across every internal function. 100% of engineers use AI tools daily. This is not a pilot or a PR story — it is how the company operates.</w:t>
      </w:r>
    </w:p>
    <w:p>
      <w:pPr>
        <w:pStyle w:val="Heading3"/>
        <w:spacing w:before="200" w:after="120"/>
      </w:pPr>
      <w:r>
        <w:rPr>
          <w:rFonts w:ascii="Arial" w:cs="Arial" w:eastAsia="Arial" w:hAnsi="Arial"/>
          <w:b/>
          <w:bCs/>
          <w:color w:val="4471A9"/>
          <w:sz w:val="24"/>
          <w:szCs w:val="24"/>
        </w:rPr>
        <w:t xml:space="preserve">ChipNeMo: Domain-Specific LLM for Chip Design</w:t>
      </w:r>
    </w:p>
    <w:p>
      <w:pPr>
        <w:spacing w:after="160"/>
        <w:jc w:val="left"/>
      </w:pPr>
      <w:r>
        <w:rPr>
          <w:rFonts w:ascii="Arial" w:cs="Arial" w:eastAsia="Arial" w:hAnsi="Arial"/>
          <w:color w:val="333333"/>
          <w:sz w:val="22"/>
          <w:szCs w:val="22"/>
        </w:rPr>
        <w:t xml:space="preserve">A 43-billion-parameter model trained on 30 years of NVIDIA internal chip design data (24 billion tokens — design documents, bug reports, Verilog code, EDA scripts). ChipNeMo answers chip design questions in natural language, generates EDA scripts, summarizes bug reports, and assists RTL coding.</w:t>
      </w:r>
    </w:p>
    <w:p>
      <w:pPr>
        <w:spacing w:after="160"/>
        <w:jc w:val="left"/>
      </w:pPr>
      <w:r>
        <w:rPr>
          <w:rFonts w:ascii="Arial" w:cs="Arial" w:eastAsia="Arial" w:hAnsi="Arial"/>
          <w:color w:val="333333"/>
          <w:sz w:val="22"/>
          <w:szCs w:val="22"/>
        </w:rPr>
        <w:t xml:space="preserve">The critical insight: ChipNeMo at 13B parameters matches or exceeds LLaMA-70B on chip design tasks. Domain-specific training on proprietary data matters more than model size. The implication for Renesas: a Renesas-specific model trained on internal design data would outperform any general-purpose model. The competitive moat is the data, not the model vendor.</w:t>
      </w:r>
    </w:p>
    <w:p>
      <w:pPr>
        <w:pStyle w:val="Heading3"/>
        <w:spacing w:before="200" w:after="120"/>
      </w:pPr>
      <w:r>
        <w:rPr>
          <w:rFonts w:ascii="Arial" w:cs="Arial" w:eastAsia="Arial" w:hAnsi="Arial"/>
          <w:b/>
          <w:bCs/>
          <w:color w:val="4471A9"/>
          <w:sz w:val="24"/>
          <w:szCs w:val="24"/>
        </w:rPr>
        <w:t xml:space="preserve">Engineering at Scale: 30,000 Engineers, 3x Output</w:t>
      </w:r>
    </w:p>
    <w:p>
      <w:pPr>
        <w:spacing w:after="160"/>
        <w:jc w:val="left"/>
      </w:pPr>
      <w:r>
        <w:rPr>
          <w:rFonts w:ascii="Arial" w:cs="Arial" w:eastAsia="Arial" w:hAnsi="Arial"/>
          <w:color w:val="333333"/>
          <w:sz w:val="22"/>
          <w:szCs w:val="22"/>
        </w:rPr>
        <w:t xml:space="preserve">Every NVIDIA engineer uses a customized version of Cursor (AI IDE). The result: 3x more code committed company-wide. Bug rates stayed flat — quality did not degrade despite the tripling of output volume. Custom automation rules are tailored to NVIDIA’s codebase and standards. As Jensen Huang stated: managers who limit AI adoption are "insane." This is not optional at NVIDIA.</w:t>
      </w:r>
    </w:p>
    <w:p>
      <w:pPr>
        <w:pStyle w:val="Heading3"/>
        <w:spacing w:before="200" w:after="120"/>
      </w:pPr>
      <w:r>
        <w:rPr>
          <w:rFonts w:ascii="Arial" w:cs="Arial" w:eastAsia="Arial" w:hAnsi="Arial"/>
          <w:b/>
          <w:bCs/>
          <w:color w:val="4471A9"/>
          <w:sz w:val="24"/>
          <w:szCs w:val="24"/>
        </w:rPr>
        <w:t xml:space="preserve">Verification: 33% Better Coverage, 5x Fewer Tests</w:t>
      </w:r>
    </w:p>
    <w:p>
      <w:pPr>
        <w:spacing w:after="160"/>
        <w:jc w:val="left"/>
      </w:pPr>
      <w:r>
        <w:rPr>
          <w:rFonts w:ascii="Arial" w:cs="Arial" w:eastAsia="Arial" w:hAnsi="Arial"/>
          <w:color w:val="333333"/>
          <w:sz w:val="22"/>
          <w:szCs w:val="22"/>
        </w:rPr>
        <w:t xml:space="preserve">AI-driven verification optimization (Synopsys VSO.ai) delivers 33% improvement in functional coverage using the same number of test runs, plus 5x regression test compression across all testbenches. The direct translation: faster tape-out, higher confidence, lower verification cost.</w:t>
      </w:r>
    </w:p>
    <w:p>
      <w:pPr>
        <w:pStyle w:val="Heading3"/>
        <w:spacing w:before="200" w:after="120"/>
      </w:pPr>
      <w:r>
        <w:rPr>
          <w:rFonts w:ascii="Arial" w:cs="Arial" w:eastAsia="Arial" w:hAnsi="Arial"/>
          <w:b/>
          <w:bCs/>
          <w:color w:val="4471A9"/>
          <w:sz w:val="24"/>
          <w:szCs w:val="24"/>
        </w:rPr>
        <w:t xml:space="preserve">Revenue Per Employee: The AI Flywheel in Numbers</w:t>
      </w:r>
    </w:p>
    <w:p>
      <w:pPr>
        <w:spacing w:after="160"/>
        <w:jc w:val="left"/>
      </w:pPr>
      <w:r>
        <w:rPr>
          <w:rFonts w:ascii="Arial" w:cs="Arial" w:eastAsia="Arial" w:hAnsi="Arial"/>
          <w:color w:val="333333"/>
          <w:sz w:val="22"/>
          <w:szCs w:val="22"/>
        </w:rPr>
        <w:t xml:space="preserve">2019: $882K. 2022: $1.2M. 2024: $2.06M. 2025: $3.62M. That is 4x revenue per employee in approximately 3 years. Same company. Dramatically more output per person. This is what an AI-native operating model looks like financially: not more headcount, but more leverage. The companies that deploy AI internally first create structural advantages that compound.</w:t>
      </w:r>
    </w:p>
    <w:p>
      <w:pPr>
        <w:pStyle w:val="Heading2"/>
        <w:spacing w:before="280" w:after="160"/>
      </w:pPr>
      <w:r>
        <w:rPr>
          <w:rFonts w:ascii="Arial" w:cs="Arial" w:eastAsia="Arial" w:hAnsi="Arial"/>
          <w:b/>
          <w:bCs/>
          <w:color w:val="06418C"/>
          <w:sz w:val="28"/>
          <w:szCs w:val="28"/>
        </w:rPr>
        <w:t xml:space="preserve">8.4 Siemens: The Industrial Precedent</w:t>
      </w:r>
    </w:p>
    <w:p>
      <w:pPr>
        <w:spacing w:after="160"/>
        <w:jc w:val="left"/>
      </w:pPr>
      <w:r>
        <w:rPr>
          <w:rFonts w:ascii="Arial" w:cs="Arial" w:eastAsia="Arial" w:hAnsi="Arial"/>
          <w:color w:val="333333"/>
          <w:sz w:val="22"/>
          <w:szCs w:val="22"/>
        </w:rPr>
        <w:t xml:space="preserve">Siemens transformed from an industrial conglomerate to a digital industry platform company over approximately 10 years. The parallels to Renesas are direct:</w:t>
      </w:r>
    </w:p>
    <w:p>
      <w:pPr>
        <w:pStyle w:val="ListParagraph"/>
        <w:numPr>
          <w:ilvl w:val="0"/>
          <w:numId w:val="2"/>
        </w:numPr>
        <w:spacing w:after="80"/>
      </w:pPr>
      <w:r>
        <w:rPr>
          <w:rFonts w:ascii="Arial" w:cs="Arial" w:eastAsia="Arial" w:hAnsi="Arial"/>
          <w:color w:val="333333"/>
          <w:sz w:val="22"/>
          <w:szCs w:val="22"/>
        </w:rPr>
        <w:t xml:space="preserve">Siemens Xcelerator: open digital business platform connecting hardware, software, and IoT</w:t>
      </w:r>
    </w:p>
    <w:p>
      <w:pPr>
        <w:pStyle w:val="ListParagraph"/>
        <w:numPr>
          <w:ilvl w:val="0"/>
          <w:numId w:val="2"/>
        </w:numPr>
        <w:spacing w:after="80"/>
      </w:pPr>
      <w:r>
        <w:rPr>
          <w:rFonts w:ascii="Arial" w:cs="Arial" w:eastAsia="Arial" w:hAnsi="Arial"/>
          <w:color w:val="333333"/>
          <w:sz w:val="22"/>
          <w:szCs w:val="22"/>
        </w:rPr>
        <w:t xml:space="preserve">9 AI copilots across EDA and design tools launched at CES 2026, plus the first industrial foundation model</w:t>
      </w:r>
    </w:p>
    <w:p>
      <w:pPr>
        <w:pStyle w:val="ListParagraph"/>
        <w:numPr>
          <w:ilvl w:val="0"/>
          <w:numId w:val="2"/>
        </w:numPr>
        <w:spacing w:after="80"/>
      </w:pPr>
      <w:r>
        <w:rPr>
          <w:rFonts w:ascii="Arial" w:cs="Arial" w:eastAsia="Arial" w:hAnsi="Arial"/>
          <w:color w:val="333333"/>
          <w:sz w:val="22"/>
          <w:szCs w:val="22"/>
        </w:rPr>
        <w:t xml:space="preserve">Acquisition strategy included Mentor Graphics (EDA), Brightly (software), and multiple digital tuck-ins</w:t>
      </w:r>
    </w:p>
    <w:p>
      <w:pPr>
        <w:pStyle w:val="ListParagraph"/>
        <w:numPr>
          <w:ilvl w:val="0"/>
          <w:numId w:val="2"/>
        </w:numPr>
        <w:spacing w:after="80"/>
      </w:pPr>
      <w:r>
        <w:rPr>
          <w:rFonts w:ascii="Arial" w:cs="Arial" w:eastAsia="Arial" w:hAnsi="Arial"/>
          <w:color w:val="333333"/>
          <w:sz w:val="22"/>
          <w:szCs w:val="22"/>
        </w:rPr>
        <w:t xml:space="preserve">The key lesson: the industrial company that also builds the software platform creates ecosystem lock-in. That trajectory mirrors the Renesas + Altium vision.</w:t>
      </w:r>
    </w:p>
    <w:p>
      <w:r>
        <w:br w:type="page"/>
      </w:r>
    </w:p>
    <w:p>
      <w:pPr>
        <w:pStyle w:val="Heading1"/>
        <w:spacing w:before="360" w:after="200"/>
      </w:pPr>
      <w:r>
        <w:rPr>
          <w:rFonts w:ascii="Arial" w:cs="Arial" w:eastAsia="Arial" w:hAnsi="Arial"/>
          <w:b/>
          <w:bCs/>
          <w:color w:val="042D5E"/>
          <w:sz w:val="36"/>
          <w:szCs w:val="36"/>
        </w:rPr>
        <w:t xml:space="preserve">9. Failure Patterns: What to Avoid</w:t>
      </w:r>
    </w:p>
    <w:p>
      <w:pPr>
        <w:spacing w:after="160"/>
        <w:jc w:val="left"/>
      </w:pPr>
      <w:r>
        <w:rPr>
          <w:rFonts w:ascii="Arial" w:cs="Arial" w:eastAsia="Arial" w:hAnsi="Arial"/>
          <w:color w:val="333333"/>
          <w:sz w:val="22"/>
          <w:szCs w:val="22"/>
        </w:rPr>
        <w:t xml:space="preserve">The transformation graveyard is specific. These failures are not abstract risks — they are documented cases with clear root causes. Understanding them is half the strategy.</w:t>
      </w:r>
    </w:p>
    <w:p>
      <w:pPr>
        <w:pStyle w:val="Heading2"/>
        <w:spacing w:before="280" w:after="160"/>
      </w:pPr>
      <w:r>
        <w:rPr>
          <w:rFonts w:ascii="Arial" w:cs="Arial" w:eastAsia="Arial" w:hAnsi="Arial"/>
          <w:b/>
          <w:bCs/>
          <w:color w:val="06418C"/>
          <w:sz w:val="28"/>
          <w:szCs w:val="28"/>
        </w:rPr>
        <w:t xml:space="preserve">9.1 Technology-First: IBM Watson Health ($4B+ Loss)</w:t>
      </w:r>
    </w:p>
    <w:p>
      <w:pPr>
        <w:spacing w:after="160"/>
        <w:jc w:val="left"/>
      </w:pPr>
      <w:r>
        <w:rPr>
          <w:rFonts w:ascii="Arial" w:cs="Arial" w:eastAsia="Arial" w:hAnsi="Arial"/>
          <w:color w:val="333333"/>
          <w:sz w:val="22"/>
          <w:szCs w:val="22"/>
        </w:rPr>
        <w:t xml:space="preserve">IBM built capability before understanding the domain. Watson Health was marketed as a revolutionary AI for cancer treatment, but the underlying technology could not deliver on the promise. The MD Anderson Cancer Center partnership was cancelled after $62M in spend when the system failed to produce reliable clinical recommendations.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Root cause:</w:t>
      </w:r>
      <w:r>
        <w:rPr>
          <w:rFonts w:ascii="Arial" w:cs="Arial" w:eastAsia="Arial" w:hAnsi="Arial"/>
          <w:color w:val="333333"/>
          <w:sz w:val="22"/>
          <w:szCs w:val="22"/>
        </w:rPr>
        <w:t xml:space="preserve"> Technology pushed before domain understanding. Marketing ahead of capability. No feedback loop between deployment reality and product development.</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Lesson for Renesas:</w:t>
      </w:r>
      <w:r>
        <w:rPr>
          <w:rFonts w:ascii="Arial" w:cs="Arial" w:eastAsia="Arial" w:hAnsi="Arial"/>
          <w:color w:val="333333"/>
          <w:sz w:val="22"/>
          <w:szCs w:val="22"/>
        </w:rPr>
        <w:t xml:space="preserve"> Domain expertise comes first. AI is the multiplier, not the foundation. Every use case starts with deep understanding of the business problem, not the technology solution.</w:t>
      </w:r>
    </w:p>
    <w:p>
      <w:pPr>
        <w:pStyle w:val="Heading2"/>
        <w:spacing w:before="280" w:after="160"/>
      </w:pPr>
      <w:r>
        <w:rPr>
          <w:rFonts w:ascii="Arial" w:cs="Arial" w:eastAsia="Arial" w:hAnsi="Arial"/>
          <w:b/>
          <w:bCs/>
          <w:color w:val="06418C"/>
          <w:sz w:val="28"/>
          <w:szCs w:val="28"/>
        </w:rPr>
        <w:t xml:space="preserve">9.2 The PoC Graveyard (70–88% Never Ship)</w:t>
      </w:r>
    </w:p>
    <w:p>
      <w:pPr>
        <w:spacing w:after="160"/>
        <w:jc w:val="left"/>
      </w:pPr>
      <w:r>
        <w:rPr>
          <w:rFonts w:ascii="Arial" w:cs="Arial" w:eastAsia="Arial" w:hAnsi="Arial"/>
          <w:color w:val="333333"/>
          <w:sz w:val="22"/>
          <w:szCs w:val="22"/>
        </w:rPr>
        <w:t xml:space="preserve">Across industries, 70–88% of AI proofs of concept never reach production deployment. The pattern is consistent: a team builds a demo, stakeholders are impressed, and then the initiative stalls because there was never a plan for production deployment, no named business owner, and no success metrics.</w:t>
      </w:r>
    </w:p>
    <w:p>
      <w:pPr>
        <w:spacing w:after="160"/>
        <w:jc w:val="left"/>
      </w:pPr>
      <w:r>
        <w:rPr>
          <w:rFonts w:ascii="Arial" w:cs="Arial" w:eastAsia="Arial" w:hAnsi="Arial"/>
          <w:color w:val="333333"/>
          <w:sz w:val="22"/>
          <w:szCs w:val="22"/>
        </w:rPr>
        <w:t xml:space="preserve">In Japan specifically, this problem compounds. Consensus processes extend the PoC-to-production timeline from 90 days to 9+ months. By the time a Japanese organization reaches consensus on deployment, the technology has often moved on and the business case has shifted.</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Root cause:</w:t>
      </w:r>
      <w:r>
        <w:rPr>
          <w:rFonts w:ascii="Arial" w:cs="Arial" w:eastAsia="Arial" w:hAnsi="Arial"/>
          <w:color w:val="333333"/>
          <w:sz w:val="22"/>
          <w:szCs w:val="22"/>
        </w:rPr>
        <w:t xml:space="preserve"> AI treated as R&amp;D experimentation, not as production capability. No pathway from pilot to deployment defined upfront.</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Lesson for Renesas:</w:t>
      </w:r>
      <w:r>
        <w:rPr>
          <w:rFonts w:ascii="Arial" w:cs="Arial" w:eastAsia="Arial" w:hAnsi="Arial"/>
          <w:color w:val="333333"/>
          <w:sz w:val="22"/>
          <w:szCs w:val="22"/>
        </w:rPr>
        <w:t xml:space="preserve"> Every initiative has a named business owner, a deployment plan, and success metrics before it starts. The production pathway is defined on day one, not discovered at the end of a pilot.</w:t>
      </w:r>
    </w:p>
    <w:p>
      <w:pPr>
        <w:pStyle w:val="Heading2"/>
        <w:spacing w:before="280" w:after="160"/>
      </w:pPr>
      <w:r>
        <w:rPr>
          <w:rFonts w:ascii="Arial" w:cs="Arial" w:eastAsia="Arial" w:hAnsi="Arial"/>
          <w:b/>
          <w:bCs/>
          <w:color w:val="06418C"/>
          <w:sz w:val="28"/>
          <w:szCs w:val="28"/>
        </w:rPr>
        <w:t xml:space="preserve">9.3 Replacement Framing: Klarna</w:t>
      </w:r>
    </w:p>
    <w:p>
      <w:pPr>
        <w:spacing w:after="160"/>
        <w:jc w:val="left"/>
      </w:pPr>
      <w:r>
        <w:rPr>
          <w:rFonts w:ascii="Arial" w:cs="Arial" w:eastAsia="Arial" w:hAnsi="Arial"/>
          <w:color w:val="333333"/>
          <w:sz w:val="22"/>
          <w:szCs w:val="22"/>
        </w:rPr>
        <w:t xml:space="preserve">Klarna positioned AI as headcount replacement. They cut 2,100 employees and replaced 700 with a chatbot. Service quality collapsed. Customer satisfaction plummeted. CEO Sebastian Siemiatkowski reversed course publicly in 2025, stating: "We focused too much on efficiency and cost." The company began rehiring.</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Root cause:</w:t>
      </w:r>
      <w:r>
        <w:rPr>
          <w:rFonts w:ascii="Arial" w:cs="Arial" w:eastAsia="Arial" w:hAnsi="Arial"/>
          <w:color w:val="333333"/>
          <w:sz w:val="22"/>
          <w:szCs w:val="22"/>
        </w:rPr>
        <w:t xml:space="preserve"> Framing AI as a substitute for human judgment rather than an augmentation of it. Underestimating the complexity of customer-facing tasks. Confusing cost reduction with value creation.</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Lesson for Renesas:</w:t>
      </w:r>
      <w:r>
        <w:rPr>
          <w:rFonts w:ascii="Arial" w:cs="Arial" w:eastAsia="Arial" w:hAnsi="Arial"/>
          <w:color w:val="333333"/>
          <w:sz w:val="22"/>
          <w:szCs w:val="22"/>
        </w:rPr>
        <w:t xml:space="preserve"> The transformation is framed as capability amplification, not headcount reduction. The workforce evolves — it does not shrink. This is not just a messaging choice — it reflects a genuine belief that AI-augmented workers create more value than either AI alone or humans alone.</w:t>
      </w:r>
    </w:p>
    <w:p>
      <w:pPr>
        <w:pStyle w:val="Heading2"/>
        <w:spacing w:before="280" w:after="160"/>
      </w:pPr>
      <w:r>
        <w:rPr>
          <w:rFonts w:ascii="Arial" w:cs="Arial" w:eastAsia="Arial" w:hAnsi="Arial"/>
          <w:b/>
          <w:bCs/>
          <w:color w:val="06418C"/>
          <w:sz w:val="28"/>
          <w:szCs w:val="28"/>
        </w:rPr>
        <w:t xml:space="preserve">9.4 Data Underestimated</w:t>
      </w:r>
    </w:p>
    <w:p>
      <w:pPr>
        <w:spacing w:after="160"/>
        <w:jc w:val="left"/>
      </w:pPr>
      <w:r>
        <w:rPr>
          <w:rFonts w:ascii="Arial" w:cs="Arial" w:eastAsia="Arial" w:hAnsi="Arial"/>
          <w:color w:val="333333"/>
          <w:sz w:val="22"/>
          <w:szCs w:val="22"/>
        </w:rPr>
        <w:t xml:space="preserve">Across industries, the pattern repeats: organizations start building AI models before governing their data. The models produce unreliable results. Trust is destroyed in the first month. Recovery takes years because the organizational antibodies against AI are now active and justified.</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Root cause:</w:t>
      </w:r>
      <w:r>
        <w:rPr>
          <w:rFonts w:ascii="Arial" w:cs="Arial" w:eastAsia="Arial" w:hAnsi="Arial"/>
          <w:color w:val="333333"/>
          <w:sz w:val="22"/>
          <w:szCs w:val="22"/>
        </w:rPr>
        <w:t xml:space="preserve"> Skipping the data foundation. Building the application layer before the data layer. Optimizing for demo speed rather than production reliability.</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Lesson for Renesas:</w:t>
      </w:r>
      <w:r>
        <w:rPr>
          <w:rFonts w:ascii="Arial" w:cs="Arial" w:eastAsia="Arial" w:hAnsi="Arial"/>
          <w:color w:val="333333"/>
          <w:sz w:val="22"/>
          <w:szCs w:val="22"/>
        </w:rPr>
        <w:t xml:space="preserve"> The data platform is the single most important Phase 1 investment. Everything else depends on it. This is why the phasing is bottom-up (data first) rather than top-down (applications first).</w:t>
      </w:r>
    </w:p>
    <w:p>
      <w:pPr>
        <w:pStyle w:val="Heading2"/>
        <w:spacing w:before="280" w:after="160"/>
      </w:pPr>
      <w:r>
        <w:rPr>
          <w:rFonts w:ascii="Arial" w:cs="Arial" w:eastAsia="Arial" w:hAnsi="Arial"/>
          <w:b/>
          <w:bCs/>
          <w:color w:val="06418C"/>
          <w:sz w:val="28"/>
          <w:szCs w:val="28"/>
        </w:rPr>
        <w:t xml:space="preserve">9.5 Product Story vs. Internal Reality: The Gap</w:t>
      </w:r>
    </w:p>
    <w:p>
      <w:pPr>
        <w:spacing w:after="160"/>
        <w:jc w:val="left"/>
      </w:pPr>
      <w:r>
        <w:rPr>
          <w:rFonts w:ascii="Arial" w:cs="Arial" w:eastAsia="Arial" w:hAnsi="Arial"/>
          <w:color w:val="333333"/>
          <w:sz w:val="22"/>
          <w:szCs w:val="22"/>
        </w:rPr>
        <w:t xml:space="preserve">Some companies — Infineon is an illustrative example — build outstanding external AI product narratives while internal digital transformation lags behind the story. The gap between what the company tells the market and what the company actually does internally is a vulnerability.</w:t>
      </w:r>
    </w:p>
    <w:p>
      <w:pPr>
        <w:spacing w:after="160"/>
        <w:jc w:val="left"/>
      </w:pPr>
      <w:r>
        <w:rPr>
          <w:rFonts w:ascii="Arial" w:cs="Arial" w:eastAsia="Arial" w:hAnsi="Arial"/>
          <w:color w:val="333333"/>
          <w:sz w:val="22"/>
          <w:szCs w:val="22"/>
        </w:rPr>
        <w:t xml:space="preserve">When competitors match the external product narrative but also deploy AI internally for engineering productivity, operational efficiency, and decision-making, the company with the gap loses on two fronts: competitors who are genuinely AI-native move faster internally, and the credibility gap eventually surfaces.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Lesson for Renesas:</w:t>
      </w:r>
      <w:r>
        <w:rPr>
          <w:rFonts w:ascii="Arial" w:cs="Arial" w:eastAsia="Arial" w:hAnsi="Arial"/>
          <w:color w:val="333333"/>
          <w:sz w:val="22"/>
          <w:szCs w:val="22"/>
        </w:rPr>
        <w:t xml:space="preserve"> Internal transformation and external product innovation must move together. The credibility of the platform vision depends on genuinely being an AI-native company — not just marketing one.</w:t>
      </w:r>
    </w:p>
    <w:p>
      <w:pPr>
        <w:pStyle w:val="Heading2"/>
        <w:spacing w:before="280" w:after="160"/>
      </w:pPr>
      <w:r>
        <w:rPr>
          <w:rFonts w:ascii="Arial" w:cs="Arial" w:eastAsia="Arial" w:hAnsi="Arial"/>
          <w:b/>
          <w:bCs/>
          <w:color w:val="06418C"/>
          <w:sz w:val="28"/>
          <w:szCs w:val="28"/>
        </w:rPr>
        <w:t xml:space="preserve">9.6 Japan’s Digital Cliff</w:t>
      </w:r>
    </w:p>
    <w:p>
      <w:pPr>
        <w:spacing w:after="160"/>
        <w:jc w:val="left"/>
      </w:pPr>
      <w:r>
        <w:rPr>
          <w:rFonts w:ascii="Arial" w:cs="Arial" w:eastAsia="Arial" w:hAnsi="Arial"/>
          <w:color w:val="333333"/>
          <w:sz w:val="22"/>
          <w:szCs w:val="22"/>
        </w:rPr>
        <w:t xml:space="preserve">METI’s 2018 Digital Transformation report projected ¥12 trillion per year in economic losses from legacy system drag — a figure that captured national attention. The response was significant: 76.8% of Japanese companies launched DX initiatives, according to Nikkei BP Research Institute data.</w:t>
      </w:r>
    </w:p>
    <w:p>
      <w:pPr>
        <w:spacing w:after="160"/>
        <w:jc w:val="left"/>
      </w:pPr>
      <w:r>
        <w:rPr>
          <w:rFonts w:ascii="Arial" w:cs="Arial" w:eastAsia="Arial" w:hAnsi="Arial"/>
          <w:color w:val="333333"/>
          <w:sz w:val="22"/>
          <w:szCs w:val="22"/>
        </w:rPr>
        <w:t xml:space="preserve">But the outcomes have been disappointing. Only approximately 1 in 3 Japanese companies achieved measurable results, compared to approximately 80% in the US and Germany (IPA comparison). The primary causes are structural:</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PoC mindset without production pathway:</w:t>
      </w:r>
      <w:r>
        <w:rPr>
          <w:rFonts w:ascii="Arial" w:cs="Arial" w:eastAsia="Arial" w:hAnsi="Arial"/>
          <w:color w:val="333333"/>
          <w:sz w:val="22"/>
          <w:szCs w:val="22"/>
        </w:rPr>
        <w:t xml:space="preserve"> Endless pilots that never ship.</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Consensus bottlenecks:</w:t>
      </w:r>
      <w:r>
        <w:rPr>
          <w:rFonts w:ascii="Arial" w:cs="Arial" w:eastAsia="Arial" w:hAnsi="Arial"/>
          <w:color w:val="333333"/>
          <w:sz w:val="22"/>
          <w:szCs w:val="22"/>
        </w:rPr>
        <w:t xml:space="preserve"> Decision-making processes that extend timelines past the point of relevance.</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Perfectionism killing probabilistic AI:</w:t>
      </w:r>
      <w:r>
        <w:rPr>
          <w:rFonts w:ascii="Arial" w:cs="Arial" w:eastAsia="Arial" w:hAnsi="Arial"/>
          <w:color w:val="333333"/>
          <w:sz w:val="22"/>
          <w:szCs w:val="22"/>
        </w:rPr>
        <w:t xml:space="preserve"> An organizational culture that demands 100% accuracy from a technology that delivers value at 85%.</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IT treated as cost center:</w:t>
      </w:r>
      <w:r>
        <w:rPr>
          <w:rFonts w:ascii="Arial" w:cs="Arial" w:eastAsia="Arial" w:hAnsi="Arial"/>
          <w:color w:val="333333"/>
          <w:sz w:val="22"/>
          <w:szCs w:val="22"/>
        </w:rPr>
        <w:t xml:space="preserve"> Transformation budgets allocated and managed as expense, not investment.</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Data silos along vertical org structures:</w:t>
      </w:r>
      <w:r>
        <w:rPr>
          <w:rFonts w:ascii="Arial" w:cs="Arial" w:eastAsia="Arial" w:hAnsi="Arial"/>
          <w:color w:val="333333"/>
          <w:sz w:val="22"/>
          <w:szCs w:val="22"/>
        </w:rPr>
        <w:t xml:space="preserve"> Functional boundaries that prevent the unified data foundation AI requires.</w:t>
      </w:r>
    </w:p>
    <w:p>
      <w:pPr>
        <w:spacing w:after="80"/>
      </w:pPr>
    </w:p>
    <w:p>
      <w:pPr>
        <w:spacing w:after="160"/>
        <w:jc w:val="left"/>
      </w:pPr>
      <w:r>
        <w:rPr>
          <w:rFonts w:ascii="Arial" w:cs="Arial" w:eastAsia="Arial" w:hAnsi="Arial"/>
          <w:color w:val="333333"/>
          <w:sz w:val="22"/>
          <w:szCs w:val="22"/>
        </w:rPr>
        <w:t xml:space="preserve">This context is important because Renesas operates in this environment. The CEO knows these barriers. The message is not that Japan is behind — it is that the specific failure patterns are known and the transformation is designed around them.</w:t>
      </w:r>
    </w:p>
    <w:p>
      <w:pPr>
        <w:pStyle w:val="Heading2"/>
        <w:spacing w:before="280" w:after="160"/>
      </w:pPr>
      <w:r>
        <w:rPr>
          <w:rFonts w:ascii="Arial" w:cs="Arial" w:eastAsia="Arial" w:hAnsi="Arial"/>
          <w:b/>
          <w:bCs/>
          <w:color w:val="06418C"/>
          <w:sz w:val="28"/>
          <w:szCs w:val="28"/>
        </w:rPr>
        <w:t xml:space="preserve">9.7 What Renesas Will Not Do</w:t>
      </w:r>
    </w:p>
    <w:p>
      <w:pPr>
        <w:spacing w:after="160"/>
        <w:jc w:val="left"/>
      </w:pPr>
      <w:r>
        <w:rPr>
          <w:rFonts w:ascii="Arial" w:cs="Arial" w:eastAsia="Arial" w:hAnsi="Arial"/>
          <w:color w:val="333333"/>
          <w:sz w:val="22"/>
          <w:szCs w:val="22"/>
        </w:rPr>
        <w:t xml:space="preserve">Three commitments define the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We will not run pilots that are not designed to reach production. Every initiative has a business owner, a deployment plan, and a success metric before it starts.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We will not frame AI as headcount reduction. We will frame it as capability amplification. The workforce evolves — it does not shrink.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We will not build the application layer before the data foundation. That is how you end up with expensive demos that do not scale.</w:t>
            </w:r>
          </w:p>
        </w:tc>
      </w:tr>
    </w:tbl>
    <w:p>
      <w:pPr>
        <w:spacing w:after="80"/>
      </w:pPr>
    </w:p>
    <w:p>
      <w:pPr>
        <w:spacing w:after="160"/>
        <w:jc w:val="left"/>
      </w:pPr>
      <w:r>
        <w:rPr>
          <w:rFonts w:ascii="Arial" w:cs="Arial" w:eastAsia="Arial" w:hAnsi="Arial"/>
          <w:color w:val="333333"/>
          <w:sz w:val="22"/>
          <w:szCs w:val="22"/>
        </w:rPr>
        <w:t xml:space="preserve">These commitments require strong alignment between the transformation team and business leadership. This is not a back-office exercise. It succeeds or fails based on ELT engagement and sponsorship. Transformations that require leadership engagement are the ones that actually change the company.</w:t>
      </w:r>
    </w:p>
    <w:p>
      <w:r>
        <w:br w:type="page"/>
      </w:r>
    </w:p>
    <w:p>
      <w:pPr>
        <w:pStyle w:val="Heading1"/>
        <w:spacing w:before="360" w:after="200"/>
      </w:pPr>
      <w:r>
        <w:rPr>
          <w:rFonts w:ascii="Arial" w:cs="Arial" w:eastAsia="Arial" w:hAnsi="Arial"/>
          <w:b/>
          <w:bCs/>
          <w:color w:val="042D5E"/>
          <w:sz w:val="36"/>
          <w:szCs w:val="36"/>
        </w:rPr>
        <w:t xml:space="preserve">10. How We Execute</w:t>
      </w:r>
    </w:p>
    <w:p>
      <w:pPr>
        <w:pStyle w:val="Heading2"/>
        <w:spacing w:before="280" w:after="160"/>
      </w:pPr>
      <w:r>
        <w:rPr>
          <w:rFonts w:ascii="Arial" w:cs="Arial" w:eastAsia="Arial" w:hAnsi="Arial"/>
          <w:b/>
          <w:bCs/>
          <w:color w:val="06418C"/>
          <w:sz w:val="28"/>
          <w:szCs w:val="28"/>
        </w:rPr>
        <w:t xml:space="preserve">10.1 Operating Model</w:t>
      </w:r>
    </w:p>
    <w:p>
      <w:pPr>
        <w:spacing w:after="160"/>
        <w:jc w:val="left"/>
      </w:pPr>
      <w:r>
        <w:rPr>
          <w:rFonts w:ascii="Arial" w:cs="Arial" w:eastAsia="Arial" w:hAnsi="Arial"/>
          <w:color w:val="333333"/>
          <w:sz w:val="22"/>
          <w:szCs w:val="22"/>
        </w:rPr>
        <w:t xml:space="preserve">The Digital and AI Transformation operates at the center of the business, not behind it. A hub-and-spoke model embeds the transformation in every function:</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R&amp;D / Engineering</w:t>
      </w:r>
      <w:r>
        <w:rPr>
          <w:rFonts w:ascii="Arial" w:cs="Arial" w:eastAsia="Arial" w:hAnsi="Arial"/>
          <w:color w:val="333333"/>
          <w:sz w:val="22"/>
          <w:szCs w:val="22"/>
        </w:rPr>
        <w:t xml:space="preserve"> — AI-assisted design, IP reuse, verification acceleration</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Operations</w:t>
      </w:r>
      <w:r>
        <w:rPr>
          <w:rFonts w:ascii="Arial" w:cs="Arial" w:eastAsia="Arial" w:hAnsi="Arial"/>
          <w:color w:val="333333"/>
          <w:sz w:val="22"/>
          <w:szCs w:val="22"/>
        </w:rPr>
        <w:t xml:space="preserve"> — predictive maintenance, yield optimization, quality AI</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Finance</w:t>
      </w:r>
      <w:r>
        <w:rPr>
          <w:rFonts w:ascii="Arial" w:cs="Arial" w:eastAsia="Arial" w:hAnsi="Arial"/>
          <w:color w:val="333333"/>
          <w:sz w:val="22"/>
          <w:szCs w:val="22"/>
        </w:rPr>
        <w:t xml:space="preserve"> — automated reporting, scenario modeling, pricing intelligence</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Legal</w:t>
      </w:r>
      <w:r>
        <w:rPr>
          <w:rFonts w:ascii="Arial" w:cs="Arial" w:eastAsia="Arial" w:hAnsi="Arial"/>
          <w:color w:val="333333"/>
          <w:sz w:val="22"/>
          <w:szCs w:val="22"/>
        </w:rPr>
        <w:t xml:space="preserve"> — contract review, compliance automation, risk monitoring</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HR</w:t>
      </w:r>
      <w:r>
        <w:rPr>
          <w:rFonts w:ascii="Arial" w:cs="Arial" w:eastAsia="Arial" w:hAnsi="Arial"/>
          <w:color w:val="333333"/>
          <w:sz w:val="22"/>
          <w:szCs w:val="22"/>
        </w:rPr>
        <w:t xml:space="preserve"> — workforce planning, reskilling, AI training</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Sales</w:t>
      </w:r>
      <w:r>
        <w:rPr>
          <w:rFonts w:ascii="Arial" w:cs="Arial" w:eastAsia="Arial" w:hAnsi="Arial"/>
          <w:color w:val="333333"/>
          <w:sz w:val="22"/>
          <w:szCs w:val="22"/>
        </w:rPr>
        <w:t xml:space="preserve"> — design-in intelligence, CRM enrichment, customer enablement</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CEO / Board</w:t>
      </w:r>
      <w:r>
        <w:rPr>
          <w:rFonts w:ascii="Arial" w:cs="Arial" w:eastAsia="Arial" w:hAnsi="Arial"/>
          <w:color w:val="333333"/>
          <w:sz w:val="22"/>
          <w:szCs w:val="22"/>
        </w:rPr>
        <w:t xml:space="preserve"> — instant intelligence, strategic scenario modeling</w:t>
      </w:r>
    </w:p>
    <w:p>
      <w:pPr>
        <w:spacing w:after="80"/>
      </w:pPr>
    </w:p>
    <w:p>
      <w:pPr>
        <w:spacing w:after="160"/>
        <w:jc w:val="left"/>
      </w:pPr>
      <w:r>
        <w:rPr>
          <w:rFonts w:ascii="Arial" w:cs="Arial" w:eastAsia="Arial" w:hAnsi="Arial"/>
          <w:color w:val="333333"/>
          <w:sz w:val="22"/>
          <w:szCs w:val="22"/>
        </w:rPr>
        <w:t xml:space="preserve">Each spoke has a named transformation lead embedded in the function, reporting dotted-line to the center. That model ensures adoption, because the people deploying the tools understand the business context. The spokes are not customers to be served — they are partners in the transformation.</w:t>
      </w:r>
    </w:p>
    <w:p>
      <w:pPr>
        <w:pStyle w:val="Heading2"/>
        <w:spacing w:before="280" w:after="160"/>
      </w:pPr>
      <w:r>
        <w:rPr>
          <w:rFonts w:ascii="Arial" w:cs="Arial" w:eastAsia="Arial" w:hAnsi="Arial"/>
          <w:b/>
          <w:bCs/>
          <w:color w:val="06418C"/>
          <w:sz w:val="28"/>
          <w:szCs w:val="28"/>
        </w:rPr>
        <w:t xml:space="preserve">10.2 The Coalition</w:t>
      </w:r>
    </w:p>
    <w:p>
      <w:pPr>
        <w:spacing w:after="160"/>
        <w:jc w:val="left"/>
      </w:pPr>
      <w:r>
        <w:rPr>
          <w:rFonts w:ascii="Arial" w:cs="Arial" w:eastAsia="Arial" w:hAnsi="Arial"/>
          <w:color w:val="333333"/>
          <w:sz w:val="22"/>
          <w:szCs w:val="22"/>
        </w:rPr>
        <w:t xml:space="preserve">Transformation requires partners who move with you. Four key partnerships define the coalition:</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HR — Strategic Partner.</w:t>
      </w:r>
      <w:r>
        <w:rPr>
          <w:rFonts w:ascii="Arial" w:cs="Arial" w:eastAsia="Arial" w:hAnsi="Arial"/>
          <w:color w:val="333333"/>
          <w:sz w:val="22"/>
          <w:szCs w:val="22"/>
        </w:rPr>
        <w:t xml:space="preserve"> Workforce planning, reskilling, change management. HR is not an afterthought — it is a Day 1 partner. The talent transformation runs on a parallel track alongside the technology transformation.</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Sales and Business Units — First Adopters.</w:t>
      </w:r>
      <w:r>
        <w:rPr>
          <w:rFonts w:ascii="Arial" w:cs="Arial" w:eastAsia="Arial" w:hAnsi="Arial"/>
          <w:color w:val="333333"/>
          <w:sz w:val="22"/>
          <w:szCs w:val="22"/>
        </w:rPr>
        <w:t xml:space="preserve"> Closest to the customer. First beneficiaries of productivity tools. First champions. When sales sees value, the organization follows.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Product Groups — Co-Builders.</w:t>
      </w:r>
      <w:r>
        <w:rPr>
          <w:rFonts w:ascii="Arial" w:cs="Arial" w:eastAsia="Arial" w:hAnsi="Arial"/>
          <w:color w:val="333333"/>
          <w:sz w:val="22"/>
          <w:szCs w:val="22"/>
        </w:rPr>
        <w:t xml:space="preserve"> R&amp;D AI is co-built with engineering, not imposed on it. Domain expertise is irreplaceable — AI amplifies it. Product groups own the use cases; the transformation team builds the capability.</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Executive Leadership Team — Sponsors.</w:t>
      </w:r>
      <w:r>
        <w:rPr>
          <w:rFonts w:ascii="Arial" w:cs="Arial" w:eastAsia="Arial" w:hAnsi="Arial"/>
          <w:color w:val="333333"/>
          <w:sz w:val="22"/>
          <w:szCs w:val="22"/>
        </w:rPr>
        <w:t xml:space="preserve"> Critical mass of ELT is US-based. Active sponsorship is the difference between adoption and shelfware. Every failed transformation in the case studies had one thing in common: the CEO signed off and stepped back. This one requires leadership to stay in the room.</w:t>
      </w:r>
    </w:p>
    <w:p>
      <w:pPr>
        <w:pStyle w:val="Heading2"/>
        <w:spacing w:before="280" w:after="160"/>
      </w:pPr>
      <w:r>
        <w:rPr>
          <w:rFonts w:ascii="Arial" w:cs="Arial" w:eastAsia="Arial" w:hAnsi="Arial"/>
          <w:b/>
          <w:bCs/>
          <w:color w:val="06418C"/>
          <w:sz w:val="28"/>
          <w:szCs w:val="28"/>
        </w:rPr>
        <w:t xml:space="preserve">10.3 Decision Framework</w:t>
      </w:r>
    </w:p>
    <w:p>
      <w:pPr>
        <w:spacing w:after="160"/>
        <w:jc w:val="left"/>
      </w:pPr>
      <w:r>
        <w:rPr>
          <w:rFonts w:ascii="Arial" w:cs="Arial" w:eastAsia="Arial" w:hAnsi="Arial"/>
          <w:color w:val="333333"/>
          <w:sz w:val="22"/>
          <w:szCs w:val="22"/>
        </w:rPr>
        <w:t xml:space="preserve">Clear governance prevents transformation from becoming chaos. A three-tier framework ensures decisions happen at the right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36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00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Cadence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Strategic</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Phase transition decisions, major platform investments, AI ethics and risk policy, regulatory compliance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Quarterly or as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Program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Use case prioritization and sequencing, vendor selection, budget allocation by function and phase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Monthly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Operational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Deployment go/no-go, model performance monitoring, user adoption tracking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Weekly / continuous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418C" w:sz="8"/>
              <w:bottom w:val="none" w:color="FFFFFF" w:sz="0"/>
              <w:right w:val="none" w:color="FFFFFF" w:sz="0"/>
            </w:tcBorders>
            <w:shd w:fill="E8F0F8" w:val="clear"/>
            <w:tcMar>
              <w:top w:type="dxa" w:w="120"/>
              <w:left w:type="dxa" w:w="200"/>
              <w:bottom w:type="dxa" w:w="120"/>
              <w:right w:type="dxa" w:w="200"/>
            </w:tcMar>
          </w:tcPr>
          <w:p>
            <w:pPr>
              <w:spacing w:after="0"/>
            </w:pPr>
            <w:r>
              <w:rPr>
                <w:rFonts w:ascii="Arial" w:cs="Arial" w:eastAsia="Arial" w:hAnsi="Arial"/>
                <w:i/>
                <w:iCs/>
                <w:color w:val="042D5E"/>
                <w:sz w:val="22"/>
                <w:szCs w:val="22"/>
              </w:rPr>
              <w:t xml:space="preserve">Every AI deployment has a named business owner accountable for adoption and outcome. The transformation team builds and governs. The business owns the result.</w:t>
            </w:r>
          </w:p>
        </w:tc>
      </w:tr>
    </w:tbl>
    <w:p>
      <w:pPr>
        <w:pStyle w:val="Heading2"/>
        <w:spacing w:before="280" w:after="160"/>
      </w:pPr>
      <w:r>
        <w:rPr>
          <w:rFonts w:ascii="Arial" w:cs="Arial" w:eastAsia="Arial" w:hAnsi="Arial"/>
          <w:b/>
          <w:bCs/>
          <w:color w:val="06418C"/>
          <w:sz w:val="28"/>
          <w:szCs w:val="28"/>
        </w:rPr>
        <w:t xml:space="preserve">10.4 AI Risk and Ethics Framework</w:t>
      </w:r>
    </w:p>
    <w:p>
      <w:pPr>
        <w:spacing w:after="160"/>
        <w:jc w:val="left"/>
      </w:pPr>
      <w:r>
        <w:rPr>
          <w:rFonts w:ascii="Arial" w:cs="Arial" w:eastAsia="Arial" w:hAnsi="Arial"/>
          <w:color w:val="333333"/>
          <w:sz w:val="22"/>
          <w:szCs w:val="22"/>
        </w:rPr>
        <w:t xml:space="preserve">Speed and responsibility are not in conflict. The framework operates on three layers:</w:t>
      </w:r>
    </w:p>
    <w:p>
      <w:pPr>
        <w:pStyle w:val="Heading3"/>
        <w:spacing w:before="200" w:after="120"/>
      </w:pPr>
      <w:r>
        <w:rPr>
          <w:rFonts w:ascii="Arial" w:cs="Arial" w:eastAsia="Arial" w:hAnsi="Arial"/>
          <w:b/>
          <w:bCs/>
          <w:color w:val="4471A9"/>
          <w:sz w:val="24"/>
          <w:szCs w:val="24"/>
        </w:rPr>
        <w:t xml:space="preserve">Regulatory Baseline (Non-Negotiable)</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EU AI Act (effective August 2026):</w:t>
      </w:r>
      <w:r>
        <w:rPr>
          <w:rFonts w:ascii="Arial" w:cs="Arial" w:eastAsia="Arial" w:hAnsi="Arial"/>
          <w:color w:val="333333"/>
          <w:sz w:val="22"/>
          <w:szCs w:val="22"/>
        </w:rPr>
        <w:t xml:space="preserve"> High-risk AI in automotive products triggers compliance requirements. R-Car classification exposure represents potential penalties of €35M or 7% of global revenue.</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Japan AI Promotion Act (September 2025):</w:t>
      </w:r>
      <w:r>
        <w:rPr>
          <w:rFonts w:ascii="Arial" w:cs="Arial" w:eastAsia="Arial" w:hAnsi="Arial"/>
          <w:color w:val="333333"/>
          <w:sz w:val="22"/>
          <w:szCs w:val="22"/>
        </w:rPr>
        <w:t xml:space="preserve"> Soft-law, reputation-driven. Non-compliance does not carry penalties but creates reputational and business risk.</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NIST AI RMF:</w:t>
      </w:r>
      <w:r>
        <w:rPr>
          <w:rFonts w:ascii="Arial" w:cs="Arial" w:eastAsia="Arial" w:hAnsi="Arial"/>
          <w:color w:val="333333"/>
          <w:sz w:val="22"/>
          <w:szCs w:val="22"/>
        </w:rPr>
        <w:t xml:space="preserve"> De facto US standard. Adopted as the operating framework for internal governance because it is accepted across all three jurisdictions (US, EU, Japan).</w:t>
      </w:r>
    </w:p>
    <w:p>
      <w:pPr>
        <w:pStyle w:val="Heading3"/>
        <w:spacing w:before="200" w:after="120"/>
      </w:pPr>
      <w:r>
        <w:rPr>
          <w:rFonts w:ascii="Arial" w:cs="Arial" w:eastAsia="Arial" w:hAnsi="Arial"/>
          <w:b/>
          <w:bCs/>
          <w:color w:val="4471A9"/>
          <w:sz w:val="24"/>
          <w:szCs w:val="24"/>
        </w:rPr>
        <w:t xml:space="preserve">Internal Guardrails</w:t>
      </w:r>
    </w:p>
    <w:p>
      <w:pPr>
        <w:pStyle w:val="ListParagraph"/>
        <w:numPr>
          <w:ilvl w:val="0"/>
          <w:numId w:val="2"/>
        </w:numPr>
        <w:spacing w:after="80"/>
      </w:pPr>
      <w:r>
        <w:rPr>
          <w:rFonts w:ascii="Arial" w:cs="Arial" w:eastAsia="Arial" w:hAnsi="Arial"/>
          <w:color w:val="333333"/>
          <w:sz w:val="22"/>
          <w:szCs w:val="22"/>
        </w:rPr>
        <w:t xml:space="preserve">No generative AI on customer-facing decisions without human review</w:t>
      </w:r>
    </w:p>
    <w:p>
      <w:pPr>
        <w:pStyle w:val="ListParagraph"/>
        <w:numPr>
          <w:ilvl w:val="0"/>
          <w:numId w:val="2"/>
        </w:numPr>
        <w:spacing w:after="80"/>
      </w:pPr>
      <w:r>
        <w:rPr>
          <w:rFonts w:ascii="Arial" w:cs="Arial" w:eastAsia="Arial" w:hAnsi="Arial"/>
          <w:color w:val="333333"/>
          <w:sz w:val="22"/>
          <w:szCs w:val="22"/>
        </w:rPr>
        <w:t xml:space="preserve">All training on proprietary data covered by contractual IP protections</w:t>
      </w:r>
    </w:p>
    <w:p>
      <w:pPr>
        <w:pStyle w:val="ListParagraph"/>
        <w:numPr>
          <w:ilvl w:val="0"/>
          <w:numId w:val="2"/>
        </w:numPr>
        <w:spacing w:after="80"/>
      </w:pPr>
      <w:r>
        <w:rPr>
          <w:rFonts w:ascii="Arial" w:cs="Arial" w:eastAsia="Arial" w:hAnsi="Arial"/>
          <w:color w:val="333333"/>
          <w:sz w:val="22"/>
          <w:szCs w:val="22"/>
        </w:rPr>
        <w:t xml:space="preserve">Bias testing and accuracy monitoring built in from design, not retrofitted</w:t>
      </w:r>
    </w:p>
    <w:p>
      <w:pPr>
        <w:pStyle w:val="ListParagraph"/>
        <w:numPr>
          <w:ilvl w:val="0"/>
          <w:numId w:val="2"/>
        </w:numPr>
        <w:spacing w:after="80"/>
      </w:pPr>
      <w:r>
        <w:rPr>
          <w:rFonts w:ascii="Arial" w:cs="Arial" w:eastAsia="Arial" w:hAnsi="Arial"/>
          <w:color w:val="333333"/>
          <w:sz w:val="22"/>
          <w:szCs w:val="22"/>
        </w:rPr>
        <w:t xml:space="preserve">All employees receive basic AI governance training</w:t>
      </w:r>
    </w:p>
    <w:p>
      <w:pPr>
        <w:pStyle w:val="Heading3"/>
        <w:spacing w:before="200" w:after="120"/>
      </w:pPr>
      <w:r>
        <w:rPr>
          <w:rFonts w:ascii="Arial" w:cs="Arial" w:eastAsia="Arial" w:hAnsi="Arial"/>
          <w:b/>
          <w:bCs/>
          <w:color w:val="4471A9"/>
          <w:sz w:val="24"/>
          <w:szCs w:val="24"/>
        </w:rPr>
        <w:t xml:space="preserve">Monitoring and Response</w:t>
      </w:r>
    </w:p>
    <w:p>
      <w:pPr>
        <w:pStyle w:val="ListParagraph"/>
        <w:numPr>
          <w:ilvl w:val="0"/>
          <w:numId w:val="2"/>
        </w:numPr>
        <w:spacing w:after="80"/>
      </w:pPr>
      <w:r>
        <w:rPr>
          <w:rFonts w:ascii="Arial" w:cs="Arial" w:eastAsia="Arial" w:hAnsi="Arial"/>
          <w:color w:val="333333"/>
          <w:sz w:val="22"/>
          <w:szCs w:val="22"/>
        </w:rPr>
        <w:t xml:space="preserve">Continuous model performance monitoring (accuracy, bias, drift)</w:t>
      </w:r>
    </w:p>
    <w:p>
      <w:pPr>
        <w:pStyle w:val="ListParagraph"/>
        <w:numPr>
          <w:ilvl w:val="0"/>
          <w:numId w:val="2"/>
        </w:numPr>
        <w:spacing w:after="80"/>
      </w:pPr>
      <w:r>
        <w:rPr>
          <w:rFonts w:ascii="Arial" w:cs="Arial" w:eastAsia="Arial" w:hAnsi="Arial"/>
          <w:color w:val="333333"/>
          <w:sz w:val="22"/>
          <w:szCs w:val="22"/>
        </w:rPr>
        <w:t xml:space="preserve">Incident response protocol for AI failures</w:t>
      </w:r>
    </w:p>
    <w:p>
      <w:pPr>
        <w:pStyle w:val="ListParagraph"/>
        <w:numPr>
          <w:ilvl w:val="0"/>
          <w:numId w:val="2"/>
        </w:numPr>
        <w:spacing w:after="80"/>
      </w:pPr>
      <w:r>
        <w:rPr>
          <w:rFonts w:ascii="Arial" w:cs="Arial" w:eastAsia="Arial" w:hAnsi="Arial"/>
          <w:color w:val="333333"/>
          <w:sz w:val="22"/>
          <w:szCs w:val="22"/>
        </w:rPr>
        <w:t xml:space="preserve">Regular third-party audit of high-risk deployments</w:t>
      </w:r>
    </w:p>
    <w:p>
      <w:pPr>
        <w:spacing w:after="80"/>
      </w:pPr>
    </w:p>
    <w:p>
      <w:pPr>
        <w:spacing w:after="160"/>
        <w:jc w:val="left"/>
      </w:pPr>
      <w:r>
        <w:rPr>
          <w:rFonts w:ascii="Arial" w:cs="Arial" w:eastAsia="Arial" w:hAnsi="Arial"/>
          <w:color w:val="333333"/>
          <w:sz w:val="22"/>
          <w:szCs w:val="22"/>
        </w:rPr>
        <w:t xml:space="preserve">Getting ahead of regulation is not optional — it is a competitive advantage. Companies that have governance frameworks in place before the EU AI Act takes effect will have smoother compliance. Companies that do not will scramble.</w:t>
      </w:r>
    </w:p>
    <w:p>
      <w:pPr>
        <w:pStyle w:val="Heading2"/>
        <w:spacing w:before="280" w:after="160"/>
      </w:pPr>
      <w:r>
        <w:rPr>
          <w:rFonts w:ascii="Arial" w:cs="Arial" w:eastAsia="Arial" w:hAnsi="Arial"/>
          <w:b/>
          <w:bCs/>
          <w:color w:val="06418C"/>
          <w:sz w:val="28"/>
          <w:szCs w:val="28"/>
        </w:rPr>
        <w:t xml:space="preserve">10.5 The HR Partnership: Parallel Tracks</w:t>
      </w:r>
    </w:p>
    <w:p>
      <w:pPr>
        <w:spacing w:after="160"/>
        <w:jc w:val="left"/>
      </w:pPr>
      <w:r>
        <w:rPr>
          <w:rFonts w:ascii="Arial" w:cs="Arial" w:eastAsia="Arial" w:hAnsi="Arial"/>
          <w:color w:val="333333"/>
          <w:sz w:val="22"/>
          <w:szCs w:val="22"/>
        </w:rPr>
        <w:t xml:space="preserve">The technology transformation and the talent transformation move together on parallel tracks. This is a design principle, not a suggestion.</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Technology Track (Phases 1 through 3):</w:t>
      </w:r>
      <w:r>
        <w:rPr>
          <w:rFonts w:ascii="Arial" w:cs="Arial" w:eastAsia="Arial" w:hAnsi="Arial"/>
          <w:color w:val="333333"/>
          <w:sz w:val="22"/>
          <w:szCs w:val="22"/>
        </w:rPr>
        <w:t xml:space="preserve"> Tools, then platforms, then AI-native infrastructure.</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Talent Track (parallel, starting Day 1):</w:t>
      </w:r>
      <w:r>
        <w:rPr>
          <w:rFonts w:ascii="Arial" w:cs="Arial" w:eastAsia="Arial" w:hAnsi="Arial"/>
          <w:color w:val="333333"/>
          <w:sz w:val="22"/>
          <w:szCs w:val="22"/>
        </w:rPr>
        <w:t xml:space="preserve"/>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Phase 1:</w:t>
      </w:r>
      <w:r>
        <w:rPr>
          <w:rFonts w:ascii="Arial" w:cs="Arial" w:eastAsia="Arial" w:hAnsi="Arial"/>
          <w:color w:val="333333"/>
          <w:sz w:val="22"/>
          <w:szCs w:val="22"/>
        </w:rPr>
        <w:t xml:space="preserve"> Skills baseline assessment. AI literacy certification for all employees. Identify early adopters. Digital champions program.</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Phase 2:</w:t>
      </w:r>
      <w:r>
        <w:rPr>
          <w:rFonts w:ascii="Arial" w:cs="Arial" w:eastAsia="Arial" w:hAnsi="Arial"/>
          <w:color w:val="333333"/>
          <w:sz w:val="22"/>
          <w:szCs w:val="22"/>
        </w:rPr>
        <w:t xml:space="preserve"> Reskilling pathways for engineering and operations. New AI-native job families defined and staffed.</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Phase 3:</w:t>
      </w:r>
      <w:r>
        <w:rPr>
          <w:rFonts w:ascii="Arial" w:cs="Arial" w:eastAsia="Arial" w:hAnsi="Arial"/>
          <w:color w:val="333333"/>
          <w:sz w:val="22"/>
          <w:szCs w:val="22"/>
        </w:rPr>
        <w:t xml:space="preserve"> Workforce architecture redesign. Organization structure matches the AI-native operating model.</w:t>
      </w:r>
    </w:p>
    <w:p>
      <w:pPr>
        <w:spacing w:after="80"/>
      </w:pPr>
    </w:p>
    <w:p>
      <w:pPr>
        <w:spacing w:after="160"/>
        <w:jc w:val="left"/>
      </w:pPr>
      <w:r>
        <w:rPr>
          <w:rFonts w:ascii="Arial" w:cs="Arial" w:eastAsia="Arial" w:hAnsi="Arial"/>
          <w:color w:val="333333"/>
          <w:sz w:val="22"/>
          <w:szCs w:val="22"/>
        </w:rPr>
        <w:t xml:space="preserve">Deere, NVIDIA, and Siemens all treated talent transformation as a parallel track alongside platform investment. If technology outruns talent, you have capability nobody can use. If talent outruns technology, you have skilled people with nothing to apply their skills to. The tracks must move at the same pace.</w:t>
      </w:r>
    </w:p>
    <w:p>
      <w:r>
        <w:br w:type="page"/>
      </w:r>
    </w:p>
    <w:p>
      <w:pPr>
        <w:pStyle w:val="Heading1"/>
        <w:spacing w:before="360" w:after="200"/>
      </w:pPr>
      <w:r>
        <w:rPr>
          <w:rFonts w:ascii="Arial" w:cs="Arial" w:eastAsia="Arial" w:hAnsi="Arial"/>
          <w:b/>
          <w:bCs/>
          <w:color w:val="042D5E"/>
          <w:sz w:val="36"/>
          <w:szCs w:val="36"/>
        </w:rPr>
        <w:t xml:space="preserve">11. The Ambition</w:t>
      </w:r>
    </w:p>
    <w:p>
      <w:pPr>
        <w:pStyle w:val="Heading2"/>
        <w:spacing w:before="280" w:after="160"/>
      </w:pPr>
      <w:r>
        <w:rPr>
          <w:rFonts w:ascii="Arial" w:cs="Arial" w:eastAsia="Arial" w:hAnsi="Arial"/>
          <w:b/>
          <w:bCs/>
          <w:color w:val="06418C"/>
          <w:sz w:val="28"/>
          <w:szCs w:val="28"/>
        </w:rPr>
        <w:t xml:space="preserve">11.1 What It Looks Like When It Is Working</w:t>
      </w:r>
    </w:p>
    <w:p>
      <w:pPr>
        <w:spacing w:after="160"/>
        <w:jc w:val="left"/>
      </w:pPr>
      <w:r>
        <w:rPr>
          <w:rFonts w:ascii="Arial" w:cs="Arial" w:eastAsia="Arial" w:hAnsi="Arial"/>
          <w:color w:val="333333"/>
          <w:sz w:val="22"/>
          <w:szCs w:val="22"/>
        </w:rPr>
        <w:t xml:space="preserve">When this transformation is working, Renesas looks fundamentally different:</w:t>
      </w:r>
    </w:p>
    <w:p>
      <w:pPr>
        <w:pStyle w:val="ListParagraph"/>
        <w:numPr>
          <w:ilvl w:val="0"/>
          <w:numId w:val="2"/>
        </w:numPr>
        <w:spacing w:after="80"/>
      </w:pPr>
      <w:r>
        <w:rPr>
          <w:rFonts w:ascii="Arial" w:cs="Arial" w:eastAsia="Arial" w:hAnsi="Arial"/>
          <w:color w:val="333333"/>
          <w:sz w:val="22"/>
          <w:szCs w:val="22"/>
        </w:rPr>
        <w:t xml:space="preserve">R&amp;D cycles are shortened by AI at every stage — from spec to tape-out.</w:t>
      </w:r>
    </w:p>
    <w:p>
      <w:pPr>
        <w:pStyle w:val="ListParagraph"/>
        <w:numPr>
          <w:ilvl w:val="0"/>
          <w:numId w:val="2"/>
        </w:numPr>
        <w:spacing w:after="80"/>
      </w:pPr>
      <w:r>
        <w:rPr>
          <w:rFonts w:ascii="Arial" w:cs="Arial" w:eastAsia="Arial" w:hAnsi="Arial"/>
          <w:color w:val="333333"/>
          <w:sz w:val="22"/>
          <w:szCs w:val="22"/>
        </w:rPr>
        <w:t xml:space="preserve">Engineers spend time on novel problems, not documentation and rework.</w:t>
      </w:r>
    </w:p>
    <w:p>
      <w:pPr>
        <w:pStyle w:val="ListParagraph"/>
        <w:numPr>
          <w:ilvl w:val="0"/>
          <w:numId w:val="2"/>
        </w:numPr>
        <w:spacing w:after="80"/>
      </w:pPr>
      <w:r>
        <w:rPr>
          <w:rFonts w:ascii="Arial" w:cs="Arial" w:eastAsia="Arial" w:hAnsi="Arial"/>
          <w:color w:val="333333"/>
          <w:sz w:val="22"/>
          <w:szCs w:val="22"/>
        </w:rPr>
        <w:t xml:space="preserve">Every function operates on real-time data, not last month’s report.</w:t>
      </w:r>
    </w:p>
    <w:p>
      <w:pPr>
        <w:pStyle w:val="ListParagraph"/>
        <w:numPr>
          <w:ilvl w:val="0"/>
          <w:numId w:val="2"/>
        </w:numPr>
        <w:spacing w:after="80"/>
      </w:pPr>
      <w:r>
        <w:rPr>
          <w:rFonts w:ascii="Arial" w:cs="Arial" w:eastAsia="Arial" w:hAnsi="Arial"/>
          <w:color w:val="333333"/>
          <w:sz w:val="22"/>
          <w:szCs w:val="22"/>
        </w:rPr>
        <w:t xml:space="preserve">The supply chain predicts disruptions before they happen.</w:t>
      </w:r>
    </w:p>
    <w:p>
      <w:pPr>
        <w:pStyle w:val="ListParagraph"/>
        <w:numPr>
          <w:ilvl w:val="0"/>
          <w:numId w:val="2"/>
        </w:numPr>
        <w:spacing w:after="80"/>
      </w:pPr>
      <w:r>
        <w:rPr>
          <w:rFonts w:ascii="Arial" w:cs="Arial" w:eastAsia="Arial" w:hAnsi="Arial"/>
          <w:color w:val="333333"/>
          <w:sz w:val="22"/>
          <w:szCs w:val="22"/>
        </w:rPr>
        <w:t xml:space="preserve">Organizational knowledge compounds instead of eroding — the company gets smarter every year.</w:t>
      </w:r>
    </w:p>
    <w:p>
      <w:pPr>
        <w:spacing w:after="80"/>
      </w:pPr>
    </w:p>
    <w:p>
      <w:pPr>
        <w:spacing w:after="160"/>
        <w:jc w:val="left"/>
      </w:pPr>
      <w:r>
        <w:rPr>
          <w:rFonts w:ascii="Arial" w:cs="Arial" w:eastAsia="Arial" w:hAnsi="Arial"/>
          <w:color w:val="333333"/>
          <w:sz w:val="22"/>
          <w:szCs w:val="22"/>
        </w:rPr>
        <w:t xml:space="preserve">Each of these outcomes is achievable — not aspirational hand-waving. Each maps to specific use cases and phases in this plan. The last point is the most powerful: companies that capture and organize what they learn (through knowledge graphs, AI-indexed documentation, structured design histories) create an asset that gets more valuable every year. That is the compound interest of AI-native operations.</w:t>
      </w:r>
    </w:p>
    <w:p>
      <w:pPr>
        <w:pStyle w:val="Heading2"/>
        <w:spacing w:before="280" w:after="160"/>
      </w:pPr>
      <w:r>
        <w:rPr>
          <w:rFonts w:ascii="Arial" w:cs="Arial" w:eastAsia="Arial" w:hAnsi="Arial"/>
          <w:b/>
          <w:bCs/>
          <w:color w:val="06418C"/>
          <w:sz w:val="28"/>
          <w:szCs w:val="28"/>
        </w:rPr>
        <w:t xml:space="preserve">11.2 The Altium Horizon</w:t>
      </w:r>
    </w:p>
    <w:p>
      <w:pPr>
        <w:spacing w:after="160"/>
        <w:jc w:val="left"/>
      </w:pPr>
      <w:r>
        <w:rPr>
          <w:rFonts w:ascii="Arial" w:cs="Arial" w:eastAsia="Arial" w:hAnsi="Arial"/>
          <w:color w:val="333333"/>
          <w:sz w:val="22"/>
          <w:szCs w:val="22"/>
        </w:rPr>
        <w:t xml:space="preserve">The R365 and Altium combination, powered by AI, represents the platform play that makes Renesas genuinely different. The trajectory unfolds across three stages:</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Today.</w:t>
      </w:r>
      <w:r>
        <w:rPr>
          <w:rFonts w:ascii="Arial" w:cs="Arial" w:eastAsia="Arial" w:hAnsi="Arial"/>
          <w:color w:val="333333"/>
          <w:sz w:val="22"/>
          <w:szCs w:val="22"/>
        </w:rPr>
        <w:t xml:space="preserve"> Altium as a PCB design tool acquisition. R365 as a product platform initiative. Separate tracks with natural alignment.</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Phase 2.</w:t>
      </w:r>
      <w:r>
        <w:rPr>
          <w:rFonts w:ascii="Arial" w:cs="Arial" w:eastAsia="Arial" w:hAnsi="Arial"/>
          <w:color w:val="333333"/>
          <w:sz w:val="22"/>
          <w:szCs w:val="22"/>
        </w:rPr>
        <w:t xml:space="preserve"> AI-enriched design experience. Component intelligence connected to the design workflow. Engineers working in Altium receive AI-assisted product selection, reference design suggestions, and application guidance — powered by the data and AI infrastructure being built now.</w:t>
      </w:r>
    </w:p>
    <w:p>
      <w:pPr>
        <w:spacing w:after="160"/>
        <w:jc w:val="left"/>
      </w:pPr>
      <w:r>
        <w:rPr>
          <w:rFonts w:ascii="Arial" w:cs="Arial" w:eastAsia="Arial" w:hAnsi="Arial"/>
          <w:color w:val="333333"/>
          <w:sz w:val="22"/>
          <w:szCs w:val="22"/>
        </w:rPr>
        <w:t xml:space="preserve"/>
      </w:r>
      <w:r>
        <w:rPr>
          <w:rFonts w:ascii="Arial" w:cs="Arial" w:eastAsia="Arial" w:hAnsi="Arial"/>
          <w:b/>
          <w:bCs/>
          <w:color w:val="333333"/>
          <w:sz w:val="22"/>
          <w:szCs w:val="22"/>
        </w:rPr>
        <w:t xml:space="preserve">Phase 3.</w:t>
      </w:r>
      <w:r>
        <w:rPr>
          <w:rFonts w:ascii="Arial" w:cs="Arial" w:eastAsia="Arial" w:hAnsi="Arial"/>
          <w:color w:val="333333"/>
          <w:sz w:val="22"/>
          <w:szCs w:val="22"/>
        </w:rPr>
        <w:t xml:space="preserve"> End-to-end platform. R365 + Altium’s design community + AI = a design ecosystem where Renesas components are the preferred choice by design. Not because they are pushed, but because the platform makes them the easiest, fastest, most intelligent option.</w:t>
      </w:r>
    </w:p>
    <w:p>
      <w:pPr>
        <w:spacing w:after="160"/>
        <w:jc w:val="left"/>
      </w:pPr>
      <w:r>
        <w:rPr>
          <w:rFonts w:ascii="Arial" w:cs="Arial" w:eastAsia="Arial" w:hAnsi="Arial"/>
          <w:color w:val="333333"/>
          <w:sz w:val="22"/>
          <w:szCs w:val="22"/>
        </w:rPr>
        <w:t xml:space="preserve">The digital infrastructure built in Phases 1 and 2 is the technical foundation that makes this vision real. Without unified data, AI-enriched product knowledge, and intelligent design tools, the platform vision remains aspirational. This transformation makes it concrete.</w:t>
      </w:r>
    </w:p>
    <w:p>
      <w:pPr>
        <w:pStyle w:val="Heading2"/>
        <w:spacing w:before="280" w:after="160"/>
      </w:pPr>
      <w:r>
        <w:rPr>
          <w:rFonts w:ascii="Arial" w:cs="Arial" w:eastAsia="Arial" w:hAnsi="Arial"/>
          <w:b/>
          <w:bCs/>
          <w:color w:val="06418C"/>
          <w:sz w:val="28"/>
          <w:szCs w:val="28"/>
        </w:rPr>
        <w:t xml:space="preserve">11.3 Why This Matters</w:t>
      </w:r>
    </w:p>
    <w:p>
      <w:pPr>
        <w:spacing w:after="100"/>
      </w:pPr>
    </w:p>
    <w:p>
      <w:pPr>
        <w:spacing w:after="200"/>
        <w:jc w:val="center"/>
      </w:pPr>
      <w:r>
        <w:rPr>
          <w:rFonts w:ascii="Arial" w:cs="Arial" w:eastAsia="Arial" w:hAnsi="Arial"/>
          <w:b/>
          <w:bCs/>
          <w:color w:val="042D5E"/>
          <w:sz w:val="28"/>
          <w:szCs w:val="28"/>
        </w:rPr>
        <w:t xml:space="preserve">Digital and AI transformation at Renesas</w:t>
      </w:r>
    </w:p>
    <w:p>
      <w:pPr>
        <w:spacing w:after="200"/>
        <w:jc w:val="center"/>
      </w:pPr>
      <w:r>
        <w:rPr>
          <w:rFonts w:ascii="Arial" w:cs="Arial" w:eastAsia="Arial" w:hAnsi="Arial"/>
          <w:b/>
          <w:bCs/>
          <w:color w:val="042D5E"/>
          <w:sz w:val="28"/>
          <w:szCs w:val="28"/>
        </w:rPr>
        <w:t xml:space="preserve">is not about running the servers.</w:t>
      </w:r>
    </w:p>
    <w:p>
      <w:pPr>
        <w:spacing w:after="100"/>
      </w:pPr>
    </w:p>
    <w:p>
      <w:pPr>
        <w:spacing w:after="120"/>
        <w:jc w:val="center"/>
      </w:pPr>
      <w:r>
        <w:rPr>
          <w:rFonts w:ascii="Arial" w:cs="Arial" w:eastAsia="Arial" w:hAnsi="Arial"/>
          <w:color w:val="06418C"/>
          <w:sz w:val="26"/>
          <w:szCs w:val="26"/>
        </w:rPr>
        <w:t xml:space="preserve">It is about designing the company that competes in 2030.</w:t>
      </w:r>
    </w:p>
    <w:p>
      <w:pPr>
        <w:spacing w:after="120"/>
        <w:jc w:val="center"/>
      </w:pPr>
      <w:r>
        <w:rPr>
          <w:rFonts w:ascii="Arial" w:cs="Arial" w:eastAsia="Arial" w:hAnsi="Arial"/>
          <w:color w:val="666666"/>
          <w:sz w:val="24"/>
          <w:szCs w:val="24"/>
        </w:rPr>
        <w:t xml:space="preserve">This is about how Renesas works, how it is structured,</w:t>
      </w:r>
    </w:p>
    <w:p>
      <w:pPr>
        <w:spacing w:after="120"/>
        <w:jc w:val="center"/>
      </w:pPr>
      <w:r>
        <w:rPr>
          <w:rFonts w:ascii="Arial" w:cs="Arial" w:eastAsia="Arial" w:hAnsi="Arial"/>
          <w:color w:val="666666"/>
          <w:sz w:val="24"/>
          <w:szCs w:val="24"/>
        </w:rPr>
        <w:t xml:space="preserve">how fast it moves, and how deeply technology permeates</w:t>
      </w:r>
    </w:p>
    <w:p>
      <w:pPr>
        <w:spacing w:after="200"/>
        <w:jc w:val="center"/>
      </w:pPr>
      <w:r>
        <w:rPr>
          <w:rFonts w:ascii="Arial" w:cs="Arial" w:eastAsia="Arial" w:hAnsi="Arial"/>
          <w:color w:val="666666"/>
          <w:sz w:val="24"/>
          <w:szCs w:val="24"/>
        </w:rPr>
        <w:t xml:space="preserve">every part of the business.</w:t>
      </w:r>
    </w:p>
    <w:p>
      <w:pPr>
        <w:spacing w:after="200"/>
      </w:pPr>
    </w:p>
    <w:p>
      <w:pPr>
        <w:spacing w:after="80"/>
        <w:jc w:val="center"/>
      </w:pPr>
      <w:r>
        <w:rPr>
          <w:rFonts w:ascii="Arial" w:cs="Arial" w:eastAsia="Arial" w:hAnsi="Arial"/>
          <w:b/>
          <w:bCs/>
          <w:color w:val="042D5E"/>
          <w:sz w:val="26"/>
          <w:szCs w:val="26"/>
        </w:rPr>
        <w:t xml:space="preserve">The aspiration is an AI-native Renesas.</w:t>
      </w:r>
    </w:p>
    <w:p>
      <w:pPr>
        <w:spacing w:after="80"/>
        <w:jc w:val="center"/>
      </w:pPr>
      <w:r>
        <w:rPr>
          <w:rFonts w:ascii="Arial" w:cs="Arial" w:eastAsia="Arial" w:hAnsi="Arial"/>
          <w:b/>
          <w:bCs/>
          <w:color w:val="042D5E"/>
          <w:sz w:val="26"/>
          <w:szCs w:val="26"/>
        </w:rPr>
        <w:t xml:space="preserve">The approach is pragmatic.</w:t>
      </w:r>
    </w:p>
    <w:p>
      <w:pPr>
        <w:spacing w:after="80"/>
        <w:jc w:val="center"/>
      </w:pPr>
      <w:r>
        <w:rPr>
          <w:rFonts w:ascii="Arial" w:cs="Arial" w:eastAsia="Arial" w:hAnsi="Arial"/>
          <w:b/>
          <w:bCs/>
          <w:color w:val="042D5E"/>
          <w:sz w:val="26"/>
          <w:szCs w:val="26"/>
        </w:rPr>
        <w:t xml:space="preserve">The first step is concrete.</w:t>
      </w:r>
    </w:p>
    <w:p>
      <w:r>
        <w:br w:type="page"/>
      </w:r>
    </w:p>
    <w:p>
      <w:pPr>
        <w:pStyle w:val="Heading1"/>
        <w:spacing w:before="360" w:after="200"/>
      </w:pPr>
      <w:r>
        <w:rPr>
          <w:rFonts w:ascii="Arial" w:cs="Arial" w:eastAsia="Arial" w:hAnsi="Arial"/>
          <w:b/>
          <w:bCs/>
          <w:color w:val="042D5E"/>
          <w:sz w:val="36"/>
          <w:szCs w:val="36"/>
        </w:rPr>
        <w:t xml:space="preserve">Appendices</w:t>
      </w:r>
    </w:p>
    <w:p>
      <w:pPr>
        <w:pStyle w:val="Heading2"/>
        <w:spacing w:before="280" w:after="160"/>
      </w:pPr>
      <w:r>
        <w:rPr>
          <w:rFonts w:ascii="Arial" w:cs="Arial" w:eastAsia="Arial" w:hAnsi="Arial"/>
          <w:b/>
          <w:bCs/>
          <w:color w:val="06418C"/>
          <w:sz w:val="28"/>
          <w:szCs w:val="28"/>
        </w:rPr>
        <w:t xml:space="preserve">A. Technology Vendor Evaluation Framework</w:t>
      </w:r>
    </w:p>
    <w:p>
      <w:pPr>
        <w:spacing w:after="160"/>
        <w:jc w:val="left"/>
      </w:pPr>
      <w:r>
        <w:rPr>
          <w:rFonts w:ascii="Arial" w:cs="Arial" w:eastAsia="Arial" w:hAnsi="Arial"/>
          <w:color w:val="333333"/>
          <w:sz w:val="22"/>
          <w:szCs w:val="22"/>
        </w:rPr>
        <w:t xml:space="preserve">All vendor evaluations follow a consistent framework with six criteria, weighted by strategic importance:</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Capability fit (30%):</w:t>
      </w:r>
      <w:r>
        <w:rPr>
          <w:rFonts w:ascii="Arial" w:cs="Arial" w:eastAsia="Arial" w:hAnsi="Arial"/>
          <w:color w:val="333333"/>
          <w:sz w:val="22"/>
          <w:szCs w:val="22"/>
        </w:rPr>
        <w:t xml:space="preserve"> Does the solution address the specific use case with production-grade quality?</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Integration (20%):</w:t>
      </w:r>
      <w:r>
        <w:rPr>
          <w:rFonts w:ascii="Arial" w:cs="Arial" w:eastAsia="Arial" w:hAnsi="Arial"/>
          <w:color w:val="333333"/>
          <w:sz w:val="22"/>
          <w:szCs w:val="22"/>
        </w:rPr>
        <w:t xml:space="preserve"> How does it connect with the unified data platform, existing enterprise systems, and governance framework?</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Cost model (15%):</w:t>
      </w:r>
      <w:r>
        <w:rPr>
          <w:rFonts w:ascii="Arial" w:cs="Arial" w:eastAsia="Arial" w:hAnsi="Arial"/>
          <w:color w:val="333333"/>
          <w:sz w:val="22"/>
          <w:szCs w:val="22"/>
        </w:rPr>
        <w:t xml:space="preserve"> Total cost of ownership including licensing, implementation, training, and ongoing support.</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Talent availability (15%):</w:t>
      </w:r>
      <w:r>
        <w:rPr>
          <w:rFonts w:ascii="Arial" w:cs="Arial" w:eastAsia="Arial" w:hAnsi="Arial"/>
          <w:color w:val="333333"/>
          <w:sz w:val="22"/>
          <w:szCs w:val="22"/>
        </w:rPr>
        <w:t xml:space="preserve"> Can Renesas hire and retain people who know this technology?</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Data residency (10%):</w:t>
      </w:r>
      <w:r>
        <w:rPr>
          <w:rFonts w:ascii="Arial" w:cs="Arial" w:eastAsia="Arial" w:hAnsi="Arial"/>
          <w:color w:val="333333"/>
          <w:sz w:val="22"/>
          <w:szCs w:val="22"/>
        </w:rPr>
        <w:t xml:space="preserve"> Compliance with Japan data residency requirements and cross-border data regulations.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Vendor risk (10%):</w:t>
      </w:r>
      <w:r>
        <w:rPr>
          <w:rFonts w:ascii="Arial" w:cs="Arial" w:eastAsia="Arial" w:hAnsi="Arial"/>
          <w:color w:val="333333"/>
          <w:sz w:val="22"/>
          <w:szCs w:val="22"/>
        </w:rPr>
        <w:t xml:space="preserve"> Financial stability, market position, and lock-in risk.</w:t>
      </w:r>
    </w:p>
    <w:p>
      <w:pPr>
        <w:spacing w:after="80"/>
      </w:pPr>
    </w:p>
    <w:p>
      <w:pPr>
        <w:spacing w:after="160"/>
        <w:jc w:val="left"/>
      </w:pPr>
      <w:r>
        <w:rPr>
          <w:rFonts w:ascii="Arial" w:cs="Arial" w:eastAsia="Arial" w:hAnsi="Arial"/>
          <w:color w:val="333333"/>
          <w:sz w:val="22"/>
          <w:szCs w:val="22"/>
        </w:rPr>
        <w:t xml:space="preserve">Named vendor evaluations with detailed scoring are available on request. The vision document intentionally presents the framework rather than specific vendor names to keep the strategic conversation at the architecture level.</w:t>
      </w:r>
    </w:p>
    <w:p>
      <w:pPr>
        <w:pStyle w:val="Heading2"/>
        <w:spacing w:before="280" w:after="160"/>
      </w:pPr>
      <w:r>
        <w:rPr>
          <w:rFonts w:ascii="Arial" w:cs="Arial" w:eastAsia="Arial" w:hAnsi="Arial"/>
          <w:b/>
          <w:bCs/>
          <w:color w:val="06418C"/>
          <w:sz w:val="28"/>
          <w:szCs w:val="28"/>
        </w:rPr>
        <w:t xml:space="preserve">B. Regulatory Compliance Detail</w:t>
      </w:r>
    </w:p>
    <w:p>
      <w:pPr>
        <w:pStyle w:val="Heading3"/>
        <w:spacing w:before="200" w:after="120"/>
      </w:pPr>
      <w:r>
        <w:rPr>
          <w:rFonts w:ascii="Arial" w:cs="Arial" w:eastAsia="Arial" w:hAnsi="Arial"/>
          <w:b/>
          <w:bCs/>
          <w:color w:val="4471A9"/>
          <w:sz w:val="24"/>
          <w:szCs w:val="24"/>
        </w:rPr>
        <w:t xml:space="preserve">EU AI Act (Effective August 2026)</w:t>
      </w:r>
    </w:p>
    <w:p>
      <w:pPr>
        <w:spacing w:after="160"/>
        <w:jc w:val="left"/>
      </w:pPr>
      <w:r>
        <w:rPr>
          <w:rFonts w:ascii="Arial" w:cs="Arial" w:eastAsia="Arial" w:hAnsi="Arial"/>
          <w:color w:val="333333"/>
          <w:sz w:val="22"/>
          <w:szCs w:val="22"/>
        </w:rPr>
        <w:t xml:space="preserve">The EU AI Act classifies AI systems by risk tier. High-risk AI systems — which likely includes AI embedded in automotive products — face mandatory requirements for risk management, data governance, transparency, human oversight, accuracy, and cybersecurity. Penalties for non-compliance reach €35M or 7% of global annual turnover. For Renesas, R-Car products with AI capabilities (ADAS, autonomous driving assistance) likely fall in the high-risk category, making compliance planning an urgent priority.</w:t>
      </w:r>
    </w:p>
    <w:p>
      <w:pPr>
        <w:pStyle w:val="Heading3"/>
        <w:spacing w:before="200" w:after="120"/>
      </w:pPr>
      <w:r>
        <w:rPr>
          <w:rFonts w:ascii="Arial" w:cs="Arial" w:eastAsia="Arial" w:hAnsi="Arial"/>
          <w:b/>
          <w:bCs/>
          <w:color w:val="4471A9"/>
          <w:sz w:val="24"/>
          <w:szCs w:val="24"/>
        </w:rPr>
        <w:t xml:space="preserve">Japan AI Promotion Act (September 2025)</w:t>
      </w:r>
    </w:p>
    <w:p>
      <w:pPr>
        <w:spacing w:after="160"/>
        <w:jc w:val="left"/>
      </w:pPr>
      <w:r>
        <w:rPr>
          <w:rFonts w:ascii="Arial" w:cs="Arial" w:eastAsia="Arial" w:hAnsi="Arial"/>
          <w:color w:val="333333"/>
          <w:sz w:val="22"/>
          <w:szCs w:val="22"/>
        </w:rPr>
        <w:t xml:space="preserve">Japan’s approach is soft-law and principles-based, focusing on transparency, fairness, and safety. Non-compliance does not carry direct financial penalties but creates reputational and business relationship risk in a market where trust and institutional relationships are paramount.</w:t>
      </w:r>
    </w:p>
    <w:p>
      <w:pPr>
        <w:pStyle w:val="Heading3"/>
        <w:spacing w:before="200" w:after="120"/>
      </w:pPr>
      <w:r>
        <w:rPr>
          <w:rFonts w:ascii="Arial" w:cs="Arial" w:eastAsia="Arial" w:hAnsi="Arial"/>
          <w:b/>
          <w:bCs/>
          <w:color w:val="4471A9"/>
          <w:sz w:val="24"/>
          <w:szCs w:val="24"/>
        </w:rPr>
        <w:t xml:space="preserve">NIST AI Risk Management Framework</w:t>
      </w:r>
    </w:p>
    <w:p>
      <w:pPr>
        <w:spacing w:after="160"/>
        <w:jc w:val="left"/>
      </w:pPr>
      <w:r>
        <w:rPr>
          <w:rFonts w:ascii="Arial" w:cs="Arial" w:eastAsia="Arial" w:hAnsi="Arial"/>
          <w:color w:val="333333"/>
          <w:sz w:val="22"/>
          <w:szCs w:val="22"/>
        </w:rPr>
        <w:t xml:space="preserve">The NIST AI RMF provides a voluntary framework for managing AI risks through four core functions: Govern, Map, Measure, and Manage. It is adopted as the internal governance framework because: (1) it is accepted across US, EU, and Japan regulatory environments, (2) it provides a structured approach to AI risk without being prescriptive about implementation, and (3) it aligns with existing enterprise risk management practices.</w:t>
      </w:r>
    </w:p>
    <w:p>
      <w:pPr>
        <w:pStyle w:val="Heading2"/>
        <w:spacing w:before="280" w:after="160"/>
      </w:pPr>
      <w:r>
        <w:rPr>
          <w:rFonts w:ascii="Arial" w:cs="Arial" w:eastAsia="Arial" w:hAnsi="Arial"/>
          <w:b/>
          <w:bCs/>
          <w:color w:val="06418C"/>
          <w:sz w:val="28"/>
          <w:szCs w:val="28"/>
        </w:rPr>
        <w:t xml:space="preserve">C. Self-Funding Financial Model (Directional)</w:t>
      </w:r>
    </w:p>
    <w:p>
      <w:pPr>
        <w:spacing w:after="160"/>
        <w:jc w:val="left"/>
      </w:pPr>
      <w:r>
        <w:rPr>
          <w:rFonts w:ascii="Arial" w:cs="Arial" w:eastAsia="Arial" w:hAnsi="Arial"/>
          <w:color w:val="333333"/>
          <w:sz w:val="22"/>
          <w:szCs w:val="22"/>
        </w:rPr>
        <w:t xml:space="preserve">The self-funding model is based on conservative assumptions drawn from comparable enterprise AI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212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212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Phase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Time to first ROI</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6–9 months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3–6 months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Weeks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Self-funding ratio</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Partial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Substantially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Fully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Primary value driver</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Cost reduction</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Throughput gains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Structural 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Crossover point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Months 15–20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Exceeded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Cumulative savings trend</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Linear</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Accelerating</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Compounding</w:t>
            </w:r>
          </w:p>
        </w:tc>
      </w:tr>
    </w:tbl>
    <w:p>
      <w:pPr>
        <w:spacing w:after="80"/>
      </w:pPr>
    </w:p>
    <w:p>
      <w:pPr>
        <w:spacing w:after="160"/>
        <w:jc w:val="left"/>
      </w:pPr>
      <w:r>
        <w:rPr>
          <w:rFonts w:ascii="Arial" w:cs="Arial" w:eastAsia="Arial" w:hAnsi="Arial"/>
          <w:color w:val="333333"/>
          <w:sz w:val="22"/>
          <w:szCs w:val="22"/>
        </w:rPr>
        <w:t xml:space="preserve">The crossover point — where cumulative savings exceed cumulative investment — is projected at approximately months 15–20, mid-Phase 2. After this point, the transformation generates more value than it consumes. Detailed financial modeling with Renesas-specific inputs will be developed as Phase 1 planning begins.</w:t>
      </w:r>
    </w:p>
    <w:p>
      <w:pPr>
        <w:pStyle w:val="Heading2"/>
        <w:spacing w:before="280" w:after="160"/>
      </w:pPr>
      <w:r>
        <w:rPr>
          <w:rFonts w:ascii="Arial" w:cs="Arial" w:eastAsia="Arial" w:hAnsi="Arial"/>
          <w:b/>
          <w:bCs/>
          <w:color w:val="06418C"/>
          <w:sz w:val="28"/>
          <w:szCs w:val="28"/>
        </w:rPr>
        <w:t xml:space="preserve">D. Terminology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042D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RAG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Retrieval-Augmented Generation. AI searches internal documents before generating an answer.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Ontology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Structured model of relationships between business entities. Enables traceability and audit-grade provenance.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Knowledge Graph</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Graph database implementing an ontology. Maps how entities relate to each other.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Fine-Tuning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Training a general AI model on domain-specific data to improve performance on specialized tasks.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Agentic AI</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AI that executes multi-step tasks autonomously within defined guardrails.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Lakehouse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Unified data architecture combining data lake flexibility with data warehouse structure and governance.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EDA</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Electronic Design Automation. Software tools for chip design, simulation, and verification.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RTL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Register Transfer Level. Hardware description language code that defines chip logic.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Tape-out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The final step of chip design: sending the design to the foundry for manufacturing.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Spin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 manufacturing iteration of a chip design, typically required when bugs are found after tape-out.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NPI</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New Product Introduction. The process of bringing a new chip from concept to production.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PLM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Product Lifecycle Management. System managing product data from design through end-of-life.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BOM</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Bill of Materials. Complete list of components in a product.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Vibe Coding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AI-native development: describe intent, AI implements, human validates and redirects.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NIST AI RMF</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National Institute of Standards and Technology AI Risk Management Framework.</w:t>
            </w:r>
          </w:p>
        </w:tc>
      </w:tr>
    </w:tbl>
    <w:p>
      <w:pPr>
        <w:pStyle w:val="Heading2"/>
        <w:spacing w:before="280" w:after="160"/>
      </w:pPr>
      <w:r>
        <w:rPr>
          <w:rFonts w:ascii="Arial" w:cs="Arial" w:eastAsia="Arial" w:hAnsi="Arial"/>
          <w:b/>
          <w:bCs/>
          <w:color w:val="06418C"/>
          <w:sz w:val="28"/>
          <w:szCs w:val="28"/>
        </w:rPr>
        <w:t xml:space="preserve">E. Sources and References</w:t>
      </w:r>
    </w:p>
    <w:p>
      <w:pPr>
        <w:spacing w:after="160"/>
        <w:jc w:val="left"/>
      </w:pPr>
      <w:r>
        <w:rPr>
          <w:rFonts w:ascii="Arial" w:cs="Arial" w:eastAsia="Arial" w:hAnsi="Arial"/>
          <w:color w:val="333333"/>
          <w:sz w:val="22"/>
          <w:szCs w:val="22"/>
        </w:rPr>
        <w:t xml:space="preserve">All competitive intelligence, case study data, and industry benchmarks in this report are based on publicly available sources: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NVIDIA ChipNeMo:</w:t>
      </w:r>
      <w:r>
        <w:rPr>
          <w:rFonts w:ascii="Arial" w:cs="Arial" w:eastAsia="Arial" w:hAnsi="Arial"/>
          <w:color w:val="333333"/>
          <w:sz w:val="22"/>
          <w:szCs w:val="22"/>
        </w:rPr>
        <w:t xml:space="preserve"> Research paper, "ChipNeMo: Domain-Adapted LLMs for Chip Design," 2023.</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NVIDIA engineering productivity:</w:t>
      </w:r>
      <w:r>
        <w:rPr>
          <w:rFonts w:ascii="Arial" w:cs="Arial" w:eastAsia="Arial" w:hAnsi="Arial"/>
          <w:color w:val="333333"/>
          <w:sz w:val="22"/>
          <w:szCs w:val="22"/>
        </w:rPr>
        <w:t xml:space="preserve"> Jensen Huang public statements, CES 2025 and GTC 2025 keynotes.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Cadence Cerebrus:</w:t>
      </w:r>
      <w:r>
        <w:rPr>
          <w:rFonts w:ascii="Arial" w:cs="Arial" w:eastAsia="Arial" w:hAnsi="Arial"/>
          <w:color w:val="333333"/>
          <w:sz w:val="22"/>
          <w:szCs w:val="22"/>
        </w:rPr>
        <w:t xml:space="preserve"> Cadence product documentation and customer tape-out data.</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Synopsys VSO.ai:</w:t>
      </w:r>
      <w:r>
        <w:rPr>
          <w:rFonts w:ascii="Arial" w:cs="Arial" w:eastAsia="Arial" w:hAnsi="Arial"/>
          <w:color w:val="333333"/>
          <w:sz w:val="22"/>
          <w:szCs w:val="22"/>
        </w:rPr>
        <w:t xml:space="preserve"> NVIDIA case study on verification optimization.</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NXP Kinara acquisition:</w:t>
      </w:r>
      <w:r>
        <w:rPr>
          <w:rFonts w:ascii="Arial" w:cs="Arial" w:eastAsia="Arial" w:hAnsi="Arial"/>
          <w:color w:val="333333"/>
          <w:sz w:val="22"/>
          <w:szCs w:val="22"/>
        </w:rPr>
        <w:t xml:space="preserve"> SEC filing, October 2025.</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Infineon internal AI:</w:t>
      </w:r>
      <w:r>
        <w:rPr>
          <w:rFonts w:ascii="Arial" w:cs="Arial" w:eastAsia="Arial" w:hAnsi="Arial"/>
          <w:color w:val="333333"/>
          <w:sz w:val="22"/>
          <w:szCs w:val="22"/>
        </w:rPr>
        <w:t xml:space="preserve"> OutSystems case study, HR annual report, Singapore AI hub press release.</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John Deere transformation:</w:t>
      </w:r>
      <w:r>
        <w:rPr>
          <w:rFonts w:ascii="Arial" w:cs="Arial" w:eastAsia="Arial" w:hAnsi="Arial"/>
          <w:color w:val="333333"/>
          <w:sz w:val="22"/>
          <w:szCs w:val="22"/>
        </w:rPr>
        <w:t xml:space="preserve"> Investor presentations, annual reports (2020–2025), CES 2025 keynote, Bear Flag Robotics acquisition filing.</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Siemens Xcelerator:</w:t>
      </w:r>
      <w:r>
        <w:rPr>
          <w:rFonts w:ascii="Arial" w:cs="Arial" w:eastAsia="Arial" w:hAnsi="Arial"/>
          <w:color w:val="333333"/>
          <w:sz w:val="22"/>
          <w:szCs w:val="22"/>
        </w:rPr>
        <w:t xml:space="preserve"> Product launch documentation, CES 2026 announcements.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Klarna workforce reduction:</w:t>
      </w:r>
      <w:r>
        <w:rPr>
          <w:rFonts w:ascii="Arial" w:cs="Arial" w:eastAsia="Arial" w:hAnsi="Arial"/>
          <w:color w:val="333333"/>
          <w:sz w:val="22"/>
          <w:szCs w:val="22"/>
        </w:rPr>
        <w:t xml:space="preserve"> CEO public statements, press coverage (2024–2025).</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IBM Watson Health:</w:t>
      </w:r>
      <w:r>
        <w:rPr>
          <w:rFonts w:ascii="Arial" w:cs="Arial" w:eastAsia="Arial" w:hAnsi="Arial"/>
          <w:color w:val="333333"/>
          <w:sz w:val="22"/>
          <w:szCs w:val="22"/>
        </w:rPr>
        <w:t xml:space="preserve"> MD Anderson partnership termination, financial write-down filings.</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Japan DX statistics:</w:t>
      </w:r>
      <w:r>
        <w:rPr>
          <w:rFonts w:ascii="Arial" w:cs="Arial" w:eastAsia="Arial" w:hAnsi="Arial"/>
          <w:color w:val="333333"/>
          <w:sz w:val="22"/>
          <w:szCs w:val="22"/>
        </w:rPr>
        <w:t xml:space="preserve"> METI 2018 DX report, Nikkei BP Research Institute survey, IPA international comparison.</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Gartner Copilot data:</w:t>
      </w:r>
      <w:r>
        <w:rPr>
          <w:rFonts w:ascii="Arial" w:cs="Arial" w:eastAsia="Arial" w:hAnsi="Arial"/>
          <w:color w:val="333333"/>
          <w:sz w:val="22"/>
          <w:szCs w:val="22"/>
        </w:rPr>
        <w:t xml:space="preserve"> Gartner research report on Microsoft 365 Copilot enterprise adoption, 2025–2026.</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EU AI Act:</w:t>
      </w:r>
      <w:r>
        <w:rPr>
          <w:rFonts w:ascii="Arial" w:cs="Arial" w:eastAsia="Arial" w:hAnsi="Arial"/>
          <w:color w:val="333333"/>
          <w:sz w:val="22"/>
          <w:szCs w:val="22"/>
        </w:rPr>
        <w:t xml:space="preserve"> European Parliament text, effective August 2026.</w:t>
      </w:r>
    </w:p>
    <w:p>
      <w:pPr>
        <w:pStyle w:val="ListParagraph"/>
        <w:numPr>
          <w:ilvl w:val="0"/>
          <w:numId w:val="2"/>
        </w:numPr>
        <w:spacing w:after="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NIST AI RMF:</w:t>
      </w:r>
      <w:r>
        <w:rPr>
          <w:rFonts w:ascii="Arial" w:cs="Arial" w:eastAsia="Arial" w:hAnsi="Arial"/>
          <w:color w:val="333333"/>
          <w:sz w:val="22"/>
          <w:szCs w:val="22"/>
        </w:rPr>
        <w:t xml:space="preserve"> NIST AI 100-1, January 2023.</w:t>
      </w:r>
    </w:p>
    <w:p>
      <w:pPr>
        <w:spacing w:after="400"/>
      </w:pPr>
    </w:p>
    <w:p>
      <w:pPr>
        <w:spacing w:after="80"/>
        <w:jc w:val="center"/>
      </w:pPr>
      <w:r>
        <w:rPr>
          <w:rFonts w:ascii="Arial" w:cs="Arial" w:eastAsia="Arial" w:hAnsi="Arial"/>
          <w:i/>
          <w:iCs/>
          <w:color w:val="666666"/>
          <w:sz w:val="22"/>
          <w:szCs w:val="22"/>
        </w:rPr>
        <w:t xml:space="preserve">— End of Report —</w:t>
      </w:r>
    </w:p>
    <w:p>
      <w:pPr>
        <w:pStyle w:val="Heading2"/>
        <w:pageBreakBefore/>
        <w:spacing w:before="280" w:after="160"/>
      </w:pPr>
      <w:r>
        <w:rPr>
          <w:rFonts w:ascii="Arial" w:cs="Arial" w:eastAsia="Arial" w:hAnsi="Arial"/>
          <w:b/>
          <w:bCs/>
          <w:color w:val="06418C"/>
          <w:sz w:val="28"/>
          <w:szCs w:val="28"/>
        </w:rPr>
        <w:t xml:space="preserve">F. CEO Perspectives: Enterprise AI from the Trenches</w:t>
      </w:r>
    </w:p>
    <w:p>
      <w:pPr>
        <w:spacing w:after="160"/>
        <w:jc w:val="left"/>
      </w:pPr>
      <w:r>
        <w:rPr>
          <w:rFonts w:ascii="Arial" w:cs="Arial" w:eastAsia="Arial" w:hAnsi="Arial"/>
          <w:i/>
          <w:iCs/>
          <w:color w:val="666666"/>
          <w:sz w:val="20"/>
          <w:szCs w:val="20"/>
        </w:rPr>
        <w:t xml:space="preserve">Source: Panel discussion with Arvin Ghodsi (CEO, Databricks) and Ali (CEO, Glean, $200M ARR), March 2026. Arvin Ghodsi leads Databricks, a data and AI platform company with approximately 10,000 employees (6,000 in go-to-market, 3–4,000 in R&amp;D). Ali leads Glean, an enterprise AI platform recently crossing $200M in annualized revenue.</w:t>
      </w:r>
    </w:p>
    <w:p>
      <w:pPr>
        <w:spacing w:after="160"/>
        <w:jc w:val="left"/>
      </w:pPr>
      <w:r>
        <w:rPr>
          <w:rFonts w:ascii="Arial" w:cs="Arial" w:eastAsia="Arial" w:hAnsi="Arial"/>
          <w:color w:val="333333"/>
          <w:sz w:val="22"/>
          <w:szCs w:val="22"/>
        </w:rPr>
        <w:t xml:space="preserve">This appendix synthesizes a panel discussion between the CEOs of two leading enterprise AI companies. Both bring direct operational experience deploying AI at scale inside large organizations — not as vendors pitching a product, but as practitioners who have built and failed alongside their own customers. Their observations provide ground-level signal on what is actually working, where the hype diverges from reality, and what CIOs should prioritize.</w:t>
      </w:r>
    </w:p>
    <w:p>
      <w:pPr>
        <w:pStyle w:val="Heading2"/>
        <w:spacing w:before="240" w:after="160"/>
      </w:pPr>
      <w:r>
        <w:rPr>
          <w:rFonts w:ascii="Arial" w:cs="Arial" w:eastAsia="Arial" w:hAnsi="Arial"/>
          <w:b/>
          <w:bCs/>
          <w:color w:val="4471A9"/>
          <w:sz w:val="24"/>
          <w:szCs w:val="24"/>
        </w:rPr>
        <w:t xml:space="preserve">F.1 The 95% Failure Rate Is a Feature, Not a Bug</w:t>
      </w:r>
    </w:p>
    <w:p>
      <w:pPr>
        <w:spacing w:after="160"/>
        <w:jc w:val="left"/>
      </w:pPr>
      <w:r>
        <w:rPr>
          <w:rFonts w:ascii="Arial" w:cs="Arial" w:eastAsia="Arial" w:hAnsi="Arial"/>
          <w:color w:val="333333"/>
          <w:sz w:val="22"/>
          <w:szCs w:val="22"/>
        </w:rPr>
        <w:t xml:space="preserve">The MIT finding that 95% of enterprise AI projects fail is frequently cited as evidence of a broken market. Ghodsi’s framing is the opposite: “If all of your projects are succeeding, you haven’t experimented enough.” The 95% figure reflects the normal pattern of technology adoption at the frontier — experimentation by definition includes failure. The question is not whether projects fail, but whether the 5% that succeed are meaningful enough to compound.</w:t>
      </w:r>
    </w:p>
    <w:p>
      <w:pPr>
        <w:spacing w:after="160"/>
        <w:jc w:val="left"/>
      </w:pPr>
      <w:r>
        <w:rPr>
          <w:rFonts w:ascii="Arial" w:cs="Arial" w:eastAsia="Arial" w:hAnsi="Arial"/>
          <w:color w:val="333333"/>
          <w:sz w:val="22"/>
          <w:szCs w:val="22"/>
        </w:rPr>
        <w:t xml:space="preserve">Three sectors and use cases were cited as proven at commercial scale:</w:t>
      </w:r>
    </w:p>
    <w:p>
      <w:pPr>
        <w:spacing w:after="80"/>
        <w:ind w:left="720"/>
        <w:jc w:val="left"/>
      </w:pPr>
      <w:r>
        <w:rPr>
          <w:rFonts w:ascii="Arial" w:cs="Arial" w:eastAsia="Arial" w:hAnsi="Arial"/>
          <w:b/>
          <w:bCs/>
          <w:color w:val="333333"/>
          <w:sz w:val="22"/>
          <w:szCs w:val="22"/>
        </w:rPr>
        <w:t xml:space="preserve">Finance — Royal Bank of Canada:</w:t>
      </w:r>
      <w:r>
        <w:rPr>
          <w:rFonts w:ascii="Arial" w:cs="Arial" w:eastAsia="Arial" w:hAnsi="Arial"/>
          <w:color w:val="333333"/>
          <w:sz w:val="22"/>
          <w:szCs w:val="22"/>
        </w:rPr>
        <w:t xml:space="preserve"> Agents that produce equity research reports in 15 minutes from earnings call to publication. Industry standard is two hours. The agent fetches the earnings report, all prior earnings history, competitor reports, and market news, synthesizes a full buy/hold/sell analysis, and delivers a complete report. The advantage compresses over time as adoption scales — but being first matters.</w:t>
      </w:r>
    </w:p>
    <w:p>
      <w:pPr>
        <w:spacing w:after="80"/>
        <w:ind w:left="720"/>
        <w:jc w:val="left"/>
      </w:pPr>
      <w:r>
        <w:rPr>
          <w:rFonts w:ascii="Arial" w:cs="Arial" w:eastAsia="Arial" w:hAnsi="Arial"/>
          <w:b/>
          <w:bCs/>
          <w:color w:val="333333"/>
          <w:sz w:val="22"/>
          <w:szCs w:val="22"/>
        </w:rPr>
        <w:t xml:space="preserve">Healthcare — Merck (Teddy model):</w:t>
      </w:r>
      <w:r>
        <w:rPr>
          <w:rFonts w:ascii="Arial" w:cs="Arial" w:eastAsia="Arial" w:hAnsi="Arial"/>
          <w:color w:val="333333"/>
          <w:sz w:val="22"/>
          <w:szCs w:val="22"/>
        </w:rPr>
        <w:t xml:space="preserve"> A transformer model for drug discovery (Transformer-Enabled Drug DiscoverY) that maps gene regulatory networks and predicts gene expression behavior. Unlike language models that predict the next word, Teddy predicts which genome is missing when a gene is removed — enabling capabilities in drug discovery that were previously beyond reach. This is a domain-specific model trained on proprietary biological data, not a generic foundation model deployment.</w:t>
      </w:r>
    </w:p>
    <w:p>
      <w:pPr>
        <w:spacing w:after="160"/>
        <w:ind w:left="720"/>
        <w:jc w:val="left"/>
      </w:pPr>
      <w:r>
        <w:rPr>
          <w:rFonts w:ascii="Arial" w:cs="Arial" w:eastAsia="Arial" w:hAnsi="Arial"/>
          <w:b/>
          <w:bCs/>
          <w:color w:val="333333"/>
          <w:sz w:val="22"/>
          <w:szCs w:val="22"/>
        </w:rPr>
        <w:t xml:space="preserve">Retail — 7-Eleven:</w:t>
      </w:r>
      <w:r>
        <w:rPr>
          <w:rFonts w:ascii="Arial" w:cs="Arial" w:eastAsia="Arial" w:hAnsi="Arial"/>
          <w:color w:val="333333"/>
          <w:sz w:val="22"/>
          <w:szCs w:val="22"/>
        </w:rPr>
        <w:t xml:space="preserve"> A fully automated marketing stack. Agents segment audiences at fine granularity, generate all campaign content per segment, and execute campaigns end-to-end. Previously, human content creation was the bottleneck that constrained segmentation depth. AI removes that constraint entirely. The result is faster campaigns, more targeted messaging, and dramatically lower marginal cost per campaign iteration.</w:t>
      </w:r>
    </w:p>
    <w:p>
      <w:pPr>
        <w:spacing w:after="160"/>
        <w:jc w:val="left"/>
      </w:pPr>
      <w:r>
        <w:rPr>
          <w:rFonts w:ascii="Arial" w:cs="Arial" w:eastAsia="Arial" w:hAnsi="Arial"/>
          <w:color w:val="333333"/>
          <w:sz w:val="22"/>
          <w:szCs w:val="22"/>
        </w:rPr>
        <w:t xml:space="preserve">The common pattern across all three: a specific business process, a proprietary dataset, a dedicated engineering team, and a measurable outcome. None are “deploy ChatGPT on top of existing software.”</w:t>
      </w:r>
    </w:p>
    <w:p>
      <w:pPr>
        <w:pStyle w:val="Heading2"/>
        <w:spacing w:before="240" w:after="160"/>
      </w:pPr>
      <w:r>
        <w:rPr>
          <w:rFonts w:ascii="Arial" w:cs="Arial" w:eastAsia="Arial" w:hAnsi="Arial"/>
          <w:b/>
          <w:bCs/>
          <w:color w:val="4471A9"/>
          <w:sz w:val="24"/>
          <w:szCs w:val="24"/>
        </w:rPr>
        <w:t xml:space="preserve">F.2 LLMs Are a Commodity. Proprietary Data Is Not.</w:t>
      </w:r>
    </w:p>
    <w:p>
      <w:pPr>
        <w:spacing w:after="160"/>
        <w:jc w:val="left"/>
      </w:pPr>
      <w:r>
        <w:rPr>
          <w:rFonts w:ascii="Arial" w:cs="Arial" w:eastAsia="Arial" w:hAnsi="Arial"/>
          <w:color w:val="333333"/>
          <w:sz w:val="22"/>
          <w:szCs w:val="22"/>
        </w:rPr>
        <w:t xml:space="preserve">Ali’s most direct insight: “The LLM is a commodity. People are not saying that, but it is. Like you can get gas from this gas station or that gas station. It doesn’t matter. Just compare price.” LLMs are increasingly interchangeable. Organizations switch foundation models in a day. A better model this week may be a worse model next week. Competitive advantage built on model selection evaporates immediately.</w:t>
      </w:r>
    </w:p>
    <w:p>
      <w:pPr>
        <w:spacing w:after="160"/>
        <w:jc w:val="left"/>
      </w:pPr>
      <w:r>
        <w:rPr>
          <w:rFonts w:ascii="Arial" w:cs="Arial" w:eastAsia="Arial" w:hAnsi="Arial"/>
          <w:color w:val="333333"/>
          <w:sz w:val="22"/>
          <w:szCs w:val="22"/>
        </w:rPr>
        <w:t xml:space="preserve">What is not a commodity: the data a company has that its competitors do not. The unique business processes only that company runs. The institutional knowledge accumulated over decades. AI trained on this data is not replicable — it cannot be purchased off a vendor shelf. This is the only durable AI advantage.</w:t>
      </w:r>
    </w:p>
    <w:p>
      <w:pPr>
        <w:spacing w:after="160"/>
        <w:jc w:val="left"/>
      </w:pPr>
      <w:r>
        <w:rPr>
          <w:rFonts w:ascii="Arial" w:cs="Arial" w:eastAsia="Arial" w:hAnsi="Arial"/>
          <w:color w:val="333333"/>
          <w:sz w:val="22"/>
          <w:szCs w:val="22"/>
        </w:rPr>
        <w:t xml:space="preserve">The strategic implication is direct: most enterprise AI spend today is building commodity capabilities — things any company can buy. This is not a strategy. The CIO’s job is to identify where the company’s unique data and processes create an AI surface that competitors cannot replicate, and to invest there first. Ali reinforced this by pointing to Glean itself: “Remove all the data from Glean and it’s useless. It’s all about the data.”</w:t>
      </w:r>
    </w:p>
    <w:p>
      <w:pPr>
        <w:spacing w:after="160"/>
        <w:jc w:val="left"/>
      </w:pPr>
      <w:r>
        <w:rPr>
          <w:rFonts w:ascii="Arial" w:cs="Arial" w:eastAsia="Arial" w:hAnsi="Arial"/>
          <w:color w:val="333333"/>
          <w:sz w:val="22"/>
          <w:szCs w:val="22"/>
        </w:rPr>
        <w:t xml:space="preserve">A secondary problem: demoware. “It’s really easy to make cool demos with GenAI.” The ease of building impressive prototypes creates a false signal. The gap between a compelling demo and a production system delivering measurable business value is where most projects fail. Organizations should treat demos as hypotheses, not outcomes.</w:t>
      </w:r>
    </w:p>
    <w:p>
      <w:pPr>
        <w:pStyle w:val="Heading2"/>
        <w:spacing w:before="240" w:after="160"/>
      </w:pPr>
      <w:r>
        <w:rPr>
          <w:rFonts w:ascii="Arial" w:cs="Arial" w:eastAsia="Arial" w:hAnsi="Arial"/>
          <w:b/>
          <w:bCs/>
          <w:color w:val="4471A9"/>
          <w:sz w:val="24"/>
          <w:szCs w:val="24"/>
        </w:rPr>
        <w:t xml:space="preserve">F.3 Three Camps on AI — and Which One to Be In</w:t>
      </w:r>
    </w:p>
    <w:p>
      <w:pPr>
        <w:spacing w:after="160"/>
        <w:jc w:val="left"/>
      </w:pPr>
      <w:r>
        <w:rPr>
          <w:rFonts w:ascii="Arial" w:cs="Arial" w:eastAsia="Arial" w:hAnsi="Arial"/>
          <w:color w:val="333333"/>
          <w:sz w:val="22"/>
          <w:szCs w:val="22"/>
        </w:rPr>
        <w:t xml:space="preserve">Ali’s framework for making sense of the AI landscape distinguishes three distinct camps, each with different assumptions, time horizons, and risk profiles:</w:t>
      </w:r>
    </w:p>
    <w:p>
      <w:pPr>
        <w:spacing w:after="80"/>
        <w:ind w:left="720"/>
        <w:jc w:val="left"/>
      </w:pPr>
      <w:r>
        <w:rPr>
          <w:rFonts w:ascii="Arial" w:cs="Arial" w:eastAsia="Arial" w:hAnsi="Arial"/>
          <w:b/>
          <w:bCs/>
          <w:color w:val="333333"/>
          <w:sz w:val="22"/>
          <w:szCs w:val="22"/>
        </w:rPr>
        <w:t xml:space="preserve">Camp 1: The Super-Intelligence Quest.</w:t>
      </w:r>
      <w:r>
        <w:rPr>
          <w:rFonts w:ascii="Arial" w:cs="Arial" w:eastAsia="Arial" w:hAnsi="Arial"/>
          <w:color w:val="333333"/>
          <w:sz w:val="22"/>
          <w:szCs w:val="22"/>
        </w:rPr>
        <w:t xml:space="preserve"> Frontier labs operating under the scaling laws hypothesis: more compute, more data, more GPUs leads to godlike AI that will cure cancer and 10x GDP. This is where the majority of capital investment is concentrated. Ali’s assessment: “I would be very worried there.” Valuations are massively ahead of proven ROI. The bet requires not just that AI scales, but that it scales recursively — a prediction that has not been validated.</w:t>
      </w:r>
    </w:p>
    <w:p>
      <w:pPr>
        <w:spacing w:after="80"/>
        <w:ind w:left="720"/>
        <w:jc w:val="left"/>
      </w:pPr>
      <w:r>
        <w:rPr>
          <w:rFonts w:ascii="Arial" w:cs="Arial" w:eastAsia="Arial" w:hAnsi="Arial"/>
          <w:b/>
          <w:bCs/>
          <w:color w:val="333333"/>
          <w:sz w:val="22"/>
          <w:szCs w:val="22"/>
        </w:rPr>
        <w:t xml:space="preserve">Camp 2: The Scientists.</w:t>
      </w:r>
      <w:r>
        <w:rPr>
          <w:rFonts w:ascii="Arial" w:cs="Arial" w:eastAsia="Arial" w:hAnsi="Arial"/>
          <w:color w:val="333333"/>
          <w:sz w:val="22"/>
          <w:szCs w:val="22"/>
        </w:rPr>
        <w:t xml:space="preserve"> Rich Sutton (reinforcement learning) and Yann LeCun (convolutional networks) — the researchers who created the foundational technology and won the Turing Award for it. Their position: autoregressive next-token prediction is not how intelligence works, it is not how humans learn, and scaling it will not produce general intelligence. Their time horizon is 20 years. “They’re probably the ones that are right, unfortunately,” Ali noted — “and nobody cares about them.”</w:t>
      </w:r>
    </w:p>
    <w:p>
      <w:pPr>
        <w:spacing w:after="160"/>
        <w:ind w:left="720"/>
        <w:jc w:val="left"/>
      </w:pPr>
      <w:r>
        <w:rPr>
          <w:rFonts w:ascii="Arial" w:cs="Arial" w:eastAsia="Arial" w:hAnsi="Arial"/>
          <w:b/>
          <w:bCs/>
          <w:color w:val="333333"/>
          <w:sz w:val="22"/>
          <w:szCs w:val="22"/>
        </w:rPr>
        <w:t xml:space="preserve">Camp 3: The Practitioners.</w:t>
      </w:r>
      <w:r>
        <w:rPr>
          <w:rFonts w:ascii="Arial" w:cs="Arial" w:eastAsia="Arial" w:hAnsi="Arial"/>
          <w:color w:val="333333"/>
          <w:sz w:val="22"/>
          <w:szCs w:val="22"/>
        </w:rPr>
        <w:t xml:space="preserve"> The position Ali and Ghodsi occupy. Their argument: we already have AGI. By the definition held at the Berkeley AI lab in 2009 — where the criteria were established before they were retrospectively changed — current LLMs have already satisfied the bar. The goalpost has been moved, not the technology. The consequence: “We already have whatever we need. Let us focus on solving the actual problems inside organizations. We don’t need super-intelligence to automate enormous amounts of work and generate massive economic value.”</w:t>
      </w:r>
    </w:p>
    <w:p>
      <w:pPr>
        <w:spacing w:after="160"/>
        <w:jc w:val="left"/>
      </w:pPr>
      <w:r>
        <w:rPr>
          <w:rFonts w:ascii="Arial" w:cs="Arial" w:eastAsia="Arial" w:hAnsi="Arial"/>
          <w:color w:val="333333"/>
          <w:sz w:val="22"/>
          <w:szCs w:val="22"/>
        </w:rPr>
        <w:t xml:space="preserve">This framing resolves the apparent contradiction between AI hype and enterprise reality. The bubble exists in Camp 1 (zero-revenue companies at $10–30B valuations, frontier lab capex that requires AI to reach trillion-dollar revenue to justify). Camp 3 is not in a bubble. It is not spending huge amounts of capital — it is trying to get actual economic value inside organizations using AI that already exists and already works.</w:t>
      </w:r>
    </w:p>
    <w:p>
      <w:pPr>
        <w:pStyle w:val="Heading2"/>
        <w:spacing w:before="240" w:after="160"/>
      </w:pPr>
      <w:r>
        <w:rPr>
          <w:rFonts w:ascii="Arial" w:cs="Arial" w:eastAsia="Arial" w:hAnsi="Arial"/>
          <w:b/>
          <w:bCs/>
          <w:color w:val="4471A9"/>
          <w:sz w:val="24"/>
          <w:szCs w:val="24"/>
        </w:rPr>
        <w:t xml:space="preserve">F.4 The Internal Transformation Playbook: What Databricks and Glean Actually Did</w:t>
      </w:r>
    </w:p>
    <w:p>
      <w:pPr>
        <w:spacing w:after="160"/>
        <w:jc w:val="left"/>
      </w:pPr>
      <w:r>
        <w:rPr>
          <w:rFonts w:ascii="Arial" w:cs="Arial" w:eastAsia="Arial" w:hAnsi="Arial"/>
          <w:color w:val="333333"/>
          <w:sz w:val="22"/>
          <w:szCs w:val="22"/>
        </w:rPr>
        <w:t xml:space="preserve">Both CEOs were candid about their own failures and wins. The honest account of internal AI transformation at two companies on the frontier of AI deployment is more instructive than most vendor case studies.</w:t>
      </w:r>
    </w:p>
    <w:p>
      <w:pPr>
        <w:spacing w:after="80"/>
        <w:jc w:val="left"/>
      </w:pPr>
      <w:r>
        <w:rPr>
          <w:rFonts w:ascii="Arial" w:cs="Arial" w:eastAsia="Arial" w:hAnsi="Arial"/>
          <w:b/>
          <w:bCs/>
          <w:color w:val="333333"/>
          <w:sz w:val="22"/>
          <w:szCs w:val="22"/>
        </w:rPr>
        <w:t xml:space="preserve">What failed or took far longer than expected:</w:t>
      </w:r>
    </w:p>
    <w:p>
      <w:pPr>
        <w:spacing w:after="80"/>
        <w:ind w:left="720"/>
        <w:jc w:val="left"/>
      </w:pPr>
      <w:r>
        <w:rPr>
          <w:rFonts w:ascii="Arial" w:cs="Arial" w:eastAsia="Arial" w:hAnsi="Arial"/>
          <w:b/>
          <w:bCs/>
          <w:color w:val="333333"/>
          <w:sz w:val="22"/>
          <w:szCs w:val="22"/>
        </w:rPr>
        <w:t xml:space="preserve">Engineering automation:</w:t>
      </w:r>
      <w:r>
        <w:rPr>
          <w:rFonts w:ascii="Arial" w:cs="Arial" w:eastAsia="Arial" w:hAnsi="Arial"/>
          <w:color w:val="333333"/>
          <w:sz w:val="22"/>
          <w:szCs w:val="22"/>
        </w:rPr>
        <w:t xml:space="preserve"> Initial attempts to automate software engineering at Databricks failed. “There’s nothing wrong with AI — the problem is the humans and how we were organized.” The AI was capable. The org structure was not designed to absorb it. Restructuring was required before the technology could deliver.</w:t>
      </w:r>
    </w:p>
    <w:p>
      <w:pPr>
        <w:spacing w:after="80"/>
        <w:ind w:left="720"/>
        <w:jc w:val="left"/>
      </w:pPr>
      <w:r>
        <w:rPr>
          <w:rFonts w:ascii="Arial" w:cs="Arial" w:eastAsia="Arial" w:hAnsi="Arial"/>
          <w:b/>
          <w:bCs/>
          <w:color w:val="333333"/>
          <w:sz w:val="22"/>
          <w:szCs w:val="22"/>
        </w:rPr>
        <w:t xml:space="preserve">Finance transition from Excel to ML:</w:t>
      </w:r>
      <w:r>
        <w:rPr>
          <w:rFonts w:ascii="Arial" w:cs="Arial" w:eastAsia="Arial" w:hAnsi="Arial"/>
          <w:color w:val="333333"/>
          <w:sz w:val="22"/>
          <w:szCs w:val="22"/>
        </w:rPr>
        <w:t xml:space="preserve"> The hardest part was not technical. Finance teams had built sophisticated Excel models over years and were proud of them. An external data science team was brought in to build the ML models in parallel — establishing credibility before asking finance to abandon their tools. The transition is now complete at Databricks: finance runs on Python-based ML. But the change management timeline was measured in years, not quarters.</w:t>
      </w:r>
    </w:p>
    <w:p>
      <w:pPr>
        <w:spacing w:after="160"/>
        <w:ind w:left="720"/>
        <w:jc w:val="left"/>
      </w:pPr>
      <w:r>
        <w:rPr>
          <w:rFonts w:ascii="Arial" w:cs="Arial" w:eastAsia="Arial" w:hAnsi="Arial"/>
          <w:b/>
          <w:bCs/>
          <w:color w:val="333333"/>
          <w:sz w:val="22"/>
          <w:szCs w:val="22"/>
        </w:rPr>
        <w:t xml:space="preserve">CEO visibility into priorities:</w:t>
      </w:r>
      <w:r>
        <w:rPr>
          <w:rFonts w:ascii="Arial" w:cs="Arial" w:eastAsia="Arial" w:hAnsi="Arial"/>
          <w:color w:val="333333"/>
          <w:sz w:val="22"/>
          <w:szCs w:val="22"/>
        </w:rPr>
        <w:t xml:space="preserve"> Ghodsi wanted an AI agent that could give every employee their weekly priorities, document them, and roll them up so he could see alignment across the organization. “I still don’t have it.” Enterprise coordination systems are harder than they look — even for the CEO of a leading AI company with full access to the technology.</w:t>
      </w:r>
    </w:p>
    <w:p>
      <w:pPr>
        <w:spacing w:after="80"/>
        <w:jc w:val="left"/>
      </w:pPr>
      <w:r>
        <w:rPr>
          <w:rFonts w:ascii="Arial" w:cs="Arial" w:eastAsia="Arial" w:hAnsi="Arial"/>
          <w:b/>
          <w:bCs/>
          <w:color w:val="333333"/>
          <w:sz w:val="22"/>
          <w:szCs w:val="22"/>
        </w:rPr>
        <w:t xml:space="preserve">What is working at scale:</w:t>
      </w:r>
    </w:p>
    <w:p>
      <w:pPr>
        <w:spacing w:after="80"/>
        <w:ind w:left="720"/>
        <w:jc w:val="left"/>
      </w:pPr>
      <w:r>
        <w:rPr>
          <w:rFonts w:ascii="Arial" w:cs="Arial" w:eastAsia="Arial" w:hAnsi="Arial"/>
          <w:b/>
          <w:bCs/>
          <w:color w:val="333333"/>
          <w:sz w:val="22"/>
          <w:szCs w:val="22"/>
        </w:rPr>
        <w:t xml:space="preserve">Customer intelligence (Refi at Databricks):</w:t>
      </w:r>
      <w:r>
        <w:rPr>
          <w:rFonts w:ascii="Arial" w:cs="Arial" w:eastAsia="Arial" w:hAnsi="Arial"/>
          <w:color w:val="333333"/>
          <w:sz w:val="22"/>
          <w:szCs w:val="22"/>
        </w:rPr>
        <w:t xml:space="preserve"> Before any customer meeting, a Databricks agent instantly compiles the full account picture: how they use Databricks, who their top competitors are, whether those competitors use Databricks (and if not, which similar customers do), relevant use cases, and current context. This replaced a process that previously required 30 people and multiple meetings to produce the same output.</w:t>
      </w:r>
    </w:p>
    <w:p>
      <w:pPr>
        <w:spacing w:after="80"/>
        <w:ind w:left="720"/>
        <w:jc w:val="left"/>
      </w:pPr>
      <w:r>
        <w:rPr>
          <w:rFonts w:ascii="Arial" w:cs="Arial" w:eastAsia="Arial" w:hAnsi="Arial"/>
          <w:b/>
          <w:bCs/>
          <w:color w:val="333333"/>
          <w:sz w:val="22"/>
          <w:szCs w:val="22"/>
        </w:rPr>
        <w:t xml:space="preserve">Daily prep agent:</w:t>
      </w:r>
      <w:r>
        <w:rPr>
          <w:rFonts w:ascii="Arial" w:cs="Arial" w:eastAsia="Arial" w:hAnsi="Arial"/>
          <w:color w:val="333333"/>
          <w:sz w:val="22"/>
          <w:szCs w:val="22"/>
        </w:rPr>
        <w:t xml:space="preserve"> Every morning, Ghodsi receives an AI-generated briefing covering his day, meeting context, what he needs to read, and preparation for each engagement. He walks into every meeting with full context regardless of how recently he was briefed. “It helps me feel more confident.” Ali changed his behavior similarly: “My instinct now is to ask AI before I ask a person. That’s a real change — and it reduces a lot of expensive organizational drag.”</w:t>
      </w:r>
    </w:p>
    <w:p>
      <w:pPr>
        <w:spacing w:after="80"/>
        <w:ind w:left="720"/>
        <w:jc w:val="left"/>
      </w:pPr>
      <w:r>
        <w:rPr>
          <w:rFonts w:ascii="Arial" w:cs="Arial" w:eastAsia="Arial" w:hAnsi="Arial"/>
          <w:b/>
          <w:bCs/>
          <w:color w:val="333333"/>
          <w:sz w:val="22"/>
          <w:szCs w:val="22"/>
        </w:rPr>
        <w:t xml:space="preserve">Finance and marketing automation:</w:t>
      </w:r>
      <w:r>
        <w:rPr>
          <w:rFonts w:ascii="Arial" w:cs="Arial" w:eastAsia="Arial" w:hAnsi="Arial"/>
          <w:color w:val="333333"/>
          <w:sz w:val="22"/>
          <w:szCs w:val="22"/>
        </w:rPr>
        <w:t xml:space="preserve"> All forecasting at Databricks runs on ML-based models. The marketing stack is heavily automated: audience segmentation, content generation, campaign execution. “More and more is being done by agents.” Meeting intelligence is operational: all meetings are recorded, agents extract action items, and notes are automatically updated in Salesforce.</w:t>
      </w:r>
    </w:p>
    <w:p>
      <w:pPr>
        <w:pStyle w:val="Heading2"/>
        <w:spacing w:before="240" w:after="160"/>
      </w:pPr>
      <w:r>
        <w:rPr>
          <w:rFonts w:ascii="Arial" w:cs="Arial" w:eastAsia="Arial" w:hAnsi="Arial"/>
          <w:b/>
          <w:bCs/>
          <w:color w:val="4471A9"/>
          <w:sz w:val="24"/>
          <w:szCs w:val="24"/>
        </w:rPr>
        <w:t xml:space="preserve">F.5 What the CIO Should Do Differently</w:t>
      </w:r>
    </w:p>
    <w:p>
      <w:pPr>
        <w:spacing w:after="160"/>
        <w:jc w:val="left"/>
      </w:pPr>
      <w:r>
        <w:rPr>
          <w:rFonts w:ascii="Arial" w:cs="Arial" w:eastAsia="Arial" w:hAnsi="Arial"/>
          <w:color w:val="333333"/>
          <w:sz w:val="22"/>
          <w:szCs w:val="22"/>
        </w:rPr>
        <w:t xml:space="preserve">Four concrete recommendations from the discussion, translated to CIO implications:</w:t>
      </w:r>
    </w:p>
    <w:p>
      <w:pPr>
        <w:spacing w:after="80"/>
        <w:ind w:left="720"/>
        <w:jc w:val="left"/>
      </w:pPr>
      <w:r>
        <w:rPr>
          <w:rFonts w:ascii="Arial" w:cs="Arial" w:eastAsia="Arial" w:hAnsi="Arial"/>
          <w:b/>
          <w:bCs/>
          <w:color w:val="333333"/>
          <w:sz w:val="22"/>
          <w:szCs w:val="22"/>
        </w:rPr>
        <w:t xml:space="preserve">1. Shorten contracts and expand vendor experiments.</w:t>
      </w:r>
      <w:r>
        <w:rPr>
          <w:rFonts w:ascii="Arial" w:cs="Arial" w:eastAsia="Arial" w:hAnsi="Arial"/>
          <w:color w:val="333333"/>
          <w:sz w:val="22"/>
          <w:szCs w:val="22"/>
        </w:rPr>
        <w:t xml:space="preserve"> The winners in enterprise AI are not yet identified. “Every software company is also an AI company now — you can go check their websites.” This makes vendor selection harder, not easier. The response is not to wait for clarity — it is to run shorter contracts, test more vendors simultaneously, and select only products that demonstrate value quickly. If a vendor requires six months of implementation before you see results, that is a structural problem with the product, not a deployment challenge to manage.</w:t>
      </w:r>
    </w:p>
    <w:p>
      <w:pPr>
        <w:spacing w:after="80"/>
        <w:ind w:left="720"/>
        <w:jc w:val="left"/>
      </w:pPr>
      <w:r>
        <w:rPr>
          <w:rFonts w:ascii="Arial" w:cs="Arial" w:eastAsia="Arial" w:hAnsi="Arial"/>
          <w:b/>
          <w:bCs/>
          <w:color w:val="333333"/>
          <w:sz w:val="22"/>
          <w:szCs w:val="22"/>
        </w:rPr>
        <w:t xml:space="preserve">2. Close the AI literacy gap.</w:t>
      </w:r>
      <w:r>
        <w:rPr>
          <w:rFonts w:ascii="Arial" w:cs="Arial" w:eastAsia="Arial" w:hAnsi="Arial"/>
          <w:color w:val="333333"/>
          <w:sz w:val="22"/>
          <w:szCs w:val="22"/>
        </w:rPr>
        <w:t xml:space="preserve"> “There’s a huge variance between the top users and the ones at the bottom.” Power user adoption is not AI transformation. The CIO’s job is to move the entire distribution — not just enable the early adopters who would have adopted anyway. Every function needs a digital champion, a reskilling pathway, and management accountability for adoption rates.</w:t>
      </w:r>
    </w:p>
    <w:p>
      <w:pPr>
        <w:spacing w:after="80"/>
        <w:ind w:left="720"/>
        <w:jc w:val="left"/>
      </w:pPr>
      <w:r>
        <w:rPr>
          <w:rFonts w:ascii="Arial" w:cs="Arial" w:eastAsia="Arial" w:hAnsi="Arial"/>
          <w:b/>
          <w:bCs/>
          <w:color w:val="333333"/>
          <w:sz w:val="22"/>
          <w:szCs w:val="22"/>
        </w:rPr>
        <w:t xml:space="preserve">3. Build on proprietary data. Stop building commodity AI.</w:t>
      </w:r>
      <w:r>
        <w:rPr>
          <w:rFonts w:ascii="Arial" w:cs="Arial" w:eastAsia="Arial" w:hAnsi="Arial"/>
          <w:color w:val="333333"/>
          <w:sz w:val="22"/>
          <w:szCs w:val="22"/>
        </w:rPr>
        <w:t xml:space="preserve"> If your competitors can purchase the same AI capability you just built, you have a vendor relationship, not a competitive moat. The strategic question is: what data does this company have that no competitor can replicate? Build AI there. For Renesas specifically, this points directly to chip design data, application-specific circuit knowledge, and customer design-in history — all of which represent durable, proprietary AI surfaces that cannot be purchased off a shelf.</w:t>
      </w:r>
    </w:p>
    <w:p>
      <w:pPr>
        <w:spacing w:after="160"/>
        <w:ind w:left="720"/>
        <w:jc w:val="left"/>
      </w:pPr>
      <w:r>
        <w:rPr>
          <w:rFonts w:ascii="Arial" w:cs="Arial" w:eastAsia="Arial" w:hAnsi="Arial"/>
          <w:b/>
          <w:bCs/>
          <w:color w:val="333333"/>
          <w:sz w:val="22"/>
          <w:szCs w:val="22"/>
        </w:rPr>
        <w:t xml:space="preserve">4. Design for proactive AI, not reactive AI.</w:t>
      </w:r>
      <w:r>
        <w:rPr>
          <w:rFonts w:ascii="Arial" w:cs="Arial" w:eastAsia="Arial" w:hAnsi="Arial"/>
          <w:color w:val="333333"/>
          <w:sz w:val="22"/>
          <w:szCs w:val="22"/>
        </w:rPr>
        <w:t xml:space="preserve"> Ali’s articulation of Glean’s next frontier is a useful framing for the next phase of enterprise AI: “Today you have to come to Glean. In the future, we want Glean to come to you.” Proactive AI — systems that push context before you ask, surface relevant information before a meeting, flag decisions that need attention before they escalate — represents the shift from AI as a tool to AI as an operating partner. This is the design principle that separates the next generation of enterprise AI from what was built in the first wave.</w:t>
      </w:r>
    </w:p>
    <w:p>
      <w:pPr>
        <w:spacing w:after="160"/>
        <w:jc w:val="left"/>
      </w:pPr>
      <w:r>
        <w:rPr>
          <w:rFonts w:ascii="Arial" w:cs="Arial" w:eastAsia="Arial" w:hAnsi="Arial"/>
          <w:i/>
          <w:iCs/>
          <w:color w:val="4471A9"/>
          <w:sz w:val="22"/>
          <w:szCs w:val="22"/>
        </w:rPr>
        <w:t xml:space="preserve">“You have to have the belief that AI is a good collaborator. It’s not going to do the work for you, but if you use it, you’re going to produce better output — even if you don’t save time in the first few months.” — Arvin Ghodsi, CEO, Databricks</w:t>
      </w:r>
    </w:p>
    <w:p>
      <w:pPr>
        <w:spacing w:after="160"/>
        <w:jc w:val="left"/>
      </w:pPr>
      <w:r>
        <w:rPr>
          <w:rFonts w:ascii="Arial" w:cs="Arial" w:eastAsia="Arial" w:hAnsi="Arial"/>
          <w:color w:val="333333"/>
          <w:sz w:val="22"/>
          <w:szCs w:val="22"/>
        </w:rPr>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6"/>
        <w:szCs w:val="16"/>
      </w:rPr>
      <w:t xml:space="preserve">Renesas Electronics — Confidential</w:t>
    </w:r>
    <w: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Architecting the Future — Companion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42D5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6418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71A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2026-03-14T11:49:50.601Z</dcterms:created>
  <dcterms:modified xsi:type="dcterms:W3CDTF">2026-03-14T11:49:50.601Z</dcterms:modified>
</cp:coreProperties>
</file>

<file path=docProps/custom.xml><?xml version="1.0" encoding="utf-8"?>
<Properties xmlns="http://schemas.openxmlformats.org/officeDocument/2006/custom-properties" xmlns:vt="http://schemas.openxmlformats.org/officeDocument/2006/docPropsVTypes"/>
</file>