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281E3872"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8C0D85" w:rsidRPr="008C0D85">
        <w:rPr>
          <w:highlight w:val="yellow"/>
        </w:rPr>
        <w:t>Testing</w:t>
      </w:r>
      <w:r w:rsidR="008C0D85">
        <w:t xml:space="preserve"> of uniform corrosion via thickness testing on large industrial vessels with simple shapes with a UAV should increase the spatial versatility of NDE, as well as reducing costs, safety hazards,  time, and human involvement overall.</w:t>
      </w:r>
    </w:p>
    <w:p w14:paraId="25C2AD03" w14:textId="10896412" w:rsidR="003B15E5" w:rsidRDefault="003B15E5" w:rsidP="001F37AF">
      <w:pPr>
        <w:spacing w:line="360" w:lineRule="auto"/>
      </w:pPr>
      <w:r>
        <w:t>An unavailability of suitable craft necessitated a simulated dynamics approach, using softwar</w:t>
      </w:r>
      <w:r w:rsidR="00F50E19">
        <w:t>e and recreated dynamics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391742">
          <w:pPr>
            <w:pStyle w:val="Heading1"/>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391742"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391742"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391742"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391742"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391742"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391742"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391742"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391742"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391742"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391742"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391742"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391742"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391742"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391742"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391742"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0B8D14C7" w:rsidR="00076320" w:rsidRDefault="00E22C49" w:rsidP="00E22C49">
      <w:pPr>
        <w:pStyle w:val="Heading1"/>
      </w:pPr>
      <w:r>
        <w:t>List of Figures</w:t>
      </w:r>
    </w:p>
    <w:p w14:paraId="3AD98165" w14:textId="77777777" w:rsidR="00E22C49" w:rsidRDefault="00E22C49" w:rsidP="00E22C49"/>
    <w:p w14:paraId="0B3CC321" w14:textId="77777777" w:rsidR="00E22C49" w:rsidRDefault="00E22C49" w:rsidP="00E22C49">
      <w:pPr>
        <w:pStyle w:val="Heading1"/>
        <w:sectPr w:rsidR="00E22C49" w:rsidSect="001F37AF">
          <w:pgSz w:w="11906" w:h="16838"/>
          <w:pgMar w:top="1418" w:right="1440" w:bottom="1440" w:left="2268" w:header="708" w:footer="708" w:gutter="0"/>
          <w:pgNumType w:start="3"/>
          <w:cols w:space="708"/>
          <w:docGrid w:linePitch="360"/>
        </w:sectPr>
      </w:pPr>
    </w:p>
    <w:p w14:paraId="5A82BB4D" w14:textId="303563A7" w:rsidR="00E22C49" w:rsidRPr="00E22C49" w:rsidRDefault="00E22C49" w:rsidP="00E22C49">
      <w:pPr>
        <w:pStyle w:val="Heading1"/>
        <w:sectPr w:rsidR="00E22C49" w:rsidRPr="00E22C49" w:rsidSect="001F37AF">
          <w:pgSz w:w="11906" w:h="16838"/>
          <w:pgMar w:top="1418" w:right="1440" w:bottom="1440" w:left="2268" w:header="708" w:footer="708" w:gutter="0"/>
          <w:pgNumType w:start="3"/>
          <w:cols w:space="708"/>
          <w:docGrid w:linePitch="360"/>
        </w:sectPr>
      </w:pPr>
      <w:r>
        <w:lastRenderedPageBreak/>
        <w:t>List of Tables</w:t>
      </w:r>
    </w:p>
    <w:p w14:paraId="7168979B" w14:textId="2E0DEC7E" w:rsidR="00154574" w:rsidRDefault="00154574" w:rsidP="00C71CCD">
      <w:pPr>
        <w:pStyle w:val="Heading1"/>
        <w:numPr>
          <w:ilvl w:val="0"/>
          <w:numId w:val="16"/>
        </w:numPr>
        <w:spacing w:line="360" w:lineRule="auto"/>
        <w:ind w:left="0" w:firstLine="0"/>
        <w:jc w:val="both"/>
      </w:pPr>
      <w:bookmarkStart w:id="0" w:name="_Toc419110643"/>
      <w:r>
        <w:lastRenderedPageBreak/>
        <w:t>Introduction</w:t>
      </w:r>
      <w:bookmarkEnd w:id="0"/>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1" w:name="_Toc419110644"/>
      <w:r>
        <w:lastRenderedPageBreak/>
        <w:t xml:space="preserve">2. </w:t>
      </w:r>
      <w:r w:rsidR="00787276">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lastRenderedPageBreak/>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A51856">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8" w:name="_Toc419110651"/>
      <w:r w:rsidRPr="00D502DF">
        <w:t xml:space="preserve">2.2.2 </w:t>
      </w:r>
      <w:r w:rsidR="00B068EC" w:rsidRPr="00D502DF">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A51856"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A51856"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A51856"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A51856"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A51856"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3C3D7BEF" w14:textId="1EE899F9" w:rsidR="008819DA" w:rsidRDefault="008819DA" w:rsidP="003F141C">
      <w:pPr>
        <w:pStyle w:val="Heading3"/>
      </w:pPr>
      <w:r>
        <w:lastRenderedPageBreak/>
        <w:t>2.2.6 Simulation</w:t>
      </w:r>
      <w:r w:rsidR="004A4F80">
        <w:t xml:space="preserve"> – needs changing</w:t>
      </w:r>
    </w:p>
    <w:p w14:paraId="3650ACF7" w14:textId="0A6664B4" w:rsidR="003F141C" w:rsidRDefault="0092568B" w:rsidP="003F141C">
      <w:r>
        <w:t xml:space="preserve">Many </w:t>
      </w:r>
      <w:r w:rsidR="005B21B8">
        <w:t>flight and robotics simulators</w:t>
      </w:r>
      <w:r>
        <w:t xml:space="preserve"> are available, with varying price</w:t>
      </w:r>
      <w:r w:rsidR="005B21B8">
        <w:t>s</w:t>
      </w:r>
      <w:r>
        <w:t>, intended application</w:t>
      </w:r>
      <w:r w:rsidR="005B21B8">
        <w:t>s</w:t>
      </w:r>
      <w:r>
        <w:t xml:space="preserve">, and </w:t>
      </w:r>
      <w:r w:rsidR="005B21B8">
        <w:t xml:space="preserve">ease of </w:t>
      </w:r>
      <w:r>
        <w:t>development</w:t>
      </w:r>
      <w:r w:rsidR="005B21B8">
        <w:t>.</w:t>
      </w:r>
      <w:r>
        <w:t xml:space="preserve"> </w:t>
      </w:r>
      <w:r>
        <w:fldChar w:fldCharType="begin"/>
      </w:r>
      <w:r>
        <w:instrText xml:space="preserve"> ADDIN EN.CITE &lt;EndNote&gt;&lt;Cite&gt;&lt;Author&gt;Craighead&lt;/Author&gt;&lt;Year&gt;2007&lt;/Year&gt;&lt;RecNum&gt;63&lt;/RecNum&gt;&lt;DisplayText&gt;[19]&lt;/DisplayText&gt;&lt;record&gt;&lt;rec-number&gt;63&lt;/rec-number&gt;&lt;foreign-keys&gt;&lt;key app="EN" db-id="wadtfxfe0r9xapepa0gpezscdzxftxpresz5" timestamp="1444064684"&gt;63&lt;/key&gt;&lt;/foreign-keys&gt;&lt;ref-type name="Conference Proceedings"&gt;10&lt;/ref-type&gt;&lt;contributors&gt;&lt;authors&gt;&lt;author&gt;Craighead, Jeff&lt;/author&gt;&lt;author&gt;Murphy, Robin&lt;/author&gt;&lt;author&gt;Burke, Jenny&lt;/author&gt;&lt;author&gt;Goldiez, Brian&lt;/author&gt;&lt;/authors&gt;&lt;/contributors&gt;&lt;titles&gt;&lt;title&gt;A survey of commercial &amp;amp; open source unmanned vehicle simulators&lt;/title&gt;&lt;secondary-title&gt;Robotics and Automation, 2007 IEEE International Conference on&lt;/secondary-title&gt;&lt;/titles&gt;&lt;pages&gt;852-857&lt;/pages&gt;&lt;dates&gt;&lt;year&gt;2007&lt;/year&gt;&lt;/dates&gt;&lt;publisher&gt;IEEE&lt;/publisher&gt;&lt;isbn&gt;1424406013&lt;/isbn&gt;&lt;urls&gt;&lt;/urls&gt;&lt;/record&gt;&lt;/Cite&gt;&lt;/EndNote&gt;</w:instrText>
      </w:r>
      <w:r>
        <w:fldChar w:fldCharType="separate"/>
      </w:r>
      <w:r>
        <w:rPr>
          <w:noProof/>
        </w:rPr>
        <w:t>[19]</w:t>
      </w:r>
      <w:r>
        <w:fldChar w:fldCharType="end"/>
      </w:r>
      <w:r>
        <w:t xml:space="preserve"> </w:t>
      </w:r>
    </w:p>
    <w:p w14:paraId="1531F136" w14:textId="5DB9B3BC" w:rsidR="005B21B8" w:rsidRDefault="005B21B8" w:rsidP="003F141C">
      <w:r>
        <w:t>X-Planes</w:t>
      </w:r>
    </w:p>
    <w:p w14:paraId="5A99EA2D" w14:textId="271CEC67" w:rsidR="005B21B8" w:rsidRDefault="005B21B8" w:rsidP="003F141C">
      <w:proofErr w:type="spellStart"/>
      <w:r>
        <w:t>Webots</w:t>
      </w:r>
      <w:proofErr w:type="spellEnd"/>
      <w:r>
        <w:t xml:space="preserve"> - </w:t>
      </w:r>
      <w:r>
        <w:rPr>
          <w:rFonts w:ascii="NimbusRomNo9L-Regu" w:hAnsi="NimbusRomNo9L-Regu"/>
          <w:color w:val="000000"/>
          <w:sz w:val="18"/>
          <w:szCs w:val="18"/>
        </w:rPr>
        <w:t xml:space="preserve">Open Dynamics </w:t>
      </w:r>
      <w:r>
        <w:rPr>
          <w:rFonts w:ascii="NimbusRomNo9L-Regu" w:hAnsi="NimbusRomNo9L-Regu"/>
          <w:color w:val="000000"/>
          <w:sz w:val="18"/>
          <w:szCs w:val="18"/>
        </w:rPr>
        <w:t>Engine</w:t>
      </w:r>
      <w:r>
        <w:rPr>
          <w:rFonts w:ascii="NimbusRomNo9L-Regu" w:hAnsi="NimbusRomNo9L-Regu"/>
          <w:color w:val="000000"/>
          <w:sz w:val="18"/>
          <w:szCs w:val="18"/>
        </w:rPr>
        <w:t>, VRML97 Environment</w:t>
      </w:r>
      <w:r w:rsidR="005A3887">
        <w:rPr>
          <w:rFonts w:ascii="NimbusRomNo9L-Regu" w:hAnsi="NimbusRomNo9L-Regu"/>
          <w:color w:val="000000"/>
          <w:sz w:val="18"/>
          <w:szCs w:val="18"/>
        </w:rPr>
        <w:t>, ease of development looks limited</w:t>
      </w:r>
    </w:p>
    <w:p w14:paraId="38312903" w14:textId="1FB2E966" w:rsidR="005B21B8" w:rsidRDefault="005B21B8" w:rsidP="003F141C">
      <w:r>
        <w:t>SITL</w:t>
      </w:r>
      <w:r w:rsidR="005A3887">
        <w:t xml:space="preserve"> –needs looking into. May have retarded development</w:t>
      </w:r>
    </w:p>
    <w:p w14:paraId="657993AE" w14:textId="6DCE0B9A" w:rsidR="005B21B8" w:rsidRDefault="005B21B8" w:rsidP="003F141C">
      <w:r>
        <w:t>ROS</w:t>
      </w:r>
    </w:p>
    <w:p w14:paraId="5C421289" w14:textId="584B55BF" w:rsidR="005B21B8" w:rsidRDefault="005B21B8" w:rsidP="003F141C">
      <w:r>
        <w:t>Gazebo</w:t>
      </w:r>
    </w:p>
    <w:p w14:paraId="149FFA20" w14:textId="6174BF79" w:rsidR="005B21B8" w:rsidRDefault="005B21B8" w:rsidP="003F141C">
      <w:r>
        <w:t xml:space="preserve">Peter </w:t>
      </w:r>
      <w:proofErr w:type="spellStart"/>
      <w:r>
        <w:t>Corke’s</w:t>
      </w:r>
      <w:proofErr w:type="spellEnd"/>
      <w:r>
        <w:t xml:space="preserve"> MATLAB Robotics toolbox</w:t>
      </w:r>
      <w:r w:rsidR="005A3887">
        <w:t xml:space="preserve"> – dunno if it has the dynamics for this application</w:t>
      </w:r>
    </w:p>
    <w:p w14:paraId="1A4FF4CF" w14:textId="0EACC59F" w:rsidR="00976169" w:rsidRDefault="00976169" w:rsidP="003F141C">
      <w:proofErr w:type="spellStart"/>
      <w:r>
        <w:t>Simmechanics</w:t>
      </w:r>
      <w:proofErr w:type="spellEnd"/>
      <w:r>
        <w:t xml:space="preserve"> – promising, guides available. Some learning required. But duh</w:t>
      </w:r>
    </w:p>
    <w:p w14:paraId="3EA723F4" w14:textId="77777777" w:rsidR="005B21B8" w:rsidRPr="003F141C" w:rsidRDefault="005B21B8" w:rsidP="003F141C"/>
    <w:p w14:paraId="1DC866DA" w14:textId="77777777" w:rsidR="008819DA" w:rsidRPr="008819DA" w:rsidRDefault="008819DA" w:rsidP="008819DA"/>
    <w:p w14:paraId="0B44E556" w14:textId="77777777" w:rsidR="004A4F80" w:rsidRDefault="004A4F80">
      <w:pPr>
        <w:pStyle w:val="Heading2"/>
        <w:sectPr w:rsidR="004A4F80" w:rsidSect="00B40EBC">
          <w:pgSz w:w="11906" w:h="16838"/>
          <w:pgMar w:top="1440" w:right="1440" w:bottom="1440" w:left="2268" w:header="708" w:footer="708" w:gutter="0"/>
          <w:cols w:space="708"/>
          <w:docGrid w:linePitch="360"/>
        </w:sectPr>
      </w:pPr>
    </w:p>
    <w:p w14:paraId="5C67BB19" w14:textId="21CE8805" w:rsidR="004A4F80" w:rsidRDefault="004A4F80">
      <w:pPr>
        <w:pStyle w:val="Heading2"/>
      </w:pPr>
      <w:r>
        <w:lastRenderedPageBreak/>
        <w:t>2.3 Regression Analysis</w:t>
      </w:r>
    </w:p>
    <w:p w14:paraId="38153CE9" w14:textId="15262846" w:rsidR="004A4F80" w:rsidRDefault="004B46AE" w:rsidP="00321BED">
      <w:pPr>
        <w:pStyle w:val="Heading2"/>
        <w:spacing w:line="360" w:lineRule="auto"/>
        <w:jc w:val="both"/>
        <w:rPr>
          <w:rFonts w:eastAsiaTheme="minorEastAsia" w:cstheme="minorBidi"/>
          <w:sz w:val="22"/>
          <w:szCs w:val="21"/>
        </w:rPr>
      </w:pPr>
      <w:r>
        <w:rPr>
          <w:rFonts w:eastAsiaTheme="minorEastAsia" w:cstheme="minorBidi"/>
          <w:sz w:val="22"/>
          <w:szCs w:val="21"/>
        </w:rPr>
        <w:t xml:space="preserve">Since the </w:t>
      </w:r>
      <w:r w:rsidR="009C6092">
        <w:rPr>
          <w:rFonts w:eastAsiaTheme="minorEastAsia" w:cstheme="minorBidi"/>
          <w:sz w:val="22"/>
          <w:szCs w:val="21"/>
        </w:rPr>
        <w:t xml:space="preserve">Hardware simulation </w:t>
      </w:r>
      <w:r w:rsidR="006C547E">
        <w:rPr>
          <w:rFonts w:eastAsiaTheme="minorEastAsia" w:cstheme="minorBidi"/>
          <w:sz w:val="22"/>
          <w:szCs w:val="21"/>
        </w:rPr>
        <w:t xml:space="preserve">has two simulated inputs, it </w:t>
      </w:r>
      <w:r w:rsidR="009C6092">
        <w:rPr>
          <w:rFonts w:eastAsiaTheme="minorEastAsia" w:cstheme="minorBidi"/>
          <w:sz w:val="22"/>
          <w:szCs w:val="21"/>
        </w:rPr>
        <w:t>is</w:t>
      </w:r>
      <w:r w:rsidR="006C547E">
        <w:rPr>
          <w:rFonts w:eastAsiaTheme="minorEastAsia" w:cstheme="minorBidi"/>
          <w:sz w:val="22"/>
          <w:szCs w:val="21"/>
        </w:rPr>
        <w:t xml:space="preserve"> c</w:t>
      </w:r>
      <w:r w:rsidR="00976169">
        <w:rPr>
          <w:rFonts w:eastAsiaTheme="minorEastAsia" w:cstheme="minorBidi"/>
          <w:sz w:val="22"/>
          <w:szCs w:val="21"/>
        </w:rPr>
        <w:t>onsidered to be</w:t>
      </w:r>
      <w:r w:rsidR="009C6092">
        <w:rPr>
          <w:rFonts w:eastAsiaTheme="minorEastAsia" w:cstheme="minorBidi"/>
          <w:sz w:val="22"/>
          <w:szCs w:val="21"/>
        </w:rPr>
        <w:t xml:space="preserve"> a </w:t>
      </w:r>
      <w:r w:rsidR="006C547E">
        <w:rPr>
          <w:rFonts w:eastAsiaTheme="minorEastAsia" w:cstheme="minorBidi"/>
          <w:sz w:val="22"/>
          <w:szCs w:val="21"/>
        </w:rPr>
        <w:t>multivariable system with two binomial outcomes and one ordinary outcome variable.</w:t>
      </w:r>
    </w:p>
    <w:p w14:paraId="4DB32F81" w14:textId="2FFFC4B9" w:rsidR="00976169" w:rsidRDefault="00976169" w:rsidP="00976169">
      <w:r>
        <w:t xml:space="preserve">Logit or </w:t>
      </w:r>
      <w:proofErr w:type="spellStart"/>
      <w:r>
        <w:t>probit</w:t>
      </w:r>
      <w:proofErr w:type="spellEnd"/>
      <w:r>
        <w:t xml:space="preserve"> models could be used to model the outcome variable against the </w:t>
      </w:r>
      <w:proofErr w:type="spellStart"/>
      <w:r>
        <w:t>mutliple</w:t>
      </w:r>
      <w:proofErr w:type="spellEnd"/>
      <w:r>
        <w:t xml:space="preserve"> predictor values. However, using these methods in a multivariable context is not trivial. Thus the use of a </w:t>
      </w:r>
      <w:proofErr w:type="gramStart"/>
      <w:r>
        <w:t>linear(</w:t>
      </w:r>
      <w:proofErr w:type="gramEnd"/>
      <w:r>
        <w:t xml:space="preserve">least squares or such) model to model a discrete situation such as this   is probably suitable, accepting that the partially “mathematically nonsensical” results will  require a sensible human interpretation. </w:t>
      </w:r>
    </w:p>
    <w:p w14:paraId="6FA88B95" w14:textId="77777777" w:rsidR="00976169" w:rsidRDefault="00976169" w:rsidP="00976169"/>
    <w:p w14:paraId="022AAEC6" w14:textId="77777777" w:rsidR="00976169" w:rsidRPr="00976169" w:rsidRDefault="00976169" w:rsidP="00976169">
      <w:pPr>
        <w:sectPr w:rsidR="00976169" w:rsidRPr="00976169" w:rsidSect="00B40EBC">
          <w:pgSz w:w="11906" w:h="16838"/>
          <w:pgMar w:top="1440" w:right="1440" w:bottom="1440" w:left="2268" w:header="708" w:footer="708" w:gutter="0"/>
          <w:cols w:space="708"/>
          <w:docGrid w:linePitch="360"/>
        </w:sectPr>
      </w:pPr>
    </w:p>
    <w:p w14:paraId="5C68B72C" w14:textId="62B7967E" w:rsidR="00787276" w:rsidRDefault="004A4F80" w:rsidP="00321BED">
      <w:pPr>
        <w:pStyle w:val="Heading2"/>
        <w:spacing w:line="360" w:lineRule="auto"/>
        <w:jc w:val="both"/>
      </w:pPr>
      <w:r>
        <w:lastRenderedPageBreak/>
        <w:t>2.4</w:t>
      </w:r>
      <w:r w:rsidR="002861DF">
        <w:t xml:space="preserve"> </w:t>
      </w:r>
      <w:r w:rsidR="00A25966">
        <w:t>Conclusion</w:t>
      </w:r>
      <w:bookmarkEnd w:id="12"/>
      <w:r>
        <w:t xml:space="preserve"> - edit</w:t>
      </w:r>
    </w:p>
    <w:p w14:paraId="3847E987" w14:textId="0B4FF316" w:rsidR="00787276" w:rsidRDefault="004A4F80" w:rsidP="00321BED">
      <w:pPr>
        <w:pStyle w:val="Heading3"/>
        <w:spacing w:line="360" w:lineRule="auto"/>
        <w:jc w:val="both"/>
      </w:pPr>
      <w:bookmarkStart w:id="13" w:name="_Toc419110656"/>
      <w:r>
        <w:t>2.4</w:t>
      </w:r>
      <w:r w:rsidR="002861DF">
        <w:t xml:space="preserve">.1 </w:t>
      </w:r>
      <w:r w:rsidR="00787276">
        <w:t>Perching</w:t>
      </w:r>
      <w:r w:rsidR="00B67CD1">
        <w:t xml:space="preserve"> for larger craft</w:t>
      </w:r>
      <w:bookmarkEnd w:id="13"/>
    </w:p>
    <w:p w14:paraId="21D5AB25" w14:textId="6B9F7F39" w:rsidR="00B305A4" w:rsidRDefault="00B305A4" w:rsidP="00321BED">
      <w:pPr>
        <w:spacing w:line="360" w:lineRule="auto"/>
        <w:jc w:val="both"/>
      </w:pPr>
      <w:r>
        <w:t xml:space="preserve">The literature leaves something to be desired for the purposes of perching with a VTOL </w:t>
      </w:r>
      <w:r w:rsidR="000D3720">
        <w:t>multi</w:t>
      </w:r>
      <w:r>
        <w:t xml:space="preserve">copter aircraft to a vertical surface. </w:t>
      </w:r>
      <w:r w:rsidR="000D3720">
        <w:t xml:space="preserve">The concept of </w:t>
      </w:r>
      <w:proofErr w:type="spellStart"/>
      <w:r w:rsidR="000D3720">
        <w:t>electropermanent</w:t>
      </w:r>
      <w:proofErr w:type="spellEnd"/>
      <w:r w:rsidR="000D3720">
        <w:t xml:space="preserve"> magnets seem most suitable for the application of a perching VTOL multicopter, but are not well developed enough to be deployed in this project. Ordinary electromagnets will be used, despite their relatively high energy requirements</w:t>
      </w:r>
      <w:r w:rsidR="00DF75BC">
        <w:t>, and weight.</w:t>
      </w:r>
    </w:p>
    <w:p w14:paraId="15F4741A" w14:textId="03546E06" w:rsidR="00B561C3" w:rsidRDefault="004A4F80" w:rsidP="00321BED">
      <w:pPr>
        <w:pStyle w:val="Heading3"/>
      </w:pPr>
      <w:r>
        <w:t>2.4</w:t>
      </w:r>
      <w:r w:rsidR="00B561C3">
        <w:t>.2 Copter Drone mounted NDT transducer assembly</w:t>
      </w:r>
    </w:p>
    <w:p w14:paraId="4F3FBC77" w14:textId="4D85C67D" w:rsidR="00B561C3" w:rsidRPr="00B561C3" w:rsidRDefault="00B561C3" w:rsidP="00321BED">
      <w:r>
        <w:t xml:space="preserve">The literature has little to no relevant mention of a </w:t>
      </w:r>
      <w:r w:rsidR="000D3720">
        <w:t>multi</w:t>
      </w:r>
      <w:r>
        <w:t>copter assembly that houses NDT transducers.</w:t>
      </w:r>
      <w:r w:rsidR="00E22C49">
        <w:t xml:space="preserve"> </w:t>
      </w:r>
      <w:r w:rsidR="000D3720">
        <w:t xml:space="preserve">A simple one will need to be </w:t>
      </w:r>
      <w:r w:rsidR="00DF4E99">
        <w:t>created with</w:t>
      </w:r>
      <w:r w:rsidR="000D3720">
        <w:t xml:space="preserve"> </w:t>
      </w:r>
      <w:r w:rsidR="00350878">
        <w:t xml:space="preserve">simple, </w:t>
      </w:r>
      <w:proofErr w:type="spellStart"/>
      <w:r w:rsidR="00350878">
        <w:t>nonexpensive</w:t>
      </w:r>
      <w:proofErr w:type="spellEnd"/>
      <w:r w:rsidR="000D3720">
        <w:t xml:space="preserve"> materials </w:t>
      </w:r>
      <w:r w:rsidR="00350878">
        <w:t xml:space="preserve">and methods </w:t>
      </w:r>
      <w:r w:rsidR="000D3720">
        <w:t xml:space="preserve">such as wood </w:t>
      </w:r>
      <w:r w:rsidR="00350878">
        <w:t>carving or 3D printing (PLA or ABS).</w:t>
      </w:r>
    </w:p>
    <w:p w14:paraId="39D6B204" w14:textId="75CBEE8B" w:rsidR="00AC7F3E" w:rsidRDefault="004A4F80" w:rsidP="00321BED">
      <w:pPr>
        <w:pStyle w:val="Heading3"/>
        <w:spacing w:line="360" w:lineRule="auto"/>
        <w:jc w:val="both"/>
      </w:pPr>
      <w:bookmarkStart w:id="14" w:name="_Toc419110657"/>
      <w:r>
        <w:t>2.4</w:t>
      </w:r>
      <w:r w:rsidR="002861DF">
        <w:t>.</w:t>
      </w:r>
      <w:r w:rsidR="00B561C3">
        <w:t>3</w:t>
      </w:r>
      <w:r w:rsidR="002861DF">
        <w:t xml:space="preserve"> </w:t>
      </w:r>
      <w:r w:rsidR="00AC7F3E">
        <w:t>Weight capacity vs time of flight</w:t>
      </w:r>
      <w:bookmarkEnd w:id="14"/>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4FA88014" w:rsidR="002A0790" w:rsidRDefault="002A0790" w:rsidP="00C71CCD">
      <w:pPr>
        <w:pStyle w:val="Heading1"/>
        <w:numPr>
          <w:ilvl w:val="0"/>
          <w:numId w:val="17"/>
        </w:numPr>
        <w:spacing w:line="360" w:lineRule="auto"/>
        <w:ind w:left="0" w:firstLine="0"/>
        <w:jc w:val="both"/>
      </w:pPr>
      <w:bookmarkStart w:id="15" w:name="_Toc419110658"/>
      <w:r>
        <w:lastRenderedPageBreak/>
        <w:t>Project Intent</w:t>
      </w:r>
      <w:bookmarkEnd w:id="15"/>
      <w:r w:rsidR="004A4F80">
        <w:t xml:space="preserve"> – sections need editing</w:t>
      </w:r>
    </w:p>
    <w:p w14:paraId="5287FCBF" w14:textId="706E508B" w:rsidR="002A0790" w:rsidRPr="00154574" w:rsidRDefault="002861DF" w:rsidP="00C71CCD">
      <w:pPr>
        <w:pStyle w:val="Heading2"/>
        <w:spacing w:line="360" w:lineRule="auto"/>
        <w:jc w:val="both"/>
      </w:pPr>
      <w:bookmarkStart w:id="16" w:name="_Toc419110659"/>
      <w:r>
        <w:t xml:space="preserve">3.1 </w:t>
      </w:r>
      <w:r w:rsidR="002A0790">
        <w:t>Aim</w:t>
      </w:r>
      <w:bookmarkEnd w:id="16"/>
    </w:p>
    <w:p w14:paraId="0FA613A2" w14:textId="10F643F9" w:rsidR="005337E0" w:rsidRDefault="002A0790" w:rsidP="00C71CCD">
      <w:pPr>
        <w:spacing w:line="360" w:lineRule="auto"/>
        <w:jc w:val="both"/>
      </w:pPr>
      <w:r>
        <w:t xml:space="preserve">The ultimate objective of this thesis </w:t>
      </w:r>
      <w:r w:rsidR="00350878">
        <w:t>wa</w:t>
      </w:r>
      <w:r>
        <w:t>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4C2D39E8" w:rsidR="002A0790" w:rsidRDefault="005337E0" w:rsidP="00C71CCD">
      <w:pPr>
        <w:pStyle w:val="ListParagraph"/>
        <w:spacing w:line="360" w:lineRule="auto"/>
        <w:ind w:left="0"/>
        <w:jc w:val="both"/>
      </w:pPr>
      <w:r>
        <w:t>T</w:t>
      </w:r>
      <w:r w:rsidR="002A0790">
        <w:t xml:space="preserve">hus, the precedence of the explored aspects of this thesis, in descending order, </w:t>
      </w:r>
      <w:r w:rsidR="00350878">
        <w:t>was</w:t>
      </w:r>
      <w:r w:rsidR="002A0790">
        <w:t>:</w:t>
      </w:r>
    </w:p>
    <w:p w14:paraId="57C7C9EA" w14:textId="186B019A" w:rsidR="002A0790" w:rsidRDefault="00350878" w:rsidP="00C71CCD">
      <w:pPr>
        <w:spacing w:line="360" w:lineRule="auto"/>
        <w:jc w:val="both"/>
      </w:pPr>
      <w:r>
        <w:t>To</w:t>
      </w:r>
      <w:r w:rsidR="002A0790">
        <w:t xml:space="preserve"> explore the feasibility of creating dimensional stability against a vertical surface with a VTOL copter drone with either a magnetic perching mechanism</w:t>
      </w:r>
      <w:r>
        <w:t>.</w:t>
      </w:r>
    </w:p>
    <w:p w14:paraId="79907524" w14:textId="4E900098" w:rsidR="002A0790" w:rsidRDefault="002A0790" w:rsidP="00C71CCD">
      <w:pPr>
        <w:spacing w:line="360" w:lineRule="auto"/>
        <w:jc w:val="both"/>
      </w:pPr>
      <w:r>
        <w:t>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w:t>
      </w:r>
      <w:r w:rsidR="00350878">
        <w:t xml:space="preserve">anoeuvrability and flight time. </w:t>
      </w:r>
      <w:r w:rsidR="00350878" w:rsidRPr="001A2420">
        <w:rPr>
          <w:highlight w:val="yellow"/>
        </w:rPr>
        <w:t>This was done using a combination of simulation software and control algorithms.</w:t>
      </w:r>
    </w:p>
    <w:p w14:paraId="0D9740AB" w14:textId="5314D004" w:rsidR="002A0790" w:rsidRDefault="002861DF" w:rsidP="00C71CCD">
      <w:pPr>
        <w:pStyle w:val="Heading2"/>
        <w:spacing w:line="360" w:lineRule="auto"/>
        <w:jc w:val="both"/>
      </w:pPr>
      <w:bookmarkStart w:id="17" w:name="_Toc419110660"/>
      <w:r>
        <w:t xml:space="preserve">3.2 </w:t>
      </w:r>
      <w:r w:rsidR="002A0790">
        <w:t>Scope</w:t>
      </w:r>
      <w:bookmarkEnd w:id="17"/>
    </w:p>
    <w:p w14:paraId="7E989684" w14:textId="3043F5CA"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reason, the design </w:t>
      </w:r>
      <w:r w:rsidR="001A2420">
        <w:t>was</w:t>
      </w:r>
      <w:r>
        <w:t xml:space="preserve"> limited to </w:t>
      </w:r>
      <w:r w:rsidR="00350878">
        <w:t>the well-established thickness testing method</w:t>
      </w:r>
      <w:r>
        <w:t xml:space="preserve"> </w:t>
      </w:r>
      <w:r w:rsidR="00350878">
        <w:t>of a piezoelectric transducer implemented as a pulse-echo A-Scan module.</w:t>
      </w:r>
    </w:p>
    <w:p w14:paraId="497986D0" w14:textId="5D322680" w:rsidR="002A0790" w:rsidRDefault="002A0790" w:rsidP="00C71CCD">
      <w:pPr>
        <w:spacing w:line="360" w:lineRule="auto"/>
        <w:jc w:val="both"/>
      </w:pPr>
      <w:r>
        <w:t xml:space="preserve">The project </w:t>
      </w:r>
      <w:r w:rsidR="004D6976">
        <w:t xml:space="preserve">had intended to use a pre-existing copter design, however due to availability and budget issues, the multicopter facet of the project was limited to simulation, and only the assembly was physically </w:t>
      </w:r>
      <w:r w:rsidR="001A2420">
        <w:t>simulated</w:t>
      </w:r>
      <w:r w:rsidR="004D6976">
        <w:t>.</w:t>
      </w:r>
    </w:p>
    <w:p w14:paraId="5635BD5E" w14:textId="682CE846" w:rsidR="002A0790" w:rsidRDefault="002A0790" w:rsidP="00C71CCD">
      <w:pPr>
        <w:spacing w:line="360" w:lineRule="auto"/>
        <w:jc w:val="both"/>
      </w:pPr>
      <w:r>
        <w:t xml:space="preserve">The craft </w:t>
      </w:r>
      <w:r w:rsidR="004D6976">
        <w:t>was</w:t>
      </w:r>
      <w:r>
        <w:t xml:space="preserve"> limited in operation to testing the outside of the vessels using a pulse-echo testing method.</w:t>
      </w:r>
      <w:r w:rsidR="004D6976">
        <w:t xml:space="preserve"> In the physical </w:t>
      </w:r>
      <w:r w:rsidR="00587507">
        <w:t>hardware simulation</w:t>
      </w:r>
      <w:r w:rsidR="004D6976">
        <w:t xml:space="preserve"> of this project, this was simply represented as a flat plate of metal (holding the assumption that the vessel has a flat surface, </w:t>
      </w:r>
      <w:r w:rsidR="004D6976">
        <w:lastRenderedPageBreak/>
        <w:t>or one with a large enough radius to make it effectively flat).</w:t>
      </w:r>
      <w:r>
        <w:t xml:space="preserve"> It is possible that the sister project (Internal Inspection UAV) may facilitate </w:t>
      </w:r>
      <w:r w:rsidR="00BB2470">
        <w:t xml:space="preserve">NDE </w:t>
      </w:r>
      <w:r>
        <w:t xml:space="preserve">of insides of vessels at some point, but it </w:t>
      </w:r>
      <w:r w:rsidR="004D6976">
        <w:t>was</w:t>
      </w:r>
      <w:r>
        <w:t xml:space="preserve"> a concurrent </w:t>
      </w:r>
      <w:r w:rsidR="004D6976">
        <w:t>development,</w:t>
      </w:r>
      <w:r>
        <w:t xml:space="preserve"> so there </w:t>
      </w:r>
      <w:r w:rsidR="004D6976">
        <w:t>was</w:t>
      </w:r>
      <w:r>
        <w:t xml:space="preserve"> little room for integration.</w:t>
      </w:r>
    </w:p>
    <w:p w14:paraId="66AE96E3" w14:textId="4E7FEBC4"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r w:rsidR="00BB2470">
        <w:t xml:space="preserve"> This was not an issue, as there was no physical testing involving an actual aircraft.</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77777777" w:rsidR="00B8399A" w:rsidRDefault="00B8399A" w:rsidP="001F37AF">
      <w:pPr>
        <w:pStyle w:val="Heading1"/>
        <w:numPr>
          <w:ilvl w:val="0"/>
          <w:numId w:val="17"/>
        </w:numPr>
        <w:spacing w:line="360" w:lineRule="auto"/>
        <w:ind w:left="0" w:firstLine="0"/>
        <w:jc w:val="both"/>
      </w:pPr>
      <w:bookmarkStart w:id="18" w:name="_Toc419110666"/>
      <w:bookmarkStart w:id="19" w:name="_Toc419110661"/>
      <w:r>
        <w:lastRenderedPageBreak/>
        <w:t>Project Management Plan</w:t>
      </w:r>
      <w:bookmarkEnd w:id="18"/>
    </w:p>
    <w:p w14:paraId="651336FC" w14:textId="3BF190B9" w:rsidR="00B8399A" w:rsidRDefault="008C0D85" w:rsidP="00BB2470">
      <w:pPr>
        <w:pStyle w:val="Heading2"/>
        <w:spacing w:line="360" w:lineRule="auto"/>
        <w:jc w:val="both"/>
      </w:pPr>
      <w:bookmarkStart w:id="20" w:name="_Toc419110667"/>
      <w:r>
        <w:t>4</w:t>
      </w:r>
      <w:r w:rsidR="00B8399A">
        <w:t>.1 Timeline</w:t>
      </w:r>
      <w:bookmarkEnd w:id="20"/>
    </w:p>
    <w:p w14:paraId="2D3157B6" w14:textId="77777777" w:rsidR="00B8399A" w:rsidRDefault="00B8399A" w:rsidP="00B8399A">
      <w:pPr>
        <w:spacing w:line="360" w:lineRule="auto"/>
        <w:ind w:left="720"/>
        <w:jc w:val="both"/>
      </w:pPr>
    </w:p>
    <w:p w14:paraId="58FEA5C0" w14:textId="77777777" w:rsidR="00B8399A" w:rsidRDefault="00B8399A" w:rsidP="001A2420">
      <w:pPr>
        <w:pStyle w:val="ListParagraph"/>
        <w:numPr>
          <w:ilvl w:val="0"/>
          <w:numId w:val="12"/>
        </w:numPr>
        <w:spacing w:line="360" w:lineRule="auto"/>
        <w:ind w:left="426" w:hanging="426"/>
        <w:jc w:val="both"/>
      </w:pPr>
      <w:r>
        <w:t>Topic Selection and Background Research 24/2 – 2/3</w:t>
      </w:r>
    </w:p>
    <w:p w14:paraId="3C299F47" w14:textId="77777777" w:rsidR="00B8399A" w:rsidRDefault="00B8399A" w:rsidP="001A2420">
      <w:pPr>
        <w:pStyle w:val="ListParagraph"/>
        <w:numPr>
          <w:ilvl w:val="0"/>
          <w:numId w:val="12"/>
        </w:numPr>
        <w:spacing w:line="360" w:lineRule="auto"/>
        <w:ind w:left="426" w:hanging="426"/>
        <w:jc w:val="both"/>
      </w:pPr>
      <w:r>
        <w:t>Literature Review and Research Skills 2/3 – 24/4</w:t>
      </w:r>
    </w:p>
    <w:p w14:paraId="23D0292E" w14:textId="77777777" w:rsidR="00B8399A" w:rsidRDefault="00B8399A" w:rsidP="001A2420">
      <w:pPr>
        <w:pStyle w:val="ListParagraph"/>
        <w:numPr>
          <w:ilvl w:val="0"/>
          <w:numId w:val="12"/>
        </w:numPr>
        <w:spacing w:line="360" w:lineRule="auto"/>
        <w:ind w:left="426" w:hanging="426"/>
        <w:jc w:val="both"/>
      </w:pPr>
      <w:r>
        <w:t>Proposal Write up 6/4 – 7/5</w:t>
      </w:r>
    </w:p>
    <w:p w14:paraId="03C8A102" w14:textId="77777777" w:rsidR="00B8399A" w:rsidRDefault="00B8399A" w:rsidP="001A2420">
      <w:pPr>
        <w:pStyle w:val="ListParagraph"/>
        <w:numPr>
          <w:ilvl w:val="0"/>
          <w:numId w:val="12"/>
        </w:numPr>
        <w:spacing w:line="360" w:lineRule="auto"/>
        <w:ind w:left="426" w:hanging="426"/>
        <w:jc w:val="both"/>
      </w:pPr>
      <w:r>
        <w:t>Assessing Project Needs 11/5 – 5/6</w:t>
      </w:r>
    </w:p>
    <w:p w14:paraId="42D56E4B" w14:textId="77777777" w:rsidR="00B8399A" w:rsidRDefault="00B8399A" w:rsidP="001A2420">
      <w:pPr>
        <w:pStyle w:val="ListParagraph"/>
        <w:numPr>
          <w:ilvl w:val="0"/>
          <w:numId w:val="12"/>
        </w:numPr>
        <w:spacing w:line="360" w:lineRule="auto"/>
        <w:ind w:left="426" w:hanging="426"/>
        <w:jc w:val="both"/>
      </w:pPr>
      <w:r>
        <w:t>Design of Project And Success Metrics 6/6 – 7/8</w:t>
      </w:r>
    </w:p>
    <w:p w14:paraId="10F4FF4D" w14:textId="77777777" w:rsidR="00B8399A" w:rsidRDefault="00B8399A" w:rsidP="001A2420">
      <w:pPr>
        <w:pStyle w:val="ListParagraph"/>
        <w:numPr>
          <w:ilvl w:val="0"/>
          <w:numId w:val="12"/>
        </w:numPr>
        <w:spacing w:line="360" w:lineRule="auto"/>
        <w:ind w:left="426" w:hanging="426"/>
        <w:jc w:val="both"/>
      </w:pPr>
      <w:r>
        <w:t>Procurement and Testing, Final Report Drafting 8/8 – 28/8</w:t>
      </w:r>
    </w:p>
    <w:p w14:paraId="21F2EE76" w14:textId="77777777" w:rsidR="00B8399A" w:rsidRDefault="00B8399A" w:rsidP="001A2420">
      <w:pPr>
        <w:pStyle w:val="ListParagraph"/>
        <w:numPr>
          <w:ilvl w:val="0"/>
          <w:numId w:val="12"/>
        </w:numPr>
        <w:spacing w:line="360" w:lineRule="auto"/>
        <w:ind w:left="426" w:hanging="426"/>
        <w:jc w:val="both"/>
      </w:pPr>
      <w:r>
        <w:t>Result Evaluation, Final Report drafting 29/8 – 25/9</w:t>
      </w:r>
    </w:p>
    <w:p w14:paraId="7FB2F543" w14:textId="77777777" w:rsidR="00B8399A" w:rsidRDefault="00B8399A" w:rsidP="001A2420">
      <w:pPr>
        <w:pStyle w:val="ListParagraph"/>
        <w:numPr>
          <w:ilvl w:val="0"/>
          <w:numId w:val="12"/>
        </w:numPr>
        <w:spacing w:line="360" w:lineRule="auto"/>
        <w:ind w:left="426" w:hanging="426"/>
        <w:jc w:val="both"/>
      </w:pPr>
      <w:r>
        <w:t>Final Report draft , Seminar Abstract, And poster Submissions 9/10</w:t>
      </w:r>
    </w:p>
    <w:p w14:paraId="0F7807B9" w14:textId="77777777" w:rsidR="00B8399A" w:rsidRDefault="00B8399A" w:rsidP="001A2420">
      <w:pPr>
        <w:pStyle w:val="ListParagraph"/>
        <w:numPr>
          <w:ilvl w:val="0"/>
          <w:numId w:val="12"/>
        </w:numPr>
        <w:spacing w:line="360" w:lineRule="auto"/>
        <w:ind w:left="426" w:hanging="426"/>
        <w:jc w:val="both"/>
      </w:pPr>
      <w:r>
        <w:t>Seminar Presentation 12/10 – 16/10</w:t>
      </w:r>
    </w:p>
    <w:p w14:paraId="0ACD0BC4" w14:textId="77777777" w:rsidR="00B8399A" w:rsidRDefault="00B8399A" w:rsidP="001A2420">
      <w:pPr>
        <w:pStyle w:val="ListParagraph"/>
        <w:numPr>
          <w:ilvl w:val="0"/>
          <w:numId w:val="12"/>
        </w:numPr>
        <w:spacing w:line="360" w:lineRule="auto"/>
        <w:ind w:left="426" w:hanging="426"/>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44F3F92D" w14:textId="5B5447EE" w:rsidR="00BB2470" w:rsidRPr="00BB2470" w:rsidRDefault="002F7053" w:rsidP="00BB2470">
      <w:pPr>
        <w:pStyle w:val="Heading1"/>
        <w:numPr>
          <w:ilvl w:val="0"/>
          <w:numId w:val="17"/>
        </w:numPr>
        <w:spacing w:line="360" w:lineRule="auto"/>
        <w:ind w:left="0" w:firstLine="0"/>
        <w:jc w:val="both"/>
      </w:pPr>
      <w:r>
        <w:lastRenderedPageBreak/>
        <w:t>Methodology</w:t>
      </w:r>
      <w:bookmarkEnd w:id="19"/>
      <w:r w:rsidR="004A4F80">
        <w:t xml:space="preserve"> </w:t>
      </w:r>
    </w:p>
    <w:p w14:paraId="73A12104" w14:textId="328920D4" w:rsidR="000A2A46" w:rsidRDefault="00F24045" w:rsidP="00FB7E31">
      <w:pPr>
        <w:pStyle w:val="Heading2"/>
        <w:numPr>
          <w:ilvl w:val="1"/>
          <w:numId w:val="17"/>
        </w:numPr>
        <w:ind w:left="0" w:firstLine="0"/>
      </w:pPr>
      <w:bookmarkStart w:id="21" w:name="_Toc419110662"/>
      <w:r>
        <w:t xml:space="preserve">Design of </w:t>
      </w:r>
      <w:r w:rsidR="000A2A46">
        <w:t>Experiments</w:t>
      </w:r>
      <w:r w:rsidR="001A2420">
        <w:br/>
      </w:r>
    </w:p>
    <w:p w14:paraId="59C5A568" w14:textId="6DE41700" w:rsidR="00FB7E31" w:rsidRDefault="00FB7E31" w:rsidP="001A2420">
      <w:pPr>
        <w:pStyle w:val="Heading3"/>
        <w:numPr>
          <w:ilvl w:val="2"/>
          <w:numId w:val="17"/>
        </w:numPr>
        <w:ind w:left="0" w:firstLine="0"/>
      </w:pPr>
      <w:r>
        <w:t xml:space="preserve">Transducer Assembly </w:t>
      </w:r>
      <w:r w:rsidR="00587507">
        <w:t>Hardware Simulation</w:t>
      </w:r>
      <w:r w:rsidR="001A2420">
        <w:br/>
      </w:r>
    </w:p>
    <w:p w14:paraId="0E6770F5" w14:textId="77777777" w:rsidR="00FB7E31" w:rsidRDefault="00FB7E31" w:rsidP="00FB7E31">
      <w:r>
        <w:t>This experiment used:</w:t>
      </w:r>
    </w:p>
    <w:p w14:paraId="3165293E" w14:textId="18BD702A" w:rsidR="00FB7E31" w:rsidRDefault="00FB7E31" w:rsidP="00C32545">
      <w:pPr>
        <w:pStyle w:val="ListBullet"/>
        <w:numPr>
          <w:ilvl w:val="0"/>
          <w:numId w:val="28"/>
        </w:numPr>
      </w:pPr>
      <w:r>
        <w:t>A 3D printed assembly made of PLA</w:t>
      </w:r>
      <w:r w:rsidR="00F57095">
        <w:t>(3 pieces)</w:t>
      </w:r>
    </w:p>
    <w:p w14:paraId="10EBF8E2" w14:textId="77777777" w:rsidR="00FB7E31" w:rsidRDefault="00FB7E31" w:rsidP="00C32545">
      <w:pPr>
        <w:pStyle w:val="ListBullet"/>
        <w:numPr>
          <w:ilvl w:val="0"/>
          <w:numId w:val="28"/>
        </w:numPr>
      </w:pPr>
      <w:r>
        <w:t>Two steel plates(</w:t>
      </w:r>
      <w:r w:rsidRPr="00B46797">
        <w:rPr>
          <w:highlight w:val="yellow"/>
        </w:rPr>
        <w:t>of thicknesses ~1.5mm and ~7mm</w:t>
      </w:r>
      <w:r>
        <w:t>) to simulate a wall the assembly would perch/fasten to</w:t>
      </w:r>
    </w:p>
    <w:p w14:paraId="47B7A2E9" w14:textId="4351F9AA" w:rsidR="00FB7E31" w:rsidRDefault="00FB7E31" w:rsidP="00C32545">
      <w:pPr>
        <w:pStyle w:val="ListBullet"/>
        <w:numPr>
          <w:ilvl w:val="0"/>
          <w:numId w:val="28"/>
        </w:numPr>
      </w:pPr>
      <w:r>
        <w:t xml:space="preserve">2 vibration motors in order to </w:t>
      </w:r>
      <w:r w:rsidR="001A2420">
        <w:t>simulate</w:t>
      </w:r>
      <w:r>
        <w:t xml:space="preserve"> vibrations that a </w:t>
      </w:r>
      <w:proofErr w:type="spellStart"/>
      <w:r>
        <w:t>uav</w:t>
      </w:r>
      <w:proofErr w:type="spellEnd"/>
      <w:r>
        <w:t xml:space="preserve"> might introduce</w:t>
      </w:r>
    </w:p>
    <w:p w14:paraId="6AF18FF2" w14:textId="77777777" w:rsidR="00FB7E31" w:rsidRDefault="00FB7E31" w:rsidP="00C32545">
      <w:pPr>
        <w:pStyle w:val="ListBullet"/>
        <w:numPr>
          <w:ilvl w:val="0"/>
          <w:numId w:val="28"/>
        </w:numPr>
      </w:pPr>
      <w:r>
        <w:t>3 50N lifting electromagnets</w:t>
      </w:r>
    </w:p>
    <w:p w14:paraId="03920FCD" w14:textId="5A1FEA68" w:rsidR="00FB7E31" w:rsidRDefault="00F57095" w:rsidP="00C32545">
      <w:pPr>
        <w:pStyle w:val="ListBullet"/>
        <w:numPr>
          <w:ilvl w:val="0"/>
          <w:numId w:val="28"/>
        </w:numPr>
      </w:pPr>
      <w:r>
        <w:t>A Benetech GM-100 5MHz Digital Ultrasonic Thickness Gauge</w:t>
      </w:r>
    </w:p>
    <w:p w14:paraId="502C25CF" w14:textId="515C72B1" w:rsidR="00FB7E31" w:rsidRDefault="00FB7E31" w:rsidP="00C32545">
      <w:pPr>
        <w:pStyle w:val="ListBullet"/>
        <w:numPr>
          <w:ilvl w:val="0"/>
          <w:numId w:val="28"/>
        </w:numPr>
      </w:pPr>
      <w:r>
        <w:t xml:space="preserve">M20 Hex nuts to </w:t>
      </w:r>
      <w:r w:rsidR="001A2420">
        <w:t>simulate</w:t>
      </w:r>
      <w:r>
        <w:t xml:space="preserve"> the weight of the UAV</w:t>
      </w:r>
    </w:p>
    <w:p w14:paraId="48B34972" w14:textId="7FD87ED3" w:rsidR="00FB7E31" w:rsidRDefault="00FB7E31" w:rsidP="00C32545">
      <w:pPr>
        <w:pStyle w:val="ListBullet"/>
        <w:numPr>
          <w:ilvl w:val="0"/>
          <w:numId w:val="28"/>
        </w:numPr>
      </w:pPr>
      <w:r>
        <w:t xml:space="preserve">M20x300mm bolt to </w:t>
      </w:r>
      <w:r w:rsidR="001A2420">
        <w:t>simulate</w:t>
      </w:r>
      <w:r>
        <w:t xml:space="preserve"> the weight of the UAV</w:t>
      </w:r>
    </w:p>
    <w:p w14:paraId="21156CB0" w14:textId="77777777" w:rsidR="00FB7E31" w:rsidRDefault="00FB7E31" w:rsidP="00C32545">
      <w:pPr>
        <w:pStyle w:val="ListBullet"/>
        <w:numPr>
          <w:ilvl w:val="0"/>
          <w:numId w:val="28"/>
        </w:numPr>
      </w:pPr>
      <w:r>
        <w:t>An Arduino Mega2560 to control the electronic components via UART</w:t>
      </w:r>
    </w:p>
    <w:p w14:paraId="4DF76059" w14:textId="77777777" w:rsidR="00FB7E31" w:rsidRDefault="00FB7E31" w:rsidP="00C32545">
      <w:pPr>
        <w:pStyle w:val="ListBullet"/>
        <w:numPr>
          <w:ilvl w:val="0"/>
          <w:numId w:val="28"/>
        </w:numPr>
      </w:pPr>
      <w:r>
        <w:t>5 logic level N-channel MOSFETS to switch the electronic components</w:t>
      </w:r>
    </w:p>
    <w:p w14:paraId="263809F4" w14:textId="77777777" w:rsidR="00FB7E31" w:rsidRDefault="00FB7E31" w:rsidP="00C32545">
      <w:pPr>
        <w:pStyle w:val="ListBullet"/>
        <w:numPr>
          <w:ilvl w:val="0"/>
          <w:numId w:val="28"/>
        </w:numPr>
      </w:pPr>
      <w:r>
        <w:t>A Standard ATX computer power supply to power the electrical components</w:t>
      </w:r>
    </w:p>
    <w:p w14:paraId="4EE2A464" w14:textId="77777777" w:rsidR="00FB7E31" w:rsidRDefault="00FB7E31" w:rsidP="00C32545">
      <w:pPr>
        <w:pStyle w:val="ListBullet"/>
        <w:numPr>
          <w:ilvl w:val="0"/>
          <w:numId w:val="28"/>
        </w:numPr>
      </w:pPr>
      <w:r>
        <w:t>A computer running PuTTY to interface with the Arduino Mega2560 over UART</w:t>
      </w:r>
    </w:p>
    <w:p w14:paraId="63CB914C" w14:textId="6379A5CE" w:rsidR="004A2356" w:rsidRDefault="004A2356" w:rsidP="00C32545">
      <w:pPr>
        <w:pStyle w:val="ListBullet"/>
        <w:numPr>
          <w:ilvl w:val="0"/>
          <w:numId w:val="28"/>
        </w:numPr>
      </w:pPr>
      <w:r>
        <w:t>Wood screws to hold the 3D printed pieces together</w:t>
      </w:r>
    </w:p>
    <w:p w14:paraId="67C9667E" w14:textId="77777777" w:rsidR="00FB7E31" w:rsidRDefault="00FB7E31" w:rsidP="00FB7E31">
      <w:pPr>
        <w:pStyle w:val="ListBullet"/>
        <w:numPr>
          <w:ilvl w:val="0"/>
          <w:numId w:val="0"/>
        </w:numPr>
        <w:ind w:left="360" w:hanging="360"/>
      </w:pPr>
    </w:p>
    <w:p w14:paraId="65F98968" w14:textId="3CB36E7C" w:rsidR="00F57095" w:rsidRDefault="00F57095" w:rsidP="00F57095">
      <w:pPr>
        <w:pStyle w:val="ListBullet"/>
        <w:numPr>
          <w:ilvl w:val="0"/>
          <w:numId w:val="0"/>
        </w:numPr>
      </w:pPr>
      <w:r>
        <w:t xml:space="preserve">The 3D models were designed and rendered in OpenSCAD, and printed by Brendan Calvert. There was some </w:t>
      </w:r>
      <w:r w:rsidR="00C32545">
        <w:t>dimensional</w:t>
      </w:r>
      <w:r>
        <w:t xml:space="preserve"> contraction apparent, due to the nature of 3D printing, so these issues were rectified with </w:t>
      </w:r>
      <w:r w:rsidR="00A21943">
        <w:t xml:space="preserve">hand </w:t>
      </w:r>
      <w:r>
        <w:t>tools</w:t>
      </w:r>
      <w:r w:rsidR="00C32545">
        <w:t xml:space="preserve">, so that the electrical </w:t>
      </w:r>
      <w:proofErr w:type="gramStart"/>
      <w:r w:rsidR="00C32545">
        <w:t>parts(</w:t>
      </w:r>
      <w:proofErr w:type="gramEnd"/>
      <w:r w:rsidR="00C32545">
        <w:t>3,4,5) would fit snugly into the assembly</w:t>
      </w:r>
      <w:r>
        <w:t xml:space="preserve">. </w:t>
      </w:r>
      <w:r w:rsidR="00C32545">
        <w:t xml:space="preserve">The </w:t>
      </w:r>
      <w:r w:rsidR="00A21943">
        <w:t xml:space="preserve">3 3D printed parts were fastened with woodscrews, and the weights were hung off of the assembly at a distance of </w:t>
      </w:r>
      <w:r w:rsidR="00A21943" w:rsidRPr="00A21943">
        <w:rPr>
          <w:highlight w:val="yellow"/>
        </w:rPr>
        <w:t>__mm</w:t>
      </w:r>
      <w:r w:rsidR="00A21943">
        <w:t xml:space="preserve"> from the surface of the steel plate. The electrical parts were attached into a breadboard attached to the </w:t>
      </w:r>
      <w:r w:rsidR="00720600">
        <w:t xml:space="preserve">Mega2560, loaded with the code shown in </w:t>
      </w:r>
      <w:r w:rsidR="00720600" w:rsidRPr="00720600">
        <w:rPr>
          <w:highlight w:val="yellow"/>
        </w:rPr>
        <w:t>abstract _____</w:t>
      </w:r>
      <w:r w:rsidR="00720600">
        <w:t xml:space="preserve">. This assembly was attached to the steel plates, where it was tested for </w:t>
      </w:r>
    </w:p>
    <w:p w14:paraId="77F562FD" w14:textId="2DCBA9E4" w:rsidR="00FB7E31" w:rsidRDefault="00720600" w:rsidP="00720600">
      <w:pPr>
        <w:pStyle w:val="ListBullet"/>
        <w:numPr>
          <w:ilvl w:val="0"/>
          <w:numId w:val="29"/>
        </w:numPr>
        <w:ind w:left="426" w:hanging="426"/>
      </w:pPr>
      <w:r>
        <w:t>Its ability to adhere to the surface(Binary test)</w:t>
      </w:r>
    </w:p>
    <w:p w14:paraId="5E4590AA" w14:textId="05C4E773" w:rsidR="00720600" w:rsidRDefault="00720600" w:rsidP="00720600">
      <w:pPr>
        <w:pStyle w:val="ListBullet"/>
        <w:numPr>
          <w:ilvl w:val="0"/>
          <w:numId w:val="29"/>
        </w:numPr>
        <w:ind w:left="426" w:hanging="426"/>
      </w:pPr>
      <w:r>
        <w:t>Its ability to successfully couple the transducer to the surface(Binary test)</w:t>
      </w:r>
    </w:p>
    <w:p w14:paraId="67AB78A4" w14:textId="51A4B973" w:rsidR="00720600" w:rsidRDefault="00720600" w:rsidP="00720600">
      <w:pPr>
        <w:pStyle w:val="ListBullet"/>
        <w:numPr>
          <w:ilvl w:val="0"/>
          <w:numId w:val="29"/>
        </w:numPr>
        <w:ind w:left="426" w:hanging="426"/>
      </w:pPr>
      <w:r>
        <w:t>The recorded thickness(error test)</w:t>
      </w:r>
    </w:p>
    <w:p w14:paraId="2AF7B71D" w14:textId="12A510F3" w:rsidR="00720600" w:rsidRDefault="00720600" w:rsidP="00720600">
      <w:pPr>
        <w:pStyle w:val="ListBullet"/>
        <w:numPr>
          <w:ilvl w:val="0"/>
          <w:numId w:val="0"/>
        </w:numPr>
      </w:pPr>
      <w:r>
        <w:t>Against</w:t>
      </w:r>
    </w:p>
    <w:p w14:paraId="5B9933AB" w14:textId="4277D394" w:rsidR="00EF473E" w:rsidRDefault="00EF473E" w:rsidP="00720600">
      <w:pPr>
        <w:pStyle w:val="ListBullet"/>
        <w:numPr>
          <w:ilvl w:val="0"/>
          <w:numId w:val="0"/>
        </w:numPr>
      </w:pPr>
      <w:r>
        <w:t>1.</w:t>
      </w:r>
      <w:r w:rsidR="00720600">
        <w:t xml:space="preserve"> Varied weight applied to the </w:t>
      </w:r>
      <w:r>
        <w:t>assembly</w:t>
      </w:r>
    </w:p>
    <w:p w14:paraId="429B7D52" w14:textId="3B2E1FBA" w:rsidR="00EF473E" w:rsidRDefault="00EF473E" w:rsidP="00720600">
      <w:pPr>
        <w:pStyle w:val="ListBullet"/>
        <w:numPr>
          <w:ilvl w:val="0"/>
          <w:numId w:val="0"/>
        </w:numPr>
      </w:pPr>
      <w:r>
        <w:t>2. Varied Vibration intensity applied to the assembly</w:t>
      </w:r>
    </w:p>
    <w:p w14:paraId="4EC0A507" w14:textId="77777777" w:rsidR="00B36CE5" w:rsidRDefault="00B36CE5" w:rsidP="00720600">
      <w:pPr>
        <w:pStyle w:val="ListBullet"/>
        <w:numPr>
          <w:ilvl w:val="0"/>
          <w:numId w:val="0"/>
        </w:numPr>
      </w:pPr>
    </w:p>
    <w:p w14:paraId="0CAF1D9F" w14:textId="4751030B" w:rsidR="00B36CE5" w:rsidRDefault="00B36CE5" w:rsidP="00720600">
      <w:pPr>
        <w:pStyle w:val="ListBullet"/>
        <w:numPr>
          <w:ilvl w:val="0"/>
          <w:numId w:val="0"/>
        </w:numPr>
      </w:pPr>
      <w:r w:rsidRPr="00B36CE5">
        <w:rPr>
          <w:highlight w:val="yellow"/>
        </w:rPr>
        <w:t>The weight is applied in intervals of ____grams up to _______, and the vibration was incremented in intervals of ______ up to ______</w:t>
      </w:r>
      <w:r>
        <w:t>.</w:t>
      </w:r>
    </w:p>
    <w:p w14:paraId="7CAAEA66" w14:textId="77777777" w:rsidR="00B36CE5" w:rsidRDefault="00B36CE5" w:rsidP="00720600">
      <w:pPr>
        <w:pStyle w:val="ListBullet"/>
        <w:numPr>
          <w:ilvl w:val="0"/>
          <w:numId w:val="0"/>
        </w:numPr>
      </w:pPr>
    </w:p>
    <w:p w14:paraId="43EF5659" w14:textId="4F370E8C" w:rsidR="00B36CE5" w:rsidRDefault="004E0316" w:rsidP="00720600">
      <w:pPr>
        <w:pStyle w:val="ListBullet"/>
        <w:numPr>
          <w:ilvl w:val="0"/>
          <w:numId w:val="0"/>
        </w:numPr>
      </w:pPr>
      <w:r>
        <w:t xml:space="preserve">The thickness and coupling information can be recorded from the GM100 module. The top-left symbol represents a successful coupling, </w:t>
      </w:r>
      <w:r w:rsidRPr="00C1074A">
        <w:rPr>
          <w:highlight w:val="yellow"/>
        </w:rPr>
        <w:t>and the thickness is displayed in mm, shown:</w:t>
      </w:r>
    </w:p>
    <w:p w14:paraId="106A0B10" w14:textId="77777777" w:rsidR="004E0316" w:rsidRDefault="004E0316" w:rsidP="00720600">
      <w:pPr>
        <w:pStyle w:val="ListBullet"/>
        <w:numPr>
          <w:ilvl w:val="0"/>
          <w:numId w:val="0"/>
        </w:numPr>
      </w:pPr>
    </w:p>
    <w:p w14:paraId="0E35F15F" w14:textId="07403CD5" w:rsidR="004E0316" w:rsidRDefault="00C1074A" w:rsidP="00720600">
      <w:pPr>
        <w:pStyle w:val="ListBullet"/>
        <w:numPr>
          <w:ilvl w:val="0"/>
          <w:numId w:val="0"/>
        </w:numPr>
      </w:pPr>
      <w:r w:rsidRPr="00C1074A">
        <w:rPr>
          <w:highlight w:val="yellow"/>
        </w:rPr>
        <w:t>The overall design setup, shown:</w:t>
      </w:r>
    </w:p>
    <w:p w14:paraId="0A6607A7" w14:textId="77777777" w:rsidR="00C1074A" w:rsidRDefault="00C1074A" w:rsidP="00720600">
      <w:pPr>
        <w:pStyle w:val="ListBullet"/>
        <w:numPr>
          <w:ilvl w:val="0"/>
          <w:numId w:val="0"/>
        </w:numPr>
      </w:pPr>
    </w:p>
    <w:p w14:paraId="466A5C78" w14:textId="77777777" w:rsidR="00C1074A" w:rsidRDefault="00C1074A" w:rsidP="00720600">
      <w:pPr>
        <w:pStyle w:val="ListBullet"/>
        <w:numPr>
          <w:ilvl w:val="0"/>
          <w:numId w:val="0"/>
        </w:numPr>
      </w:pPr>
    </w:p>
    <w:p w14:paraId="796A3E0F" w14:textId="2CD30412" w:rsidR="00C1074A" w:rsidRDefault="00C1074A" w:rsidP="00720600">
      <w:pPr>
        <w:pStyle w:val="ListBullet"/>
        <w:numPr>
          <w:ilvl w:val="0"/>
          <w:numId w:val="0"/>
        </w:numPr>
      </w:pPr>
      <w:r w:rsidRPr="00C1074A">
        <w:rPr>
          <w:highlight w:val="yellow"/>
        </w:rPr>
        <w:t>Models</w:t>
      </w:r>
      <w:r>
        <w:rPr>
          <w:highlight w:val="yellow"/>
        </w:rPr>
        <w:t xml:space="preserve"> and photos</w:t>
      </w:r>
      <w:r w:rsidRPr="00C1074A">
        <w:rPr>
          <w:highlight w:val="yellow"/>
        </w:rPr>
        <w:t xml:space="preserve"> of the components of this experiment can be found in abstracts(s) _______</w:t>
      </w:r>
    </w:p>
    <w:p w14:paraId="09EE9A5C" w14:textId="77777777" w:rsidR="00B36CE5" w:rsidRDefault="00B36CE5" w:rsidP="00720600">
      <w:pPr>
        <w:pStyle w:val="ListBullet"/>
        <w:numPr>
          <w:ilvl w:val="0"/>
          <w:numId w:val="0"/>
        </w:numPr>
      </w:pPr>
    </w:p>
    <w:p w14:paraId="3E1C69C2" w14:textId="571A1E1E" w:rsidR="00B36CE5" w:rsidRDefault="00B36CE5" w:rsidP="00720600">
      <w:pPr>
        <w:pStyle w:val="ListBullet"/>
        <w:numPr>
          <w:ilvl w:val="0"/>
          <w:numId w:val="0"/>
        </w:numPr>
      </w:pPr>
      <w:r w:rsidRPr="00C1074A">
        <w:rPr>
          <w:highlight w:val="yellow"/>
        </w:rPr>
        <w:t>For some of the experiments,</w:t>
      </w:r>
      <w:r w:rsidR="00C1074A" w:rsidRPr="00C1074A">
        <w:rPr>
          <w:highlight w:val="yellow"/>
        </w:rPr>
        <w:t xml:space="preserve"> changes had to be made due to the </w:t>
      </w:r>
      <w:proofErr w:type="spellStart"/>
      <w:r w:rsidR="00C1074A" w:rsidRPr="00C1074A">
        <w:rPr>
          <w:highlight w:val="yellow"/>
        </w:rPr>
        <w:t>chinesium</w:t>
      </w:r>
      <w:proofErr w:type="spellEnd"/>
      <w:r w:rsidR="00C1074A" w:rsidRPr="00C1074A">
        <w:rPr>
          <w:highlight w:val="yellow"/>
        </w:rPr>
        <w:t xml:space="preserve"> incorporated in some of the experiments</w:t>
      </w:r>
      <w:r w:rsidR="00587507">
        <w:t>.</w:t>
      </w:r>
    </w:p>
    <w:p w14:paraId="1BE38C82" w14:textId="77777777" w:rsidR="00FB7E31" w:rsidRPr="00FB7E31" w:rsidRDefault="00FB7E31" w:rsidP="00FB7E31"/>
    <w:p w14:paraId="170BDD0D" w14:textId="2F866648" w:rsidR="00FB7E31" w:rsidRDefault="00C1074A" w:rsidP="00F57095">
      <w:pPr>
        <w:pStyle w:val="Heading3"/>
        <w:numPr>
          <w:ilvl w:val="2"/>
          <w:numId w:val="17"/>
        </w:numPr>
        <w:ind w:left="0" w:firstLine="0"/>
      </w:pPr>
      <w:r>
        <w:t xml:space="preserve">Quadrotor </w:t>
      </w:r>
      <w:r w:rsidR="001A2420">
        <w:t xml:space="preserve">Software </w:t>
      </w:r>
      <w:r>
        <w:t>Simulation</w:t>
      </w:r>
    </w:p>
    <w:p w14:paraId="200255D1" w14:textId="3686175C" w:rsidR="00587507" w:rsidRPr="00587507" w:rsidRDefault="00587507" w:rsidP="00587507">
      <w:r>
        <w:t>For the quadrotor side of the project, a software simulation was chosen due to budget (costs of and risks to UAV(s)/equipment</w:t>
      </w:r>
      <w:r w:rsidR="005A3887">
        <w:t>)</w:t>
      </w:r>
      <w:r>
        <w:t xml:space="preserve">. The intention of this part of the </w:t>
      </w:r>
      <w:r w:rsidR="005A3887">
        <w:t xml:space="preserve">project was to gauge the effect </w:t>
      </w:r>
      <w:r w:rsidR="00CD54F8">
        <w:t>of</w:t>
      </w:r>
      <w:r w:rsidR="00BF5A50">
        <w:t xml:space="preserve"> mounting the transducer assembly on the dynamics of the </w:t>
      </w:r>
      <w:bookmarkStart w:id="22" w:name="_GoBack"/>
      <w:bookmarkEnd w:id="22"/>
    </w:p>
    <w:p w14:paraId="3827A4BD" w14:textId="77777777" w:rsidR="00C1074A" w:rsidRPr="00C1074A" w:rsidRDefault="00C1074A" w:rsidP="00C1074A"/>
    <w:p w14:paraId="48174362" w14:textId="4A268B28" w:rsidR="00F24045" w:rsidRPr="00F24045" w:rsidRDefault="00F24045" w:rsidP="00FB7E31">
      <w:pPr>
        <w:pStyle w:val="Heading2"/>
        <w:numPr>
          <w:ilvl w:val="1"/>
          <w:numId w:val="17"/>
        </w:numPr>
        <w:ind w:left="0" w:firstLine="0"/>
      </w:pPr>
      <w:r>
        <w:t>Design of Metrics</w:t>
      </w:r>
      <w:r w:rsidR="00AD3F7D">
        <w:t xml:space="preserve"> and Regression Analysis</w:t>
      </w:r>
    </w:p>
    <w:p w14:paraId="09D62616" w14:textId="77903331" w:rsidR="00F24045" w:rsidRPr="00F24045" w:rsidRDefault="00F24045" w:rsidP="001A2420">
      <w:pPr>
        <w:pStyle w:val="ListParagraph"/>
        <w:ind w:left="0"/>
      </w:pPr>
    </w:p>
    <w:p w14:paraId="1101B700" w14:textId="77777777" w:rsidR="00F24045" w:rsidRPr="00F24045" w:rsidRDefault="00F24045" w:rsidP="00F24045"/>
    <w:bookmarkEnd w:id="21"/>
    <w:p w14:paraId="145B8041" w14:textId="0D6EBD6E" w:rsidR="005543CB" w:rsidRDefault="006454AA" w:rsidP="006454AA">
      <w:pPr>
        <w:pStyle w:val="Heading2"/>
      </w:pPr>
      <w:r>
        <w:t xml:space="preserve">3.3 </w:t>
      </w:r>
      <w:r w:rsidR="00AD3F7D">
        <w:t>Project Cost</w:t>
      </w:r>
    </w:p>
    <w:p w14:paraId="4B53753D" w14:textId="77777777" w:rsidR="00AD3F7D" w:rsidRPr="00AD3F7D" w:rsidRDefault="00AD3F7D" w:rsidP="00AD3F7D">
      <w:r>
        <w:tab/>
      </w:r>
    </w:p>
    <w:tbl>
      <w:tblPr>
        <w:tblStyle w:val="TableGrid"/>
        <w:tblW w:w="0" w:type="auto"/>
        <w:tblLook w:val="04A0" w:firstRow="1" w:lastRow="0" w:firstColumn="1" w:lastColumn="0" w:noHBand="0" w:noVBand="1"/>
      </w:tblPr>
      <w:tblGrid>
        <w:gridCol w:w="4094"/>
        <w:gridCol w:w="4094"/>
      </w:tblGrid>
      <w:tr w:rsidR="00AD3F7D" w14:paraId="1973E642" w14:textId="77777777" w:rsidTr="00AD3F7D">
        <w:tc>
          <w:tcPr>
            <w:tcW w:w="4094" w:type="dxa"/>
          </w:tcPr>
          <w:p w14:paraId="55AB89A2" w14:textId="17C6A9D4" w:rsidR="00AD3F7D" w:rsidRDefault="00AD3F7D" w:rsidP="00AD3F7D">
            <w:pPr>
              <w:tabs>
                <w:tab w:val="center" w:pos="1939"/>
              </w:tabs>
              <w:jc w:val="center"/>
            </w:pPr>
            <w:r>
              <w:t>Item</w:t>
            </w:r>
          </w:p>
        </w:tc>
        <w:tc>
          <w:tcPr>
            <w:tcW w:w="4094" w:type="dxa"/>
          </w:tcPr>
          <w:p w14:paraId="30CBE744" w14:textId="03866808" w:rsidR="00AD3F7D" w:rsidRDefault="00AD3F7D" w:rsidP="00AD3F7D">
            <w:pPr>
              <w:jc w:val="center"/>
            </w:pPr>
            <w:r>
              <w:t>Cost</w:t>
            </w:r>
          </w:p>
        </w:tc>
      </w:tr>
      <w:tr w:rsidR="00AD3F7D" w14:paraId="3206B5F4" w14:textId="77777777" w:rsidTr="00AD3F7D">
        <w:tc>
          <w:tcPr>
            <w:tcW w:w="4094" w:type="dxa"/>
          </w:tcPr>
          <w:p w14:paraId="0E55418E" w14:textId="6A9311C5" w:rsidR="00AD3F7D" w:rsidRDefault="00AD3F7D" w:rsidP="00AD3F7D">
            <w:r>
              <w:t>GM100 Thickness Gauge</w:t>
            </w:r>
          </w:p>
        </w:tc>
        <w:tc>
          <w:tcPr>
            <w:tcW w:w="4094" w:type="dxa"/>
          </w:tcPr>
          <w:p w14:paraId="77C09450" w14:textId="45B03854" w:rsidR="00AD3F7D" w:rsidRDefault="00AD3F7D" w:rsidP="00AD3F7D">
            <w:r>
              <w:t>$116.90</w:t>
            </w:r>
          </w:p>
        </w:tc>
      </w:tr>
      <w:tr w:rsidR="00AD3F7D" w14:paraId="2054D350" w14:textId="77777777" w:rsidTr="00AD3F7D">
        <w:tc>
          <w:tcPr>
            <w:tcW w:w="4094" w:type="dxa"/>
          </w:tcPr>
          <w:p w14:paraId="467F12E7" w14:textId="271DAAAE" w:rsidR="00AD3F7D" w:rsidRDefault="00AD3F7D" w:rsidP="00AD3F7D">
            <w:r>
              <w:t>3 x Electromagnets</w:t>
            </w:r>
          </w:p>
        </w:tc>
        <w:tc>
          <w:tcPr>
            <w:tcW w:w="4094" w:type="dxa"/>
          </w:tcPr>
          <w:p w14:paraId="140509C7" w14:textId="5397D220" w:rsidR="00AD3F7D" w:rsidRDefault="00AD3F7D" w:rsidP="00AD3F7D">
            <w:r>
              <w:t>$22.14</w:t>
            </w:r>
          </w:p>
        </w:tc>
      </w:tr>
      <w:tr w:rsidR="00AD3F7D" w14:paraId="0A99D0A4" w14:textId="77777777" w:rsidTr="00AD3F7D">
        <w:tc>
          <w:tcPr>
            <w:tcW w:w="4094" w:type="dxa"/>
          </w:tcPr>
          <w:p w14:paraId="713B6A7E" w14:textId="38298F35" w:rsidR="00AD3F7D" w:rsidRDefault="00AD3F7D" w:rsidP="00AD3F7D">
            <w:r>
              <w:t>2 x Vibration Motors</w:t>
            </w:r>
          </w:p>
        </w:tc>
        <w:tc>
          <w:tcPr>
            <w:tcW w:w="4094" w:type="dxa"/>
          </w:tcPr>
          <w:p w14:paraId="0F715A17" w14:textId="146DCE80" w:rsidR="00AD3F7D" w:rsidRDefault="00AD3F7D" w:rsidP="00AD3F7D">
            <w:r>
              <w:t>$12.92</w:t>
            </w:r>
          </w:p>
        </w:tc>
      </w:tr>
      <w:tr w:rsidR="00AD3F7D" w14:paraId="5FBDC74B" w14:textId="77777777" w:rsidTr="00AD3F7D">
        <w:tc>
          <w:tcPr>
            <w:tcW w:w="4094" w:type="dxa"/>
          </w:tcPr>
          <w:p w14:paraId="49E5E477" w14:textId="2D67AE5C" w:rsidR="00AD3F7D" w:rsidRDefault="00AD3F7D" w:rsidP="00AD3F7D">
            <w:r>
              <w:t>Arduino Mega2560</w:t>
            </w:r>
          </w:p>
        </w:tc>
        <w:tc>
          <w:tcPr>
            <w:tcW w:w="4094" w:type="dxa"/>
          </w:tcPr>
          <w:p w14:paraId="137A8E9D" w14:textId="0264F65D" w:rsidR="00AD3F7D" w:rsidRDefault="00AD3F7D" w:rsidP="00AD3F7D">
            <w:r>
              <w:t>$20.20</w:t>
            </w:r>
          </w:p>
        </w:tc>
      </w:tr>
      <w:tr w:rsidR="00AD3F7D" w14:paraId="6A171D37" w14:textId="77777777" w:rsidTr="00AD3F7D">
        <w:tc>
          <w:tcPr>
            <w:tcW w:w="4094" w:type="dxa"/>
          </w:tcPr>
          <w:p w14:paraId="0E93732C" w14:textId="520E94EC" w:rsidR="00AD3F7D" w:rsidRDefault="00AD3F7D" w:rsidP="006454AA">
            <w:r>
              <w:t>PLA filament</w:t>
            </w:r>
            <w:r w:rsidR="006454AA">
              <w:t xml:space="preserve"> – approx.15</w:t>
            </w:r>
            <w:r w:rsidR="001A2420">
              <w:t>0</w:t>
            </w:r>
            <w:r w:rsidR="006454AA">
              <w:t>g</w:t>
            </w:r>
          </w:p>
        </w:tc>
        <w:tc>
          <w:tcPr>
            <w:tcW w:w="4094" w:type="dxa"/>
          </w:tcPr>
          <w:p w14:paraId="49B61A2D" w14:textId="15095EE9" w:rsidR="00AD3F7D" w:rsidRDefault="006454AA" w:rsidP="001A2420">
            <w:r>
              <w:t>$4.</w:t>
            </w:r>
            <w:r w:rsidR="001A2420">
              <w:t>35</w:t>
            </w:r>
          </w:p>
        </w:tc>
      </w:tr>
      <w:tr w:rsidR="00AD3F7D" w14:paraId="53DD820A" w14:textId="77777777" w:rsidTr="00AD3F7D">
        <w:tc>
          <w:tcPr>
            <w:tcW w:w="4094" w:type="dxa"/>
          </w:tcPr>
          <w:p w14:paraId="13C8C443" w14:textId="5FBCCA95" w:rsidR="00AD3F7D" w:rsidRDefault="00AD3F7D" w:rsidP="00AD3F7D">
            <w:r>
              <w:t>10 x MOSFETS</w:t>
            </w:r>
          </w:p>
        </w:tc>
        <w:tc>
          <w:tcPr>
            <w:tcW w:w="4094" w:type="dxa"/>
          </w:tcPr>
          <w:p w14:paraId="181E0CCB" w14:textId="013FD39B" w:rsidR="00AD3F7D" w:rsidRDefault="00AD3F7D" w:rsidP="00AD3F7D">
            <w:r>
              <w:t>$5.89</w:t>
            </w:r>
          </w:p>
        </w:tc>
      </w:tr>
      <w:tr w:rsidR="00AD3F7D" w14:paraId="69E0AE2A" w14:textId="77777777" w:rsidTr="00AD3F7D">
        <w:tc>
          <w:tcPr>
            <w:tcW w:w="4094" w:type="dxa"/>
          </w:tcPr>
          <w:p w14:paraId="73D29F9B" w14:textId="64FBE81D" w:rsidR="00AD3F7D" w:rsidRDefault="00AD3F7D" w:rsidP="00AD3F7D">
            <w:r>
              <w:t>20 x M20 Nuts – Simulated Weights</w:t>
            </w:r>
          </w:p>
        </w:tc>
        <w:tc>
          <w:tcPr>
            <w:tcW w:w="4094" w:type="dxa"/>
          </w:tcPr>
          <w:p w14:paraId="724205AD" w14:textId="26D2D4F0" w:rsidR="00AD3F7D" w:rsidRDefault="00AD3F7D" w:rsidP="00AD3F7D">
            <w:r>
              <w:t>$19.50</w:t>
            </w:r>
          </w:p>
        </w:tc>
      </w:tr>
      <w:tr w:rsidR="00AD3F7D" w14:paraId="18736ADE" w14:textId="77777777" w:rsidTr="00AD3F7D">
        <w:tc>
          <w:tcPr>
            <w:tcW w:w="4094" w:type="dxa"/>
          </w:tcPr>
          <w:p w14:paraId="6EE12AE4" w14:textId="694405D2" w:rsidR="00AD3F7D" w:rsidRDefault="00AD3F7D" w:rsidP="00AD3F7D">
            <w:r>
              <w:t>M20 x 300 Bolt – Simulated Weights</w:t>
            </w:r>
          </w:p>
        </w:tc>
        <w:tc>
          <w:tcPr>
            <w:tcW w:w="4094" w:type="dxa"/>
          </w:tcPr>
          <w:p w14:paraId="4F3752E1" w14:textId="56F597F1" w:rsidR="00AD3F7D" w:rsidRDefault="00AD3F7D" w:rsidP="00AD3F7D">
            <w:r>
              <w:t>$13.90</w:t>
            </w:r>
          </w:p>
        </w:tc>
      </w:tr>
      <w:tr w:rsidR="00AD3F7D" w14:paraId="3B7DBE02" w14:textId="77777777" w:rsidTr="00AD3F7D">
        <w:tc>
          <w:tcPr>
            <w:tcW w:w="4094" w:type="dxa"/>
          </w:tcPr>
          <w:p w14:paraId="7BC58EDA" w14:textId="71A043CB" w:rsidR="00AD3F7D" w:rsidRDefault="00AD3F7D" w:rsidP="00AD3F7D">
            <w:r>
              <w:t>Breadboard</w:t>
            </w:r>
          </w:p>
        </w:tc>
        <w:tc>
          <w:tcPr>
            <w:tcW w:w="4094" w:type="dxa"/>
          </w:tcPr>
          <w:p w14:paraId="65063DCD" w14:textId="3BF2A915" w:rsidR="00AD3F7D" w:rsidRDefault="006454AA" w:rsidP="00AD3F7D">
            <w:r>
              <w:t>$1.02</w:t>
            </w:r>
          </w:p>
        </w:tc>
      </w:tr>
      <w:tr w:rsidR="00AD3F7D" w14:paraId="151286B4" w14:textId="77777777" w:rsidTr="00AD3F7D">
        <w:tc>
          <w:tcPr>
            <w:tcW w:w="4094" w:type="dxa"/>
          </w:tcPr>
          <w:p w14:paraId="53A3AB76" w14:textId="2C55C247" w:rsidR="00AD3F7D" w:rsidRDefault="00AD3F7D" w:rsidP="00AD3F7D">
            <w:r>
              <w:t>ATX power supply</w:t>
            </w:r>
          </w:p>
        </w:tc>
        <w:tc>
          <w:tcPr>
            <w:tcW w:w="4094" w:type="dxa"/>
          </w:tcPr>
          <w:p w14:paraId="48F5B44B" w14:textId="68B48E18" w:rsidR="00AD3F7D" w:rsidRDefault="00AD3F7D" w:rsidP="00AD3F7D">
            <w:r>
              <w:t>$0</w:t>
            </w:r>
          </w:p>
        </w:tc>
      </w:tr>
      <w:tr w:rsidR="00AD3F7D" w14:paraId="764C0C54" w14:textId="77777777" w:rsidTr="00AD3F7D">
        <w:tc>
          <w:tcPr>
            <w:tcW w:w="4094" w:type="dxa"/>
          </w:tcPr>
          <w:p w14:paraId="054EE475" w14:textId="261318EE" w:rsidR="00AD3F7D" w:rsidRDefault="00AD3F7D" w:rsidP="00AD3F7D">
            <w:r>
              <w:t>Steel Plates – Simulated surface</w:t>
            </w:r>
          </w:p>
        </w:tc>
        <w:tc>
          <w:tcPr>
            <w:tcW w:w="4094" w:type="dxa"/>
          </w:tcPr>
          <w:p w14:paraId="3E9F09E9" w14:textId="71BC11FF" w:rsidR="00AD3F7D" w:rsidRDefault="00AD3F7D" w:rsidP="00AD3F7D">
            <w:r>
              <w:t>$0</w:t>
            </w:r>
          </w:p>
        </w:tc>
      </w:tr>
      <w:tr w:rsidR="00AD3F7D" w14:paraId="662DBB3F" w14:textId="77777777" w:rsidTr="00AD3F7D">
        <w:tc>
          <w:tcPr>
            <w:tcW w:w="4094" w:type="dxa"/>
          </w:tcPr>
          <w:p w14:paraId="2B9A32BB" w14:textId="5B190213" w:rsidR="00AD3F7D" w:rsidRDefault="004A2356" w:rsidP="004A2356">
            <w:r>
              <w:t>9 x 8Gx25mm wood screws</w:t>
            </w:r>
          </w:p>
        </w:tc>
        <w:tc>
          <w:tcPr>
            <w:tcW w:w="4094" w:type="dxa"/>
          </w:tcPr>
          <w:p w14:paraId="5598E8F4" w14:textId="6BEF8B20" w:rsidR="00AD3F7D" w:rsidRDefault="004A2356" w:rsidP="00AD3F7D">
            <w:r>
              <w:t>$0</w:t>
            </w:r>
          </w:p>
        </w:tc>
      </w:tr>
      <w:tr w:rsidR="004A2356" w14:paraId="656BEF28" w14:textId="77777777" w:rsidTr="00AD3F7D">
        <w:tc>
          <w:tcPr>
            <w:tcW w:w="4094" w:type="dxa"/>
          </w:tcPr>
          <w:p w14:paraId="75F7E066" w14:textId="77777777" w:rsidR="004A2356" w:rsidRDefault="004A2356" w:rsidP="00AD3F7D"/>
        </w:tc>
        <w:tc>
          <w:tcPr>
            <w:tcW w:w="4094" w:type="dxa"/>
          </w:tcPr>
          <w:p w14:paraId="41689D6B" w14:textId="77777777" w:rsidR="004A2356" w:rsidRDefault="004A2356" w:rsidP="00AD3F7D"/>
        </w:tc>
      </w:tr>
      <w:tr w:rsidR="00AD3F7D" w14:paraId="0A2D0B2C" w14:textId="77777777" w:rsidTr="00AD3F7D">
        <w:tc>
          <w:tcPr>
            <w:tcW w:w="4094" w:type="dxa"/>
          </w:tcPr>
          <w:p w14:paraId="2A096276" w14:textId="4CD7878F" w:rsidR="00AD3F7D" w:rsidRDefault="006454AA" w:rsidP="00AD3F7D">
            <w:r>
              <w:t>Total</w:t>
            </w:r>
          </w:p>
        </w:tc>
        <w:tc>
          <w:tcPr>
            <w:tcW w:w="4094" w:type="dxa"/>
          </w:tcPr>
          <w:p w14:paraId="451322DB" w14:textId="704D22FC" w:rsidR="00AD3F7D" w:rsidRDefault="006454AA" w:rsidP="006454AA">
            <w:r>
              <w:fldChar w:fldCharType="begin"/>
            </w:r>
            <w:r>
              <w:instrText xml:space="preserve"> =SUM(ABOVE) </w:instrText>
            </w:r>
            <w:r>
              <w:fldChar w:fldCharType="separate"/>
            </w:r>
            <w:r>
              <w:fldChar w:fldCharType="end"/>
            </w:r>
            <w:r>
              <w:fldChar w:fldCharType="begin"/>
            </w:r>
            <w:r>
              <w:instrText xml:space="preserve"> =SUM(B2:B12) </w:instrText>
            </w:r>
            <w:r>
              <w:fldChar w:fldCharType="separate"/>
            </w:r>
            <w:r w:rsidR="001A2420">
              <w:rPr>
                <w:noProof/>
              </w:rPr>
              <w:t>$216.82</w:t>
            </w:r>
            <w:r>
              <w:fldChar w:fldCharType="end"/>
            </w:r>
          </w:p>
        </w:tc>
      </w:tr>
    </w:tbl>
    <w:p w14:paraId="52A2902C" w14:textId="3E8D3C6A" w:rsidR="00AD3F7D" w:rsidRPr="00AD3F7D" w:rsidRDefault="00AD3F7D" w:rsidP="00AD3F7D"/>
    <w:p w14:paraId="5A2F1C00" w14:textId="77777777" w:rsidR="00AD3F7D" w:rsidRPr="00AD3F7D" w:rsidRDefault="00AD3F7D" w:rsidP="00AD3F7D"/>
    <w:p w14:paraId="6AA20D85" w14:textId="353BA10A" w:rsidR="008905AA" w:rsidRDefault="008905AA" w:rsidP="00FB7E31">
      <w:pPr>
        <w:pStyle w:val="Heading2"/>
        <w:spacing w:line="360" w:lineRule="auto"/>
        <w:jc w:val="both"/>
      </w:pPr>
      <w:bookmarkStart w:id="23" w:name="_Toc419110664"/>
      <w:r>
        <w:t>Testing the Project</w:t>
      </w:r>
      <w:bookmarkEnd w:id="23"/>
    </w:p>
    <w:p w14:paraId="65E55050" w14:textId="5AA753C4" w:rsidR="008905AA" w:rsidRDefault="008905AA" w:rsidP="00BC193F">
      <w:pPr>
        <w:spacing w:line="360" w:lineRule="auto"/>
        <w:ind w:left="720"/>
        <w:jc w:val="both"/>
      </w:pPr>
      <w:r>
        <w:t xml:space="preserve">The testing of the project has to occur. This may not </w:t>
      </w:r>
      <w:r w:rsidR="00581F2A">
        <w:t xml:space="preserve">necessarily involve flying the craft for </w:t>
      </w:r>
      <w:r w:rsidR="004A4F80">
        <w:t>all (</w:t>
      </w:r>
      <w:r w:rsidR="00581F2A">
        <w:t>or any) of the stages.</w:t>
      </w:r>
    </w:p>
    <w:p w14:paraId="3D359F16" w14:textId="453A9D45" w:rsidR="00581F2A" w:rsidRDefault="00581F2A" w:rsidP="00FB7E31">
      <w:pPr>
        <w:pStyle w:val="Heading2"/>
        <w:pBdr>
          <w:top w:val="single" w:sz="24" w:space="1" w:color="DEEAF6" w:themeColor="accent1" w:themeTint="33"/>
        </w:pBdr>
        <w:spacing w:line="360" w:lineRule="auto"/>
        <w:jc w:val="both"/>
      </w:pPr>
      <w:bookmarkStart w:id="24" w:name="_Toc419110665"/>
      <w:r>
        <w:lastRenderedPageBreak/>
        <w:t>Evaluation of Results</w:t>
      </w:r>
      <w:bookmarkEnd w:id="24"/>
    </w:p>
    <w:p w14:paraId="180830E7" w14:textId="356D430D" w:rsidR="00B8399A" w:rsidRDefault="00581F2A" w:rsidP="00BB2470">
      <w:pPr>
        <w:spacing w:line="360" w:lineRule="auto"/>
        <w:ind w:left="720"/>
        <w:jc w:val="both"/>
        <w:sectPr w:rsidR="00B8399A" w:rsidSect="000A2A46">
          <w:pgSz w:w="11906" w:h="16838"/>
          <w:pgMar w:top="1440" w:right="1440" w:bottom="1440" w:left="2268" w:header="708" w:footer="708" w:gutter="0"/>
          <w:cols w:space="708"/>
          <w:docGrid w:linePitch="360"/>
        </w:sectPr>
      </w:pPr>
      <w:r>
        <w:t xml:space="preserve">The evaluation of the results following the tests is also necessary for future development. </w:t>
      </w:r>
    </w:p>
    <w:p w14:paraId="1BF25A2F" w14:textId="0727AC43" w:rsidR="00B8399A" w:rsidRDefault="00B8399A" w:rsidP="001F37AF">
      <w:pPr>
        <w:pStyle w:val="Heading1"/>
        <w:numPr>
          <w:ilvl w:val="0"/>
          <w:numId w:val="17"/>
        </w:numPr>
        <w:ind w:left="426" w:hanging="426"/>
      </w:pPr>
      <w:r>
        <w:lastRenderedPageBreak/>
        <w:t>Results</w:t>
      </w:r>
    </w:p>
    <w:p w14:paraId="5CF3DDA0" w14:textId="77777777" w:rsidR="00B8399A" w:rsidRDefault="00B8399A" w:rsidP="00B8399A"/>
    <w:p w14:paraId="16047B57"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1F37AF">
      <w:pPr>
        <w:pStyle w:val="Heading1"/>
        <w:numPr>
          <w:ilvl w:val="0"/>
          <w:numId w:val="17"/>
        </w:numPr>
        <w:ind w:left="426" w:hanging="426"/>
      </w:pPr>
      <w:r>
        <w:lastRenderedPageBreak/>
        <w:t>Discussion</w:t>
      </w:r>
    </w:p>
    <w:p w14:paraId="5BB58959" w14:textId="77777777" w:rsidR="00B8399A" w:rsidRPr="00B8399A" w:rsidRDefault="00B8399A" w:rsidP="00B8399A"/>
    <w:p w14:paraId="271541E6"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1F37AF">
      <w:pPr>
        <w:pStyle w:val="Heading1"/>
        <w:numPr>
          <w:ilvl w:val="0"/>
          <w:numId w:val="17"/>
        </w:numPr>
        <w:ind w:left="426" w:hanging="426"/>
      </w:pPr>
      <w:r>
        <w:lastRenderedPageBreak/>
        <w:t>Conclusion</w:t>
      </w:r>
    </w:p>
    <w:p w14:paraId="16D3BC8A" w14:textId="77777777" w:rsidR="00B8399A" w:rsidRDefault="00B8399A" w:rsidP="00B8399A"/>
    <w:p w14:paraId="60BA6D77" w14:textId="77777777" w:rsidR="001F37AF" w:rsidRDefault="001F37AF" w:rsidP="001F37AF">
      <w:pPr>
        <w:pStyle w:val="Heading1"/>
        <w:numPr>
          <w:ilvl w:val="0"/>
          <w:numId w:val="17"/>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5" w:name="_Toc419110668"/>
    </w:p>
    <w:p w14:paraId="19C8DF52" w14:textId="77777777" w:rsidR="001F37AF" w:rsidRDefault="001F37AF" w:rsidP="001F37AF">
      <w:pPr>
        <w:pStyle w:val="Heading1"/>
        <w:numPr>
          <w:ilvl w:val="0"/>
          <w:numId w:val="17"/>
        </w:numPr>
        <w:ind w:left="567" w:hanging="567"/>
      </w:pPr>
      <w:bookmarkStart w:id="26" w:name="_Toc419110671"/>
      <w:r>
        <w:lastRenderedPageBreak/>
        <w:t>Reference List</w:t>
      </w:r>
      <w:bookmarkEnd w:id="26"/>
    </w:p>
    <w:p w14:paraId="4A2C0A28" w14:textId="77777777" w:rsidR="001F37AF" w:rsidRDefault="001F37AF" w:rsidP="001F37AF">
      <w:pPr>
        <w:spacing w:line="360" w:lineRule="auto"/>
        <w:ind w:left="720"/>
        <w:jc w:val="both"/>
      </w:pPr>
    </w:p>
    <w:p w14:paraId="2CFEAE00" w14:textId="77777777" w:rsidR="0092568B" w:rsidRPr="0092568B" w:rsidRDefault="001F37AF" w:rsidP="0092568B">
      <w:pPr>
        <w:pStyle w:val="EndNoteBibliography"/>
        <w:spacing w:after="0"/>
        <w:ind w:left="720" w:hanging="720"/>
      </w:pPr>
      <w:r>
        <w:fldChar w:fldCharType="begin"/>
      </w:r>
      <w:r>
        <w:instrText xml:space="preserve"> ADDIN EN.REFLIST </w:instrText>
      </w:r>
      <w:r>
        <w:fldChar w:fldCharType="separate"/>
      </w:r>
      <w:r w:rsidR="0092568B" w:rsidRPr="0092568B">
        <w:t>[1]</w:t>
      </w:r>
      <w:r w:rsidR="0092568B" w:rsidRPr="0092568B">
        <w:tab/>
        <w:t xml:space="preserve">T. Nelligan, "Ultrasonic NDT," </w:t>
      </w:r>
      <w:r w:rsidR="0092568B" w:rsidRPr="0092568B">
        <w:rPr>
          <w:i/>
        </w:rPr>
        <w:t xml:space="preserve">Quality, </w:t>
      </w:r>
      <w:r w:rsidR="0092568B" w:rsidRPr="0092568B">
        <w:t>vol. 30, p. 24, 1991.</w:t>
      </w:r>
    </w:p>
    <w:p w14:paraId="0201EDB9" w14:textId="77777777" w:rsidR="0092568B" w:rsidRPr="0092568B" w:rsidRDefault="0092568B" w:rsidP="0092568B">
      <w:pPr>
        <w:pStyle w:val="EndNoteBibliography"/>
        <w:spacing w:after="0"/>
        <w:ind w:left="720" w:hanging="720"/>
      </w:pPr>
      <w:r w:rsidRPr="0092568B">
        <w:t>[2]</w:t>
      </w:r>
      <w:r w:rsidRPr="0092568B">
        <w:tab/>
        <w:t xml:space="preserve">J. R. Davis, </w:t>
      </w:r>
      <w:r w:rsidRPr="0092568B">
        <w:rPr>
          <w:i/>
        </w:rPr>
        <w:t>Corrosion : Understanding the Basics</w:t>
      </w:r>
      <w:r w:rsidRPr="0092568B">
        <w:t>. Materials Park, OH, USA: A S M International, 2000.</w:t>
      </w:r>
    </w:p>
    <w:p w14:paraId="3F189FE4" w14:textId="77777777" w:rsidR="0092568B" w:rsidRPr="0092568B" w:rsidRDefault="0092568B" w:rsidP="0092568B">
      <w:pPr>
        <w:pStyle w:val="EndNoteBibliography"/>
        <w:spacing w:after="0"/>
        <w:ind w:left="720" w:hanging="720"/>
      </w:pPr>
      <w:r w:rsidRPr="0092568B">
        <w:t>[3]</w:t>
      </w:r>
      <w:r w:rsidRPr="0092568B">
        <w:tab/>
        <w:t xml:space="preserve">"Best Practice For The Procurement And Conduct Of Non-Destructive Testing," in </w:t>
      </w:r>
      <w:r w:rsidRPr="0092568B">
        <w:rPr>
          <w:i/>
        </w:rPr>
        <w:t>Manual Ultrasonic Inspection</w:t>
      </w:r>
      <w:r w:rsidRPr="0092568B">
        <w:t>, ed. United Kingdom: Health and Safety Executive - Gas And Process Safety Technology Division, 2000.</w:t>
      </w:r>
    </w:p>
    <w:p w14:paraId="4D2EEC71" w14:textId="77777777" w:rsidR="0092568B" w:rsidRPr="0092568B" w:rsidRDefault="0092568B" w:rsidP="0092568B">
      <w:pPr>
        <w:pStyle w:val="EndNoteBibliography"/>
        <w:spacing w:after="0"/>
        <w:ind w:left="720" w:hanging="720"/>
      </w:pPr>
      <w:r w:rsidRPr="0092568B">
        <w:t>[4]</w:t>
      </w:r>
      <w:r w:rsidRPr="0092568B">
        <w:tab/>
        <w:t xml:space="preserve">J. Cullerne, "Ultrasonic Imaging," in </w:t>
      </w:r>
      <w:r w:rsidRPr="0092568B">
        <w:rPr>
          <w:i/>
        </w:rPr>
        <w:t>The Penguin dictionary of physics</w:t>
      </w:r>
      <w:r w:rsidRPr="0092568B">
        <w:t>, ed London, United Kingdom: Penguin, 2009.</w:t>
      </w:r>
    </w:p>
    <w:p w14:paraId="1E0152A8" w14:textId="77777777" w:rsidR="0092568B" w:rsidRPr="0092568B" w:rsidRDefault="0092568B" w:rsidP="0092568B">
      <w:pPr>
        <w:pStyle w:val="EndNoteBibliography"/>
        <w:spacing w:after="0"/>
        <w:ind w:left="720" w:hanging="720"/>
      </w:pPr>
      <w:r w:rsidRPr="0092568B">
        <w:t>[5]</w:t>
      </w:r>
      <w:r w:rsidRPr="0092568B">
        <w:tab/>
        <w:t xml:space="preserve">J. P. Woodcock and A. Hospital Physicists, </w:t>
      </w:r>
      <w:r w:rsidRPr="0092568B">
        <w:rPr>
          <w:i/>
        </w:rPr>
        <w:t>Ultrasonics</w:t>
      </w:r>
      <w:r w:rsidRPr="0092568B">
        <w:t xml:space="preserve"> vol. 1. Bristol: Hilger [for] the Hospital Physicists' Association, 1979.</w:t>
      </w:r>
    </w:p>
    <w:p w14:paraId="10F797BE" w14:textId="4F83BBE4" w:rsidR="0092568B" w:rsidRPr="0092568B" w:rsidRDefault="0092568B" w:rsidP="0092568B">
      <w:pPr>
        <w:pStyle w:val="EndNoteBibliography"/>
        <w:spacing w:after="0"/>
        <w:ind w:left="720" w:hanging="720"/>
      </w:pPr>
      <w:r w:rsidRPr="0092568B">
        <w:t>[6]</w:t>
      </w:r>
      <w:r w:rsidRPr="0092568B">
        <w:tab/>
        <w:t xml:space="preserve">T. Nelligan. (24/4/2015). </w:t>
      </w:r>
      <w:r w:rsidRPr="0092568B">
        <w:rPr>
          <w:i/>
        </w:rPr>
        <w:t>An Introduction to Ultrasonic Flaw Detection</w:t>
      </w:r>
      <w:r w:rsidRPr="0092568B">
        <w:t xml:space="preserve">. Available: </w:t>
      </w:r>
      <w:hyperlink r:id="rId18" w:history="1">
        <w:r w:rsidRPr="0092568B">
          <w:rPr>
            <w:rStyle w:val="Hyperlink"/>
          </w:rPr>
          <w:t>http://www.olympus-ims.com/en/applications-and-solutions/introductory-ultrasonics/introduction-flaw-detection/</w:t>
        </w:r>
      </w:hyperlink>
    </w:p>
    <w:p w14:paraId="5A94B5A5" w14:textId="1ACCC601" w:rsidR="0092568B" w:rsidRPr="0092568B" w:rsidRDefault="0092568B" w:rsidP="0092568B">
      <w:pPr>
        <w:pStyle w:val="EndNoteBibliography"/>
        <w:spacing w:after="0"/>
        <w:ind w:left="720" w:hanging="720"/>
      </w:pPr>
      <w:r w:rsidRPr="0092568B">
        <w:t>[7]</w:t>
      </w:r>
      <w:r w:rsidRPr="0092568B">
        <w:tab/>
        <w:t xml:space="preserve">(2015, 24/4/2015). </w:t>
      </w:r>
      <w:r w:rsidRPr="0092568B">
        <w:rPr>
          <w:i/>
        </w:rPr>
        <w:t>Combined Image Formats</w:t>
      </w:r>
      <w:r w:rsidRPr="0092568B">
        <w:t xml:space="preserve">. Available: </w:t>
      </w:r>
      <w:hyperlink r:id="rId19" w:history="1">
        <w:r w:rsidRPr="0092568B">
          <w:rPr>
            <w:rStyle w:val="Hyperlink"/>
          </w:rPr>
          <w:t>http://www.olympus-ims.com/en/ndt-tutorials/instrumententation/combined/</w:t>
        </w:r>
      </w:hyperlink>
    </w:p>
    <w:p w14:paraId="3F0FC94F" w14:textId="77777777" w:rsidR="0092568B" w:rsidRPr="0092568B" w:rsidRDefault="0092568B" w:rsidP="0092568B">
      <w:pPr>
        <w:pStyle w:val="EndNoteBibliography"/>
        <w:spacing w:after="0"/>
        <w:ind w:left="720" w:hanging="720"/>
      </w:pPr>
      <w:r w:rsidRPr="0092568B">
        <w:t>[8]</w:t>
      </w:r>
      <w:r w:rsidRPr="0092568B">
        <w:tab/>
        <w:t>"Scorpion remote access tank shell inspection | Ultrasonic Crawler," ed. Online: Silverwing NDT, 2015.</w:t>
      </w:r>
    </w:p>
    <w:p w14:paraId="3FD80E3D" w14:textId="77777777" w:rsidR="0092568B" w:rsidRPr="0092568B" w:rsidRDefault="0092568B" w:rsidP="0092568B">
      <w:pPr>
        <w:pStyle w:val="EndNoteBibliography"/>
        <w:spacing w:after="0"/>
        <w:ind w:left="720" w:hanging="720"/>
      </w:pPr>
      <w:r w:rsidRPr="0092568B">
        <w:t>[9]</w:t>
      </w:r>
      <w:r w:rsidRPr="0092568B">
        <w:tab/>
        <w:t xml:space="preserve">L. Hyon, P. Jaemann, L. Daewon, and H. J. Kim, "Build Your Own Quadrotor: Open-Source Projects on Unmanned Aerial Vehicles," </w:t>
      </w:r>
      <w:r w:rsidRPr="0092568B">
        <w:rPr>
          <w:i/>
        </w:rPr>
        <w:t xml:space="preserve">Robotics &amp; Automation Magazine, IEEE, </w:t>
      </w:r>
      <w:r w:rsidRPr="0092568B">
        <w:t>vol. 19, pp. 33-45, 2012.</w:t>
      </w:r>
    </w:p>
    <w:p w14:paraId="6AFF79EA" w14:textId="77777777" w:rsidR="0092568B" w:rsidRPr="0092568B" w:rsidRDefault="0092568B" w:rsidP="0092568B">
      <w:pPr>
        <w:pStyle w:val="EndNoteBibliography"/>
        <w:spacing w:after="0"/>
        <w:ind w:left="720" w:hanging="720"/>
      </w:pPr>
      <w:r w:rsidRPr="0092568B">
        <w:t>[10]</w:t>
      </w:r>
      <w:r w:rsidRPr="0092568B">
        <w:tab/>
        <w:t xml:space="preserve">T. Luukkonen, "Modelling and control of quadcopter," </w:t>
      </w:r>
      <w:r w:rsidRPr="0092568B">
        <w:rPr>
          <w:i/>
        </w:rPr>
        <w:t xml:space="preserve">Independent research project in applied mathematics, Espoo, </w:t>
      </w:r>
      <w:r w:rsidRPr="0092568B">
        <w:t>2011.</w:t>
      </w:r>
    </w:p>
    <w:p w14:paraId="0252AA82" w14:textId="77777777" w:rsidR="0092568B" w:rsidRPr="0092568B" w:rsidRDefault="0092568B" w:rsidP="0092568B">
      <w:pPr>
        <w:pStyle w:val="EndNoteBibliography"/>
        <w:spacing w:after="0"/>
        <w:ind w:left="720" w:hanging="720"/>
      </w:pPr>
      <w:r w:rsidRPr="0092568B">
        <w:t>[11]</w:t>
      </w:r>
      <w:r w:rsidRPr="0092568B">
        <w:tab/>
        <w:t>S. Tadakamadla and B. Oelmann, "Indoor local positioning system for ZigBee, based on RSSI," 2006.</w:t>
      </w:r>
    </w:p>
    <w:p w14:paraId="12EDFF62" w14:textId="77777777" w:rsidR="0092568B" w:rsidRPr="0092568B" w:rsidRDefault="0092568B" w:rsidP="0092568B">
      <w:pPr>
        <w:pStyle w:val="EndNoteBibliography"/>
        <w:spacing w:after="0"/>
        <w:ind w:left="720" w:hanging="720"/>
      </w:pPr>
      <w:r w:rsidRPr="0092568B">
        <w:t>[12]</w:t>
      </w:r>
      <w:r w:rsidRPr="0092568B">
        <w:tab/>
        <w:t>N. B. Priyantha, "The cricket indoor location system," Massachusetts Institute of Technology, 2005.</w:t>
      </w:r>
    </w:p>
    <w:p w14:paraId="0DC3B984" w14:textId="77777777" w:rsidR="0092568B" w:rsidRPr="0092568B" w:rsidRDefault="0092568B" w:rsidP="0092568B">
      <w:pPr>
        <w:pStyle w:val="EndNoteBibliography"/>
        <w:spacing w:after="0"/>
        <w:ind w:left="720" w:hanging="720"/>
      </w:pPr>
      <w:r w:rsidRPr="0092568B">
        <w:t>[13]</w:t>
      </w:r>
      <w:r w:rsidRPr="0092568B">
        <w:tab/>
        <w:t xml:space="preserve">S. Weiss, D. Scaramuzza, and R. Siegwart, "Monocular‐SLAM–based navigation for autonomous micro helicopters in GPS‐denied environments," </w:t>
      </w:r>
      <w:r w:rsidRPr="0092568B">
        <w:rPr>
          <w:i/>
        </w:rPr>
        <w:t xml:space="preserve">Journal of Field Robotics, </w:t>
      </w:r>
      <w:r w:rsidRPr="0092568B">
        <w:t>vol. 28, pp. 854-874, 2011.</w:t>
      </w:r>
    </w:p>
    <w:p w14:paraId="1BD23021" w14:textId="77777777" w:rsidR="0092568B" w:rsidRPr="0092568B" w:rsidRDefault="0092568B" w:rsidP="0092568B">
      <w:pPr>
        <w:pStyle w:val="EndNoteBibliography"/>
        <w:spacing w:after="0"/>
        <w:ind w:left="720" w:hanging="720"/>
      </w:pPr>
      <w:r w:rsidRPr="0092568B">
        <w:t>[14]</w:t>
      </w:r>
      <w:r w:rsidRPr="0092568B">
        <w:tab/>
        <w:t xml:space="preserve">M. Achtelik, A. Bachrach, R. He, S. Prentice, and N. Roy, "Stereo vision and laser odometry for autonomous helicopters in GPS-denied indoor environments," in </w:t>
      </w:r>
      <w:r w:rsidRPr="0092568B">
        <w:rPr>
          <w:i/>
        </w:rPr>
        <w:t>SPIE Defense, Security, and Sensing</w:t>
      </w:r>
      <w:r w:rsidRPr="0092568B">
        <w:t>, 2009, pp. 733219-733219-10.</w:t>
      </w:r>
    </w:p>
    <w:p w14:paraId="50784CBC" w14:textId="77777777" w:rsidR="0092568B" w:rsidRPr="0092568B" w:rsidRDefault="0092568B" w:rsidP="0092568B">
      <w:pPr>
        <w:pStyle w:val="EndNoteBibliography"/>
        <w:spacing w:after="0"/>
        <w:ind w:left="720" w:hanging="720"/>
      </w:pPr>
      <w:r w:rsidRPr="0092568B">
        <w:t>[15]</w:t>
      </w:r>
      <w:r w:rsidRPr="0092568B">
        <w:tab/>
        <w:t xml:space="preserve">L. Ojeda and J. Borenstein, "Personal dead-reckoning system for GPS-denied environments," in </w:t>
      </w:r>
      <w:r w:rsidRPr="0092568B">
        <w:rPr>
          <w:i/>
        </w:rPr>
        <w:t>Safety, Security and Rescue Robotics, 2007. SSRR 2007. IEEE International Workshop on</w:t>
      </w:r>
      <w:r w:rsidRPr="0092568B">
        <w:t>, 2007, pp. 1-6.</w:t>
      </w:r>
    </w:p>
    <w:p w14:paraId="44FC4CE7" w14:textId="77777777" w:rsidR="0092568B" w:rsidRPr="0092568B" w:rsidRDefault="0092568B" w:rsidP="0092568B">
      <w:pPr>
        <w:pStyle w:val="EndNoteBibliography"/>
        <w:spacing w:after="0"/>
        <w:ind w:left="720" w:hanging="720"/>
      </w:pPr>
      <w:r w:rsidRPr="0092568B">
        <w:t>[16]</w:t>
      </w:r>
      <w:r w:rsidRPr="0092568B">
        <w:tab/>
      </w:r>
      <w:r w:rsidRPr="0092568B">
        <w:rPr>
          <w:i/>
        </w:rPr>
        <w:t xml:space="preserve">Model aircraft and RPA, </w:t>
      </w:r>
      <w:r w:rsidRPr="0092568B">
        <w:t>C. A. S. Authority, 2014.</w:t>
      </w:r>
    </w:p>
    <w:p w14:paraId="52989267" w14:textId="77777777" w:rsidR="0092568B" w:rsidRPr="0092568B" w:rsidRDefault="0092568B" w:rsidP="0092568B">
      <w:pPr>
        <w:pStyle w:val="EndNoteBibliography"/>
        <w:spacing w:after="0"/>
        <w:ind w:left="720" w:hanging="720"/>
      </w:pPr>
      <w:r w:rsidRPr="0092568B">
        <w:t>[17]</w:t>
      </w:r>
      <w:r w:rsidRPr="0092568B">
        <w:tab/>
        <w:t xml:space="preserve">J. S. Cavote, "Drones Promise Faster, Easier Inspection of Boilers, Stacks, Towers, and More - POWER Magazine," in </w:t>
      </w:r>
      <w:r w:rsidRPr="0092568B">
        <w:rPr>
          <w:i/>
        </w:rPr>
        <w:t>PowerMag</w:t>
      </w:r>
      <w:r w:rsidRPr="0092568B">
        <w:t>, ed. Online: PowerMag, 2014.</w:t>
      </w:r>
    </w:p>
    <w:p w14:paraId="4B7049BE" w14:textId="77777777" w:rsidR="0092568B" w:rsidRPr="0092568B" w:rsidRDefault="0092568B" w:rsidP="0092568B">
      <w:pPr>
        <w:pStyle w:val="EndNoteBibliography"/>
        <w:spacing w:after="0"/>
        <w:ind w:left="720" w:hanging="720"/>
      </w:pPr>
      <w:r w:rsidRPr="0092568B">
        <w:t>[18]</w:t>
      </w:r>
      <w:r w:rsidRPr="0092568B">
        <w:tab/>
        <w:t>E. W. Hawkes, D. L. Christensen, E. V. Eason, M. A. Estrada, M. Heverly, E. Hilgemann</w:t>
      </w:r>
      <w:r w:rsidRPr="0092568B">
        <w:rPr>
          <w:i/>
        </w:rPr>
        <w:t>, et al.</w:t>
      </w:r>
      <w:r w:rsidRPr="0092568B">
        <w:t xml:space="preserve">, "Dynamic surface grasping with directional adhesion," in </w:t>
      </w:r>
      <w:r w:rsidRPr="0092568B">
        <w:rPr>
          <w:i/>
        </w:rPr>
        <w:t>Intelligent Robots and Systems (IROS), 2013 IEEE/RSJ International Conference on</w:t>
      </w:r>
      <w:r w:rsidRPr="0092568B">
        <w:t>, 2013, pp. 5487-5493.</w:t>
      </w:r>
    </w:p>
    <w:p w14:paraId="67144997" w14:textId="77777777" w:rsidR="0092568B" w:rsidRPr="0092568B" w:rsidRDefault="0092568B" w:rsidP="0092568B">
      <w:pPr>
        <w:pStyle w:val="EndNoteBibliography"/>
        <w:ind w:left="720" w:hanging="720"/>
      </w:pPr>
      <w:r w:rsidRPr="0092568B">
        <w:t>[19]</w:t>
      </w:r>
      <w:r w:rsidRPr="0092568B">
        <w:tab/>
        <w:t xml:space="preserve">J. Craighead, R. Murphy, J. Burke, and B. Goldiez, "A survey of commercial &amp; open source unmanned vehicle simulators," in </w:t>
      </w:r>
      <w:r w:rsidRPr="0092568B">
        <w:rPr>
          <w:i/>
        </w:rPr>
        <w:t>Robotics and Automation, 2007 IEEE International Conference on</w:t>
      </w:r>
      <w:r w:rsidRPr="0092568B">
        <w:t>, 2007, pp. 852-857.</w:t>
      </w:r>
    </w:p>
    <w:p w14:paraId="46BC26FB" w14:textId="36C96429" w:rsidR="001F37AF" w:rsidRPr="00335933" w:rsidRDefault="001F37AF" w:rsidP="001F37AF">
      <w:pPr>
        <w:spacing w:line="360" w:lineRule="auto"/>
        <w:ind w:left="720"/>
        <w:jc w:val="both"/>
      </w:pPr>
      <w:r>
        <w:fldChar w:fldCharType="end"/>
      </w:r>
    </w:p>
    <w:p w14:paraId="7FAD09E4" w14:textId="77777777" w:rsidR="00C71CCD" w:rsidRDefault="00C71CCD" w:rsidP="001F37AF">
      <w:pPr>
        <w:pStyle w:val="Heading1"/>
        <w:numPr>
          <w:ilvl w:val="0"/>
          <w:numId w:val="17"/>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1F37AF">
      <w:pPr>
        <w:pStyle w:val="Heading1"/>
        <w:numPr>
          <w:ilvl w:val="0"/>
          <w:numId w:val="17"/>
        </w:numPr>
        <w:spacing w:line="360" w:lineRule="auto"/>
        <w:ind w:left="426" w:hanging="426"/>
        <w:jc w:val="both"/>
      </w:pPr>
      <w:r>
        <w:lastRenderedPageBreak/>
        <w:t>Appendices</w:t>
      </w:r>
      <w:bookmarkEnd w:id="25"/>
    </w:p>
    <w:p w14:paraId="32435266" w14:textId="3668D058" w:rsidR="00D06425" w:rsidRDefault="008C0D85" w:rsidP="00196C62">
      <w:pPr>
        <w:pStyle w:val="Heading2"/>
        <w:ind w:left="720"/>
      </w:pPr>
      <w:bookmarkStart w:id="27" w:name="_Toc419110669"/>
      <w:r>
        <w:t>9</w:t>
      </w:r>
      <w:r w:rsidR="002861DF">
        <w:t xml:space="preserve">.1 </w:t>
      </w:r>
      <w:r w:rsidR="00D06425">
        <w:t>Risk Assessment</w:t>
      </w:r>
      <w:bookmarkEnd w:id="27"/>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8" w:name="_Toc419110670"/>
      <w:r>
        <w:t xml:space="preserve">Gantt </w:t>
      </w:r>
      <w:proofErr w:type="gramStart"/>
      <w:r>
        <w:t>Chart</w:t>
      </w:r>
      <w:bookmarkEnd w:id="28"/>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5C26F8AC"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2CF40" w14:textId="77777777" w:rsidR="007A61DD" w:rsidRDefault="007A61DD" w:rsidP="00D06425">
      <w:pPr>
        <w:spacing w:after="0" w:line="240" w:lineRule="auto"/>
      </w:pPr>
      <w:r>
        <w:separator/>
      </w:r>
    </w:p>
  </w:endnote>
  <w:endnote w:type="continuationSeparator" w:id="0">
    <w:p w14:paraId="4E8E9181" w14:textId="77777777" w:rsidR="007A61DD" w:rsidRDefault="007A61DD"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391742" w:rsidRDefault="00391742">
    <w:pPr>
      <w:pStyle w:val="Footer"/>
      <w:jc w:val="right"/>
    </w:pPr>
  </w:p>
  <w:p w14:paraId="3287401F" w14:textId="6BF56539" w:rsidR="00391742" w:rsidRDefault="00391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391742" w:rsidRDefault="00391742">
        <w:pPr>
          <w:pStyle w:val="Footer"/>
          <w:jc w:val="right"/>
        </w:pPr>
      </w:p>
      <w:p w14:paraId="1988F08F" w14:textId="75927A72" w:rsidR="00391742" w:rsidRDefault="00391742">
        <w:pPr>
          <w:pStyle w:val="Footer"/>
          <w:jc w:val="right"/>
        </w:pPr>
      </w:p>
    </w:sdtContent>
  </w:sdt>
  <w:p w14:paraId="5BE9204C" w14:textId="77777777" w:rsidR="00391742" w:rsidRDefault="00391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42416" w14:textId="77777777" w:rsidR="007A61DD" w:rsidRDefault="007A61DD" w:rsidP="00D06425">
      <w:pPr>
        <w:spacing w:after="0" w:line="240" w:lineRule="auto"/>
      </w:pPr>
      <w:r>
        <w:separator/>
      </w:r>
    </w:p>
  </w:footnote>
  <w:footnote w:type="continuationSeparator" w:id="0">
    <w:p w14:paraId="6A38A9F9" w14:textId="77777777" w:rsidR="007A61DD" w:rsidRDefault="007A61DD"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391742" w:rsidRDefault="00391742">
    <w:pPr>
      <w:pStyle w:val="Header"/>
      <w:jc w:val="right"/>
    </w:pPr>
  </w:p>
  <w:p w14:paraId="5B3CBC08" w14:textId="77777777" w:rsidR="00391742" w:rsidRDefault="00391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D60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5F0126"/>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E93F15"/>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2EDF6F1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5141A8"/>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3C763D44"/>
    <w:multiLevelType w:val="multilevel"/>
    <w:tmpl w:val="2248948C"/>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F74014"/>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A6B1D36"/>
    <w:multiLevelType w:val="hybridMultilevel"/>
    <w:tmpl w:val="9556A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595FD0"/>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9"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D44BB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3"/>
  </w:num>
  <w:num w:numId="4">
    <w:abstractNumId w:val="19"/>
  </w:num>
  <w:num w:numId="5">
    <w:abstractNumId w:val="23"/>
  </w:num>
  <w:num w:numId="6">
    <w:abstractNumId w:val="5"/>
  </w:num>
  <w:num w:numId="7">
    <w:abstractNumId w:val="28"/>
  </w:num>
  <w:num w:numId="8">
    <w:abstractNumId w:val="7"/>
  </w:num>
  <w:num w:numId="9">
    <w:abstractNumId w:val="25"/>
  </w:num>
  <w:num w:numId="10">
    <w:abstractNumId w:val="2"/>
  </w:num>
  <w:num w:numId="11">
    <w:abstractNumId w:val="15"/>
  </w:num>
  <w:num w:numId="12">
    <w:abstractNumId w:val="27"/>
  </w:num>
  <w:num w:numId="13">
    <w:abstractNumId w:val="1"/>
  </w:num>
  <w:num w:numId="14">
    <w:abstractNumId w:val="21"/>
  </w:num>
  <w:num w:numId="15">
    <w:abstractNumId w:val="16"/>
  </w:num>
  <w:num w:numId="16">
    <w:abstractNumId w:val="24"/>
  </w:num>
  <w:num w:numId="17">
    <w:abstractNumId w:val="26"/>
  </w:num>
  <w:num w:numId="18">
    <w:abstractNumId w:val="3"/>
  </w:num>
  <w:num w:numId="19">
    <w:abstractNumId w:val="22"/>
  </w:num>
  <w:num w:numId="20">
    <w:abstractNumId w:val="6"/>
  </w:num>
  <w:num w:numId="21">
    <w:abstractNumId w:val="9"/>
  </w:num>
  <w:num w:numId="22">
    <w:abstractNumId w:val="0"/>
  </w:num>
  <w:num w:numId="23">
    <w:abstractNumId w:val="18"/>
  </w:num>
  <w:num w:numId="24">
    <w:abstractNumId w:val="8"/>
  </w:num>
  <w:num w:numId="25">
    <w:abstractNumId w:val="4"/>
  </w:num>
  <w:num w:numId="26">
    <w:abstractNumId w:val="11"/>
  </w:num>
  <w:num w:numId="27">
    <w:abstractNumId w:val="14"/>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item&gt;63&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A2A46"/>
    <w:rsid w:val="000C044B"/>
    <w:rsid w:val="000D03F8"/>
    <w:rsid w:val="000D3068"/>
    <w:rsid w:val="000D3720"/>
    <w:rsid w:val="000E72D1"/>
    <w:rsid w:val="00111795"/>
    <w:rsid w:val="0011228C"/>
    <w:rsid w:val="0015108D"/>
    <w:rsid w:val="00154574"/>
    <w:rsid w:val="001617A6"/>
    <w:rsid w:val="001934E8"/>
    <w:rsid w:val="00196C62"/>
    <w:rsid w:val="001A2420"/>
    <w:rsid w:val="001B1C26"/>
    <w:rsid w:val="001B2A68"/>
    <w:rsid w:val="001D1220"/>
    <w:rsid w:val="001F37AF"/>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36094"/>
    <w:rsid w:val="003434E3"/>
    <w:rsid w:val="00350878"/>
    <w:rsid w:val="00391742"/>
    <w:rsid w:val="003A04E9"/>
    <w:rsid w:val="003B15E5"/>
    <w:rsid w:val="003B7FD3"/>
    <w:rsid w:val="003C0F2D"/>
    <w:rsid w:val="003D44A1"/>
    <w:rsid w:val="003E79A6"/>
    <w:rsid w:val="003F141C"/>
    <w:rsid w:val="003F3FA2"/>
    <w:rsid w:val="004146AD"/>
    <w:rsid w:val="00455CF3"/>
    <w:rsid w:val="004622AE"/>
    <w:rsid w:val="004935EC"/>
    <w:rsid w:val="004A2356"/>
    <w:rsid w:val="004A4F80"/>
    <w:rsid w:val="004A5F90"/>
    <w:rsid w:val="004B46AE"/>
    <w:rsid w:val="004C25F0"/>
    <w:rsid w:val="004C625D"/>
    <w:rsid w:val="004D015A"/>
    <w:rsid w:val="004D6976"/>
    <w:rsid w:val="004E0316"/>
    <w:rsid w:val="004E5D06"/>
    <w:rsid w:val="004E64ED"/>
    <w:rsid w:val="004F4D71"/>
    <w:rsid w:val="004F6DFB"/>
    <w:rsid w:val="004F7B35"/>
    <w:rsid w:val="005337E0"/>
    <w:rsid w:val="005351AD"/>
    <w:rsid w:val="005543CB"/>
    <w:rsid w:val="005631C3"/>
    <w:rsid w:val="0056343C"/>
    <w:rsid w:val="00567BC9"/>
    <w:rsid w:val="005705B7"/>
    <w:rsid w:val="00573D25"/>
    <w:rsid w:val="00573D9C"/>
    <w:rsid w:val="00581F2A"/>
    <w:rsid w:val="00587507"/>
    <w:rsid w:val="005A105B"/>
    <w:rsid w:val="005A3887"/>
    <w:rsid w:val="005B21B8"/>
    <w:rsid w:val="005F123D"/>
    <w:rsid w:val="00615621"/>
    <w:rsid w:val="00621910"/>
    <w:rsid w:val="006454AA"/>
    <w:rsid w:val="006619C9"/>
    <w:rsid w:val="0067369E"/>
    <w:rsid w:val="006755C5"/>
    <w:rsid w:val="006A405B"/>
    <w:rsid w:val="006A52F3"/>
    <w:rsid w:val="006C547E"/>
    <w:rsid w:val="006C5780"/>
    <w:rsid w:val="006E7905"/>
    <w:rsid w:val="00706EEC"/>
    <w:rsid w:val="00720600"/>
    <w:rsid w:val="00736A0A"/>
    <w:rsid w:val="00762917"/>
    <w:rsid w:val="00787276"/>
    <w:rsid w:val="007A61DD"/>
    <w:rsid w:val="007B2FF0"/>
    <w:rsid w:val="007B31AF"/>
    <w:rsid w:val="007C6D60"/>
    <w:rsid w:val="007D4753"/>
    <w:rsid w:val="007D65BA"/>
    <w:rsid w:val="00806E19"/>
    <w:rsid w:val="00825721"/>
    <w:rsid w:val="00832709"/>
    <w:rsid w:val="00841710"/>
    <w:rsid w:val="0085356A"/>
    <w:rsid w:val="00860C56"/>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2568B"/>
    <w:rsid w:val="00925C2F"/>
    <w:rsid w:val="00934DBC"/>
    <w:rsid w:val="00970017"/>
    <w:rsid w:val="00975F36"/>
    <w:rsid w:val="00976169"/>
    <w:rsid w:val="00985ACC"/>
    <w:rsid w:val="009A151C"/>
    <w:rsid w:val="009C03D1"/>
    <w:rsid w:val="009C3D3A"/>
    <w:rsid w:val="009C5526"/>
    <w:rsid w:val="009C6092"/>
    <w:rsid w:val="009F719F"/>
    <w:rsid w:val="00A2171B"/>
    <w:rsid w:val="00A21943"/>
    <w:rsid w:val="00A238DF"/>
    <w:rsid w:val="00A25966"/>
    <w:rsid w:val="00A27FAE"/>
    <w:rsid w:val="00A416DD"/>
    <w:rsid w:val="00A43562"/>
    <w:rsid w:val="00A45CE3"/>
    <w:rsid w:val="00A51856"/>
    <w:rsid w:val="00A64076"/>
    <w:rsid w:val="00A710AB"/>
    <w:rsid w:val="00A71B2F"/>
    <w:rsid w:val="00A94850"/>
    <w:rsid w:val="00AC7011"/>
    <w:rsid w:val="00AC7F3E"/>
    <w:rsid w:val="00AD3F7D"/>
    <w:rsid w:val="00AE2BCB"/>
    <w:rsid w:val="00AE6C27"/>
    <w:rsid w:val="00AE7FEE"/>
    <w:rsid w:val="00AF2465"/>
    <w:rsid w:val="00B01010"/>
    <w:rsid w:val="00B068EC"/>
    <w:rsid w:val="00B10CEC"/>
    <w:rsid w:val="00B1768A"/>
    <w:rsid w:val="00B3022B"/>
    <w:rsid w:val="00B305A4"/>
    <w:rsid w:val="00B3063F"/>
    <w:rsid w:val="00B36CE5"/>
    <w:rsid w:val="00B37261"/>
    <w:rsid w:val="00B40EBC"/>
    <w:rsid w:val="00B46797"/>
    <w:rsid w:val="00B54415"/>
    <w:rsid w:val="00B561C3"/>
    <w:rsid w:val="00B67CD1"/>
    <w:rsid w:val="00B71E2F"/>
    <w:rsid w:val="00B8399A"/>
    <w:rsid w:val="00B87FAA"/>
    <w:rsid w:val="00B92926"/>
    <w:rsid w:val="00B93577"/>
    <w:rsid w:val="00BA3D72"/>
    <w:rsid w:val="00BA47E1"/>
    <w:rsid w:val="00BB2470"/>
    <w:rsid w:val="00BB393B"/>
    <w:rsid w:val="00BB5C2D"/>
    <w:rsid w:val="00BC193F"/>
    <w:rsid w:val="00BC3733"/>
    <w:rsid w:val="00BE1D46"/>
    <w:rsid w:val="00BF5A50"/>
    <w:rsid w:val="00C1074A"/>
    <w:rsid w:val="00C16DD1"/>
    <w:rsid w:val="00C22238"/>
    <w:rsid w:val="00C32545"/>
    <w:rsid w:val="00C33BB0"/>
    <w:rsid w:val="00C447FC"/>
    <w:rsid w:val="00C614C3"/>
    <w:rsid w:val="00C71CCD"/>
    <w:rsid w:val="00C819F8"/>
    <w:rsid w:val="00C9132B"/>
    <w:rsid w:val="00C95DC6"/>
    <w:rsid w:val="00CA7A69"/>
    <w:rsid w:val="00CB705B"/>
    <w:rsid w:val="00CD54F8"/>
    <w:rsid w:val="00CE2369"/>
    <w:rsid w:val="00CE28F6"/>
    <w:rsid w:val="00D06425"/>
    <w:rsid w:val="00D23FD8"/>
    <w:rsid w:val="00D240A4"/>
    <w:rsid w:val="00D31890"/>
    <w:rsid w:val="00D3717F"/>
    <w:rsid w:val="00D44440"/>
    <w:rsid w:val="00D47C68"/>
    <w:rsid w:val="00D502DF"/>
    <w:rsid w:val="00D55EB7"/>
    <w:rsid w:val="00D66AC6"/>
    <w:rsid w:val="00D8667E"/>
    <w:rsid w:val="00DA13F8"/>
    <w:rsid w:val="00DA7897"/>
    <w:rsid w:val="00DB0782"/>
    <w:rsid w:val="00DD3B6A"/>
    <w:rsid w:val="00DF4E99"/>
    <w:rsid w:val="00DF75BC"/>
    <w:rsid w:val="00DF7C71"/>
    <w:rsid w:val="00E10E78"/>
    <w:rsid w:val="00E22C49"/>
    <w:rsid w:val="00E41F42"/>
    <w:rsid w:val="00E42520"/>
    <w:rsid w:val="00E53731"/>
    <w:rsid w:val="00E64D9B"/>
    <w:rsid w:val="00E91A79"/>
    <w:rsid w:val="00E94E0C"/>
    <w:rsid w:val="00EA1736"/>
    <w:rsid w:val="00EB301C"/>
    <w:rsid w:val="00EB3FB4"/>
    <w:rsid w:val="00EC0232"/>
    <w:rsid w:val="00EC23D1"/>
    <w:rsid w:val="00EC5B34"/>
    <w:rsid w:val="00EF473E"/>
    <w:rsid w:val="00F00B74"/>
    <w:rsid w:val="00F01DCC"/>
    <w:rsid w:val="00F06713"/>
    <w:rsid w:val="00F24045"/>
    <w:rsid w:val="00F267BD"/>
    <w:rsid w:val="00F30CAE"/>
    <w:rsid w:val="00F35353"/>
    <w:rsid w:val="00F477D0"/>
    <w:rsid w:val="00F50E19"/>
    <w:rsid w:val="00F57095"/>
    <w:rsid w:val="00F62550"/>
    <w:rsid w:val="00F81CB3"/>
    <w:rsid w:val="00F938A0"/>
    <w:rsid w:val="00FB7E31"/>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sz w:val="20"/>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sz w:val="20"/>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24045"/>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601774816"/>
        <c:axId val="601775208"/>
      </c:barChart>
      <c:catAx>
        <c:axId val="6017748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75208"/>
        <c:crosses val="autoZero"/>
        <c:auto val="1"/>
        <c:lblAlgn val="ctr"/>
        <c:lblOffset val="100"/>
        <c:noMultiLvlLbl val="0"/>
      </c:catAx>
      <c:valAx>
        <c:axId val="601775208"/>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7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CD6C-28FF-415A-AF52-B2F0AC0C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37</Pages>
  <Words>10233</Words>
  <Characters>58332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8</cp:revision>
  <cp:lastPrinted>2015-05-11T03:42:00Z</cp:lastPrinted>
  <dcterms:created xsi:type="dcterms:W3CDTF">2015-10-08T08:00:00Z</dcterms:created>
  <dcterms:modified xsi:type="dcterms:W3CDTF">2015-10-08T21:00:00Z</dcterms:modified>
</cp:coreProperties>
</file>