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6B7280"/>
          <w:sz w:val="28"/>
          <w:szCs w:val="28"/>
        </w:rPr>
        <w:t xml:space="preserve">Solution Architecture Document</w:t>
      </w:r>
    </w:p>
    <w:p>
      <w:pPr>
        <w:spacing w:after="200"/>
      </w:pPr>
      <w:r>
        <w:rPr>
          <w:rFonts w:ascii="Calibri" w:cs="Calibri" w:eastAsia="Calibri" w:hAnsi="Calibri"/>
          <w:b/>
          <w:bCs/>
          <w:color w:val="1F4E79"/>
          <w:sz w:val="64"/>
          <w:szCs w:val="64"/>
        </w:rPr>
        <w:t xml:space="preserve">Payments Platform</w:t>
      </w:r>
    </w:p>
    <w:p>
      <w:pPr>
        <w:spacing w:after="600"/>
      </w:pPr>
      <w:r>
        <w:rPr>
          <w:rFonts w:ascii="Calibri" w:cs="Calibri" w:eastAsia="Calibri" w:hAnsi="Calibri"/>
          <w:color w:val="1F2933"/>
          <w:sz w:val="28"/>
          <w:szCs w:val="28"/>
        </w:rPr>
        <w:t xml:space="preserve">A multinational payments, wallets and lending platform built around a double-entry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Item</w:t>
            </w:r>
          </w:p>
        </w:tc>
        <w:tc>
          <w:tcPr>
            <w:tcW w:type="dxa" w:w="66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Detail</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Author</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Collins Kiplimo, Solution Architect and Backend Engineer</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Version</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1.0</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Date</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 October 2026</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Status</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Baseline for build (learning and portfolio project; not for real money)</w:t>
            </w:r>
          </w:p>
        </w:tc>
      </w:tr>
      <w:tr>
        <w:tc>
          <w:tcPr>
            <w:tcW w:type="dxa" w:w="2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Repository</w:t>
            </w:r>
          </w:p>
        </w:tc>
        <w:tc>
          <w:tcPr>
            <w:tcW w:type="dxa" w:w="66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payments-platform (Maven multi-module, Java 21, Spring Boot 3.4)</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6B7280"/>
          <w:sz w:val="18"/>
          <w:szCs w:val="18"/>
        </w:rPr>
        <w:t xml:space="preserve">Word fills this table when the document opens (choose Yes to update fields). In other editors, refresh the field manually.</w:t>
      </w:r>
    </w:p>
    <w:p>
      <w:r>
        <w:br w:type="page"/>
      </w:r>
    </w:p>
    <w:p>
      <w:pPr>
        <w:pStyle w:val="Heading1"/>
        <w:keepNext/>
        <w:keepLines/>
        <w:spacing w:after="160" w:before="360"/>
      </w:pPr>
      <w:r>
        <w:rPr>
          <w:rFonts w:ascii="Calibri" w:cs="Calibri" w:eastAsia="Calibri" w:hAnsi="Calibri"/>
        </w:rPr>
        <w:t xml:space="preserve">1. Executive summary</w:t>
      </w:r>
    </w:p>
    <w:p>
      <w:pPr>
        <w:spacing w:after="120" w:line="276"/>
      </w:pPr>
      <w:r>
        <w:rPr>
          <w:rFonts w:ascii="Calibri" w:cs="Calibri" w:eastAsia="Calibri" w:hAnsi="Calibri"/>
          <w:color w:val="1F2933"/>
          <w:sz w:val="22"/>
          <w:szCs w:val="22"/>
        </w:rPr>
        <w:t xml:space="preserve">The Payments Platform lets merchants accept card and mobile-money payments, lets individuals hold multi-currency wallets and send money, pays both out to banks and mobile money, lends to merchants and individuals, and keeps every shilling accounted for. It operates through one legal entity per country and produces group financial statements.</w:t>
      </w:r>
    </w:p>
    <w:p>
      <w:pPr>
        <w:spacing w:after="120" w:line="276"/>
      </w:pPr>
      <w:r>
        <w:rPr>
          <w:rFonts w:ascii="Calibri" w:cs="Calibri" w:eastAsia="Calibri" w:hAnsi="Calibri"/>
          <w:color w:val="1F2933"/>
          <w:sz w:val="22"/>
          <w:szCs w:val="22"/>
        </w:rPr>
        <w:t xml:space="preserve">The design rests on one decision: a double-entry ledger is the only place balances change. Seven business services orchestrate payments, pricing, accounts, payouts, lending and reconciliation, and every money movement they perform ends as a balanced journal transaction posted to ledger-service over gRPC. Everything else (events, sagas, idempotency, reconciliation, reporting) protects that invariant.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Decision</w:t>
            </w:r>
          </w:p>
        </w:tc>
        <w:tc>
          <w:tcPr>
            <w:tcW w:type="dxa" w:w="64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Choice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Style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Microservices by bounded context: 9 contexts, 7 business services, plus gateway and rails simulator</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Source of truth for money</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ledger-service: double entry, append-only, balances derived from entries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Communication</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gRPC (ledger.v1) for postings; REST with {payload} / {meta, payload} envelope; Kafka events via transactional outbox</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Data</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PostgreSQL, one database per service, JdbcTemplate, Flyway; money as integer minor units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Consistency</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Idempotency keys, sagas with compensation, row locks in fixed order, continuous invariant checks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Platform</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Docker, Kubernetes (Deployments, migration Jobs, HPA, Ingress), GitHub Actions</w:t>
            </w:r>
          </w:p>
        </w:tc>
      </w:tr>
    </w:tbl>
    <w:p>
      <w:pPr>
        <w:pStyle w:val="Heading1"/>
        <w:keepNext/>
        <w:keepLines/>
        <w:spacing w:after="160" w:before="360"/>
      </w:pPr>
      <w:r>
        <w:rPr>
          <w:rFonts w:ascii="Calibri" w:cs="Calibri" w:eastAsia="Calibri" w:hAnsi="Calibri"/>
        </w:rPr>
        <w:t xml:space="preserve">2. Scope and goals</w:t>
      </w:r>
    </w:p>
    <w:p>
      <w:pPr>
        <w:pStyle w:val="Heading2"/>
        <w:keepNext/>
        <w:keepLines/>
        <w:spacing w:after="120" w:before="240"/>
      </w:pPr>
      <w:r>
        <w:rPr>
          <w:rFonts w:ascii="Calibri" w:cs="Calibri" w:eastAsia="Calibri" w:hAnsi="Calibri"/>
        </w:rPr>
        <w:t xml:space="preserve">2.1 Goals</w:t>
      </w:r>
    </w:p>
    <w:p>
      <w:pPr>
        <w:pStyle w:val="ListParagraph"/>
        <w:numPr>
          <w:ilvl w:val="0"/>
          <w:numId w:val="2"/>
        </w:numPr>
        <w:spacing w:after="60"/>
      </w:pPr>
      <w:r>
        <w:rPr>
          <w:rFonts w:ascii="Calibri" w:cs="Calibri" w:eastAsia="Calibri" w:hAnsi="Calibri"/>
          <w:color w:val="1F2933"/>
          <w:sz w:val="22"/>
          <w:szCs w:val="22"/>
        </w:rPr>
        <w:t xml:space="preserve">Model the money flows of a Stripe-style platform correctly, from authorization to financial statements.</w:t>
      </w:r>
    </w:p>
    <w:p>
      <w:pPr>
        <w:pStyle w:val="ListParagraph"/>
        <w:numPr>
          <w:ilvl w:val="0"/>
          <w:numId w:val="2"/>
        </w:numPr>
        <w:spacing w:after="60"/>
      </w:pPr>
      <w:r>
        <w:rPr>
          <w:rFonts w:ascii="Calibri" w:cs="Calibri" w:eastAsia="Calibri" w:hAnsi="Calibri"/>
          <w:color w:val="1F2933"/>
          <w:sz w:val="22"/>
          <w:szCs w:val="22"/>
        </w:rPr>
        <w:t xml:space="preserve">Support several countries: legal entities, functional currencies, taxes per jurisdiction, FX and consolidation.</w:t>
      </w:r>
    </w:p>
    <w:p>
      <w:pPr>
        <w:pStyle w:val="ListParagraph"/>
        <w:numPr>
          <w:ilvl w:val="0"/>
          <w:numId w:val="2"/>
        </w:numPr>
        <w:spacing w:after="60"/>
      </w:pPr>
      <w:r>
        <w:rPr>
          <w:rFonts w:ascii="Calibri" w:cs="Calibri" w:eastAsia="Calibri" w:hAnsi="Calibri"/>
          <w:color w:val="1F2933"/>
          <w:sz w:val="22"/>
          <w:szCs w:val="22"/>
        </w:rPr>
        <w:t xml:space="preserve">Demonstrate production practices: contracts, idempotency, sagas, observability, automated end-to-end tests.</w:t>
      </w:r>
    </w:p>
    <w:p>
      <w:pPr>
        <w:pStyle w:val="ListParagraph"/>
        <w:numPr>
          <w:ilvl w:val="0"/>
          <w:numId w:val="2"/>
        </w:numPr>
        <w:spacing w:after="60"/>
      </w:pPr>
      <w:r>
        <w:rPr>
          <w:rFonts w:ascii="Calibri" w:cs="Calibri" w:eastAsia="Calibri" w:hAnsi="Calibri"/>
          <w:color w:val="1F2933"/>
          <w:sz w:val="22"/>
          <w:szCs w:val="22"/>
        </w:rPr>
        <w:t xml:space="preserve">Teach the accounting behind each feature (see docs/accounting/ACCOUNTING_GUIDE.md).</w:t>
      </w:r>
    </w:p>
    <w:p>
      <w:pPr>
        <w:pStyle w:val="Heading2"/>
        <w:keepNext/>
        <w:keepLines/>
        <w:spacing w:after="120" w:before="240"/>
      </w:pPr>
      <w:r>
        <w:rPr>
          <w:rFonts w:ascii="Calibri" w:cs="Calibri" w:eastAsia="Calibri" w:hAnsi="Calibri"/>
        </w:rPr>
        <w:t xml:space="preserve">2.2 Out of scope</w:t>
      </w:r>
    </w:p>
    <w:p>
      <w:pPr>
        <w:pStyle w:val="ListParagraph"/>
        <w:numPr>
          <w:ilvl w:val="0"/>
          <w:numId w:val="2"/>
        </w:numPr>
        <w:spacing w:after="60"/>
      </w:pPr>
      <w:r>
        <w:rPr>
          <w:rFonts w:ascii="Calibri" w:cs="Calibri" w:eastAsia="Calibri" w:hAnsi="Calibri"/>
          <w:color w:val="1F2933"/>
          <w:sz w:val="22"/>
          <w:szCs w:val="22"/>
        </w:rPr>
        <w:t xml:space="preserve">Real card data and PCI DSS scope; real banks and schemes (a simulator stands in).</w:t>
      </w:r>
    </w:p>
    <w:p>
      <w:pPr>
        <w:pStyle w:val="ListParagraph"/>
        <w:numPr>
          <w:ilvl w:val="0"/>
          <w:numId w:val="2"/>
        </w:numPr>
        <w:spacing w:after="60"/>
      </w:pPr>
      <w:r>
        <w:rPr>
          <w:rFonts w:ascii="Calibri" w:cs="Calibri" w:eastAsia="Calibri" w:hAnsi="Calibri"/>
          <w:color w:val="1F2933"/>
          <w:sz w:val="22"/>
          <w:szCs w:val="22"/>
        </w:rPr>
        <w:t xml:space="preserve">Identity verification (KYC/KYB), sanctions screening and fraud scoring beyond extension points.</w:t>
      </w:r>
    </w:p>
    <w:p>
      <w:pPr>
        <w:pStyle w:val="ListParagraph"/>
        <w:numPr>
          <w:ilvl w:val="0"/>
          <w:numId w:val="2"/>
        </w:numPr>
        <w:spacing w:after="60"/>
      </w:pPr>
      <w:r>
        <w:rPr>
          <w:rFonts w:ascii="Calibri" w:cs="Calibri" w:eastAsia="Calibri" w:hAnsi="Calibri"/>
          <w:color w:val="1F2933"/>
          <w:sz w:val="22"/>
          <w:szCs w:val="22"/>
        </w:rPr>
        <w:t xml:space="preserve">Payroll, inventory, fixed assets and tax filing.</w:t>
      </w:r>
    </w:p>
    <w:p>
      <w:pPr>
        <w:pStyle w:val="Heading1"/>
        <w:keepNext/>
        <w:keepLines/>
        <w:spacing w:after="160" w:before="360"/>
      </w:pPr>
      <w:r>
        <w:rPr>
          <w:rFonts w:ascii="Calibri" w:cs="Calibri" w:eastAsia="Calibri" w:hAnsi="Calibri"/>
        </w:rPr>
        <w:t xml:space="preserve">3. Requirements</w:t>
      </w:r>
    </w:p>
    <w:p>
      <w:pPr>
        <w:pStyle w:val="Heading2"/>
        <w:keepNext/>
        <w:keepLines/>
        <w:spacing w:after="120" w:before="240"/>
      </w:pPr>
      <w:r>
        <w:rPr>
          <w:rFonts w:ascii="Calibri" w:cs="Calibri" w:eastAsia="Calibri" w:hAnsi="Calibri"/>
        </w:rPr>
        <w:t xml:space="preserve">3.1 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Capability</w:t>
            </w:r>
          </w:p>
        </w:tc>
        <w:tc>
          <w:tcPr>
            <w:tcW w:type="dxa" w:w="6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Requirements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Create, authorize, capture, cancel, refund (full/partial), chargebacks (open, won, lost), network settlement</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Pricing</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Quote every transaction: fees, VAT/GST/excise per jurisdiction, FX spread, interest rules; quotes used once before expiry</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Onboard merchants (rolling reserves) and individuals; several wallets per person; top-up, own transfers, P2P, FX conversion, pay merchants, merchant-to-individual payments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Merchant payouts and wallet withdrawals to bank or mobile money with hold, confirmation, failure and retry</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Lending</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Merchant financing repaid from sales; instalment loans with amortization, daily accrual, late fees, IFRS 9 staging, write-off, restructuring, early repayment</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Collections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Recover debts across all of a debtor's accounts in policy order, including other currencies; write-off and recovery after write-off</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 and reporting</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Balanced postings per entity and currency; balances at any date; statements; trial balance; balance sheet; income statement; period close; revaluation; consolidation</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Reconciliation</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Match bank statements to the ledger; exceptions; suspense; safeguarding check; AI-assisted explanations</w:t>
            </w:r>
          </w:p>
        </w:tc>
      </w:tr>
    </w:tbl>
    <w:p>
      <w:pPr>
        <w:pStyle w:val="Heading2"/>
        <w:keepNext/>
        <w:keepLines/>
        <w:spacing w:after="120" w:before="240"/>
      </w:pPr>
      <w:r>
        <w:rPr>
          <w:rFonts w:ascii="Calibri" w:cs="Calibri" w:eastAsia="Calibri" w:hAnsi="Calibri"/>
        </w:rPr>
        <w:t xml:space="preserve">3.2 Non-functional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Quality</w:t>
            </w:r>
          </w:p>
        </w:tc>
        <w:tc>
          <w:tcPr>
            <w:tcW w:type="dxa" w:w="6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Target</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Correctness</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Books balance after every transaction, per entity and currency; zero tolerance for drift between balances and entries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Idempotency</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Every money-moving request and event is safe to retry</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Auditability</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Append-only journal; every transaction linked to a business reference and request id; reversals instead of edits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Latency (SLO)</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99.9% of PostTransaction calls under 200 ms; 99% of payment captures under 1 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Availability (SLO)</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 and payments 99.9% monthly; payouts confirmed within 1 hour for 99.5%</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Scalability</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Stateless services scale horizontally; ledger hot accounts protected by ordered row locks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Security</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JWT at the edge, least-privilege database users, secrets outside Git, no personal data in logs</w:t>
            </w:r>
          </w:p>
        </w:tc>
      </w:tr>
      <w:tr>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Operability</w:t>
            </w:r>
          </w:p>
        </w:tc>
        <w:tc>
          <w:tcPr>
            <w:tcW w:type="dxa" w:w="6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Health probes, Prometheus metrics, traces with correlation ids, runbooks per alert</w:t>
            </w:r>
          </w:p>
        </w:tc>
      </w:tr>
    </w:tbl>
    <w:p>
      <w:pPr>
        <w:pStyle w:val="Heading1"/>
        <w:keepNext/>
        <w:keepLines/>
        <w:spacing w:after="160" w:before="360"/>
      </w:pPr>
      <w:r>
        <w:rPr>
          <w:rFonts w:ascii="Calibri" w:cs="Calibri" w:eastAsia="Calibri" w:hAnsi="Calibri"/>
        </w:rPr>
        <w:t xml:space="preserve">4. Architecture overview</w:t>
      </w:r>
    </w:p>
    <w:p>
      <w:pPr>
        <w:spacing w:after="80"/>
        <w:jc w:val="center"/>
      </w:pPr>
      <w:r>
        <w:drawing>
          <wp:inline distT="0" distB="0" distL="0" distR="0">
            <wp:extent cx="5905500" cy="3781425"/>
            <wp:effectExtent t="0" r="0" b="0" l="0"/>
            <wp:docPr id="1" name="architecture" descr="Seven business services around ledger-servic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81425"/>
                    </a:xfrm>
                    <a:prstGeom prst="rect">
                      <a:avLst/>
                    </a:prstGeom>
                  </pic:spPr>
                </pic:pic>
              </a:graphicData>
            </a:graphic>
          </wp:inline>
        </w:drawing>
      </w:r>
    </w:p>
    <w:p>
      <w:pPr>
        <w:spacing w:after="120" w:line="276"/>
        <w:jc w:val="center"/>
      </w:pPr>
      <w:r>
        <w:rPr>
          <w:rFonts w:ascii="Calibri" w:cs="Calibri" w:eastAsia="Calibri" w:hAnsi="Calibri"/>
          <w:i/>
          <w:iCs/>
          <w:color w:val="6B7280"/>
          <w:sz w:val="18"/>
          <w:szCs w:val="18"/>
        </w:rPr>
        <w:t xml:space="preserve">Figure 1. System architecture (editable source: docs/architecture/system-architecture.drawio).</w:t>
      </w:r>
    </w:p>
    <w:p>
      <w:pPr>
        <w:pStyle w:val="Heading2"/>
        <w:keepNext/>
        <w:keepLines/>
        <w:spacing w:after="120" w:before="240"/>
      </w:pPr>
      <w:r>
        <w:rPr>
          <w:rFonts w:ascii="Calibri" w:cs="Calibri" w:eastAsia="Calibri" w:hAnsi="Calibri"/>
        </w:rPr>
        <w:t xml:space="preserve">4.1 Architecture principles</w:t>
      </w:r>
    </w:p>
    <w:p>
      <w:pPr>
        <w:pStyle w:val="ListParagraph"/>
        <w:numPr>
          <w:ilvl w:val="0"/>
          <w:numId w:val="2"/>
        </w:numPr>
        <w:spacing w:after="60"/>
      </w:pPr>
      <w:r>
        <w:rPr>
          <w:rFonts w:ascii="Calibri" w:cs="Calibri" w:eastAsia="Calibri" w:hAnsi="Calibri"/>
          <w:b/>
          <w:bCs/>
          <w:color w:val="1F2933"/>
          <w:sz w:val="22"/>
          <w:szCs w:val="22"/>
        </w:rPr>
        <w:t xml:space="preserve">Only the ledger changes balances. </w:t>
      </w:r>
      <w:r>
        <w:rPr>
          <w:rFonts w:ascii="Calibri" w:cs="Calibri" w:eastAsia="Calibri" w:hAnsi="Calibri"/>
          <w:color w:val="1F2933"/>
          <w:sz w:val="22"/>
          <w:szCs w:val="22"/>
        </w:rPr>
        <w:t xml:space="preserve">Services hold business state and post balanced transactions.</w:t>
      </w:r>
    </w:p>
    <w:p>
      <w:pPr>
        <w:pStyle w:val="ListParagraph"/>
        <w:numPr>
          <w:ilvl w:val="0"/>
          <w:numId w:val="2"/>
        </w:numPr>
        <w:spacing w:after="60"/>
      </w:pPr>
      <w:r>
        <w:rPr>
          <w:rFonts w:ascii="Calibri" w:cs="Calibri" w:eastAsia="Calibri" w:hAnsi="Calibri"/>
          <w:b/>
          <w:bCs/>
          <w:color w:val="1F2933"/>
          <w:sz w:val="22"/>
          <w:szCs w:val="22"/>
        </w:rPr>
        <w:t xml:space="preserve">Every money movement is priced first. </w:t>
      </w:r>
      <w:r>
        <w:rPr>
          <w:rFonts w:ascii="Calibri" w:cs="Calibri" w:eastAsia="Calibri" w:hAnsi="Calibri"/>
          <w:color w:val="1F2933"/>
          <w:sz w:val="22"/>
          <w:szCs w:val="22"/>
        </w:rPr>
        <w:t xml:space="preserve">pricing-service quotes fees, taxes and FX; the quote id is consumed once.</w:t>
      </w:r>
    </w:p>
    <w:p>
      <w:pPr>
        <w:pStyle w:val="ListParagraph"/>
        <w:numPr>
          <w:ilvl w:val="0"/>
          <w:numId w:val="2"/>
        </w:numPr>
        <w:spacing w:after="60"/>
      </w:pPr>
      <w:r>
        <w:rPr>
          <w:rFonts w:ascii="Calibri" w:cs="Calibri" w:eastAsia="Calibri" w:hAnsi="Calibri"/>
          <w:b/>
          <w:bCs/>
          <w:color w:val="1F2933"/>
          <w:sz w:val="22"/>
          <w:szCs w:val="22"/>
        </w:rPr>
        <w:t xml:space="preserve">Retries are always safe. </w:t>
      </w:r>
      <w:r>
        <w:rPr>
          <w:rFonts w:ascii="Calibri" w:cs="Calibri" w:eastAsia="Calibri" w:hAnsi="Calibri"/>
          <w:color w:val="1F2933"/>
          <w:sz w:val="22"/>
          <w:szCs w:val="22"/>
        </w:rPr>
        <w:t xml:space="preserve">Idempotency keys on APIs, ledger transactions and Kafka consumers.</w:t>
      </w:r>
    </w:p>
    <w:p>
      <w:pPr>
        <w:pStyle w:val="ListParagraph"/>
        <w:numPr>
          <w:ilvl w:val="0"/>
          <w:numId w:val="2"/>
        </w:numPr>
        <w:spacing w:after="60"/>
      </w:pPr>
      <w:r>
        <w:rPr>
          <w:rFonts w:ascii="Calibri" w:cs="Calibri" w:eastAsia="Calibri" w:hAnsi="Calibri"/>
          <w:b/>
          <w:bCs/>
          <w:color w:val="1F2933"/>
          <w:sz w:val="22"/>
          <w:szCs w:val="22"/>
        </w:rPr>
        <w:t xml:space="preserve">No distributed transactions. </w:t>
      </w:r>
      <w:r>
        <w:rPr>
          <w:rFonts w:ascii="Calibri" w:cs="Calibri" w:eastAsia="Calibri" w:hAnsi="Calibri"/>
          <w:color w:val="1F2933"/>
          <w:sz w:val="22"/>
          <w:szCs w:val="22"/>
        </w:rPr>
        <w:t xml:space="preserve">Sagas with compensating steps; unknown outcomes become visible states.</w:t>
      </w:r>
    </w:p>
    <w:p>
      <w:pPr>
        <w:pStyle w:val="ListParagraph"/>
        <w:numPr>
          <w:ilvl w:val="0"/>
          <w:numId w:val="2"/>
        </w:numPr>
        <w:spacing w:after="60"/>
      </w:pPr>
      <w:r>
        <w:rPr>
          <w:rFonts w:ascii="Calibri" w:cs="Calibri" w:eastAsia="Calibri" w:hAnsi="Calibri"/>
          <w:b/>
          <w:bCs/>
          <w:color w:val="1F2933"/>
          <w:sz w:val="22"/>
          <w:szCs w:val="22"/>
        </w:rPr>
        <w:t xml:space="preserve">Rules are data. </w:t>
      </w:r>
      <w:r>
        <w:rPr>
          <w:rFonts w:ascii="Calibri" w:cs="Calibri" w:eastAsia="Calibri" w:hAnsi="Calibri"/>
          <w:color w:val="1F2933"/>
          <w:sz w:val="22"/>
          <w:szCs w:val="22"/>
        </w:rPr>
        <w:t xml:space="preserve">Fees, taxes, interest and day-count rules are versioned rows with effective dates.</w:t>
      </w:r>
    </w:p>
    <w:p>
      <w:pPr>
        <w:pStyle w:val="ListParagraph"/>
        <w:numPr>
          <w:ilvl w:val="0"/>
          <w:numId w:val="2"/>
        </w:numPr>
        <w:spacing w:after="60"/>
      </w:pPr>
      <w:r>
        <w:rPr>
          <w:rFonts w:ascii="Calibri" w:cs="Calibri" w:eastAsia="Calibri" w:hAnsi="Calibri"/>
          <w:b/>
          <w:bCs/>
          <w:color w:val="1F2933"/>
          <w:sz w:val="22"/>
          <w:szCs w:val="22"/>
        </w:rPr>
        <w:t xml:space="preserve">The outside world sits behind adapters. </w:t>
      </w:r>
      <w:r>
        <w:rPr>
          <w:rFonts w:ascii="Calibri" w:cs="Calibri" w:eastAsia="Calibri" w:hAnsi="Calibri"/>
          <w:color w:val="1F2933"/>
          <w:sz w:val="22"/>
          <w:szCs w:val="22"/>
        </w:rPr>
        <w:t xml:space="preserve">Anti-corruption layers translate network, bank and FX formats.</w:t>
      </w:r>
    </w:p>
    <w:p>
      <w:pPr>
        <w:pStyle w:val="ListParagraph"/>
        <w:numPr>
          <w:ilvl w:val="0"/>
          <w:numId w:val="2"/>
        </w:numPr>
        <w:spacing w:after="60"/>
      </w:pPr>
      <w:r>
        <w:rPr>
          <w:rFonts w:ascii="Calibri" w:cs="Calibri" w:eastAsia="Calibri" w:hAnsi="Calibri"/>
          <w:b/>
          <w:bCs/>
          <w:color w:val="1F2933"/>
          <w:sz w:val="22"/>
          <w:szCs w:val="22"/>
        </w:rPr>
        <w:t xml:space="preserve">Prove health continuously. </w:t>
      </w:r>
      <w:r>
        <w:rPr>
          <w:rFonts w:ascii="Calibri" w:cs="Calibri" w:eastAsia="Calibri" w:hAnsi="Calibri"/>
          <w:color w:val="1F2933"/>
          <w:sz w:val="22"/>
          <w:szCs w:val="22"/>
        </w:rPr>
        <w:t xml:space="preserve">Invariant checks and end-to-end tests assert the books balance.</w:t>
      </w:r>
    </w:p>
    <w:p>
      <w:pPr>
        <w:pStyle w:val="Heading1"/>
        <w:keepNext/>
        <w:keepLines/>
        <w:spacing w:after="160" w:before="360"/>
      </w:pPr>
      <w:r>
        <w:rPr>
          <w:rFonts w:ascii="Calibri" w:cs="Calibri" w:eastAsia="Calibri" w:hAnsi="Calibri"/>
        </w:rPr>
        <w:t xml:space="preserve">5. Logical view</w:t>
      </w:r>
    </w:p>
    <w:p>
      <w:pPr>
        <w:pStyle w:val="Heading2"/>
        <w:keepNext/>
        <w:keepLines/>
        <w:spacing w:after="120" w:before="240"/>
      </w:pPr>
      <w:r>
        <w:rPr>
          <w:rFonts w:ascii="Calibri" w:cs="Calibri" w:eastAsia="Calibri" w:hAnsi="Calibri"/>
        </w:rPr>
        <w:t xml:space="preserve">5.1 Service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3026"/>
      </w:tblGrid>
      <w:tr>
        <w:trPr>
          <w:tblHeader/>
        </w:trPr>
        <w:tc>
          <w:tcPr>
            <w:tcW w:type="dxa" w:w="1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Service</w:t>
            </w:r>
          </w:p>
        </w:tc>
        <w:tc>
          <w:tcPr>
            <w:tcW w:type="dxa" w:w="15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Modules</w:t>
            </w:r>
          </w:p>
        </w:tc>
        <w:tc>
          <w:tcPr>
            <w:tcW w:type="dxa" w:w="27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Owns</w:t>
            </w:r>
          </w:p>
        </w:tc>
        <w:tc>
          <w:tcPr>
            <w:tcW w:type="dxa" w:w="30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Interfaces</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 entities, close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Entities, chart of accounts, transactions, entries, balances, periods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gRPC ledger.v1; REST /v1/entities, /v1/transactions, /v1/consolidation</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 disputes</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 intents, refunds, disputes, settlement batches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/v1/payment-intents, /v1/disputes, /v1/settlements; event PaymentCaptured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pricing-service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fees, tax, fx, interest</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Fee plans, tax rules, FX rates, quotes, interest rules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/v1/quotes, /v1/tax-rules, /v1/fx-rates, /v1/interest</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accounts-service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merchants, wallets</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Merchants, reserve holds, individuals, wallets, transfers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/v1/merchants, /v1/individuals, /v1/wallets, /v1/transfers; consumes PaymentCaptured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 and their saga state</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/v1/payouts; events PayoutCompleted, PayoutFailed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lending-service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loans, collections</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Products, loans, schedules, repayments, recovery cases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/v1/loans, /v1/recovery-cases; consumes PaymentCaptured, LoanInstalmentMissed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reconciliation-service</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matching, AI</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Reconciliation runs and statement lines</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/v1/reconciliation-runs, /v1/statement-lines, /v1/safeguarding</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rails-simulator</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card, bank, FX</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In-memory test state</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REST /sim/** with failure modes</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api-gateway</w:t>
            </w:r>
          </w:p>
        </w:tc>
        <w:tc>
          <w:tcPr>
            <w:tcW w:type="dxa" w:w="15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edge</w:t>
            </w:r>
          </w:p>
        </w:tc>
        <w:tc>
          <w:tcPr>
            <w:tcW w:type="dxa" w:w="27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None</w:t>
            </w:r>
          </w:p>
        </w:tc>
        <w:tc>
          <w:tcPr>
            <w:tcW w:type="dxa" w:w="3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Routes /v1/** to services</w:t>
            </w:r>
          </w:p>
        </w:tc>
      </w:tr>
    </w:tbl>
    <w:p>
      <w:pPr>
        <w:pStyle w:val="Heading2"/>
        <w:keepNext/>
        <w:keepLines/>
        <w:spacing w:after="120" w:before="240"/>
      </w:pPr>
      <w:r>
        <w:rPr>
          <w:rFonts w:ascii="Calibri" w:cs="Calibri" w:eastAsia="Calibri" w:hAnsi="Calibri"/>
        </w:rPr>
        <w:t xml:space="preserve">5.2 Domain-driven design</w:t>
      </w:r>
    </w:p>
    <w:p>
      <w:pPr>
        <w:spacing w:after="120" w:line="276"/>
      </w:pPr>
      <w:r>
        <w:rPr>
          <w:rFonts w:ascii="Calibri" w:cs="Calibri" w:eastAsia="Calibri" w:hAnsi="Calibri"/>
          <w:color w:val="1F2933"/>
          <w:sz w:val="22"/>
          <w:szCs w:val="22"/>
        </w:rPr>
        <w:t xml:space="preserve">Bounded contexts decide the model; deployables decide how it runs. Each aggregate is changed in one database transaction and protects one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Context</w:t>
            </w:r>
          </w:p>
        </w:tc>
        <w:tc>
          <w:tcPr>
            <w:tcW w:type="dxa" w:w="2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Aggregate root</w:t>
            </w:r>
          </w:p>
        </w:tc>
        <w:tc>
          <w:tcPr>
            <w:tcW w:type="dxa" w:w="50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Invariant</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JournalTransaction</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Debits equal credits per currency; never changed after posting</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AccountingPeriod</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 postings into a closed period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PaymentIntent</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Only allowed state transitions; refunds never exceed captured amount</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Pricing</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Quote / TaxRule</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Quote used once before expiry; rule versions never overlap</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Wallets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Wallet</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 overdraft without a recovery case</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Never sent twice; hold always committed or voided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Loans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Loan (with schedule)</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Repayment waterfall; stage follows days past due</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Collections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RecoveryCase</w:t>
            </w:r>
          </w:p>
        </w:tc>
        <w:tc>
          <w:tcPr>
            <w:tcW w:type="dxa" w:w="5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Never recover more than is owed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Upstream</w:t>
            </w:r>
          </w:p>
        </w:tc>
        <w:tc>
          <w:tcPr>
            <w:tcW w:type="dxa" w:w="3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Downstream</w:t>
            </w:r>
          </w:p>
        </w:tc>
        <w:tc>
          <w:tcPr>
            <w:tcW w:type="dxa" w:w="3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Relationship</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All money-moving contexts</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Open host service with published language (ledger.v1)</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Pricing</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 wallets, payouts, loans</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Customer-supplier</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Loans, merchants</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Published events (PaymentCaptured)</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Loans</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Collections</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Shared kernel (same service)</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Rails (external)</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 payouts, reconciliation</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Anti-corruption layer</w:t>
            </w:r>
          </w:p>
        </w:tc>
      </w:tr>
      <w:tr>
        <w:tc>
          <w:tcPr>
            <w:tcW w:type="dxa" w:w="2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w:t>
            </w:r>
          </w:p>
        </w:tc>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Reconciliation</w:t>
            </w:r>
          </w:p>
        </w:tc>
        <w:tc>
          <w:tcPr>
            <w:tcW w:type="dxa" w:w="3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Conformist (reads the ledger model as is)</w:t>
            </w:r>
          </w:p>
        </w:tc>
      </w:tr>
    </w:tbl>
    <w:p>
      <w:pPr>
        <w:pStyle w:val="Heading1"/>
        <w:keepNext/>
        <w:keepLines/>
        <w:spacing w:after="160" w:before="360"/>
      </w:pPr>
      <w:r>
        <w:rPr>
          <w:rFonts w:ascii="Calibri" w:cs="Calibri" w:eastAsia="Calibri" w:hAnsi="Calibri"/>
        </w:rPr>
        <w:t xml:space="preserve">6. Integration view</w:t>
      </w:r>
    </w:p>
    <w:p>
      <w:pPr>
        <w:pStyle w:val="Heading2"/>
        <w:keepNext/>
        <w:keepLines/>
        <w:spacing w:after="120" w:before="240"/>
      </w:pPr>
      <w:r>
        <w:rPr>
          <w:rFonts w:ascii="Calibri" w:cs="Calibri" w:eastAsia="Calibri" w:hAnsi="Calibri"/>
        </w:rPr>
        <w:t xml:space="preserve">6.1 Synchronous</w:t>
      </w:r>
    </w:p>
    <w:p>
      <w:pPr>
        <w:spacing w:after="120" w:line="276"/>
      </w:pPr>
      <w:r>
        <w:rPr>
          <w:rFonts w:ascii="Calibri" w:cs="Calibri" w:eastAsia="Calibri" w:hAnsi="Calibri"/>
          <w:color w:val="1F2933"/>
          <w:sz w:val="22"/>
          <w:szCs w:val="22"/>
        </w:rPr>
        <w:t xml:space="preserve">Public and service-to-service REST calls use one envelope. Requests carry the business data under payload; responses carry meta (request id, timestamp, status, errors) and payload. Every POST that moves money requires an Idempotency-Key header. Postings to the ledger use gRPC (binary over HTTP/2) because they sit on every money path; ledger.v1 messages follow the same meta/payload shape.</w:t>
      </w:r>
    </w:p>
    <w:p>
      <w:pPr>
        <w:shd w:fill="F3F4F6" w:color="auto" w:val="clear"/>
        <w:spacing w:after="0"/>
      </w:pPr>
      <w:r>
        <w:rPr>
          <w:rFonts w:ascii="Consolas" w:cs="Consolas" w:eastAsia="Consolas" w:hAnsi="Consolas"/>
          <w:color w:val="111111"/>
          <w:sz w:val="18"/>
          <w:szCs w:val="18"/>
        </w:rPr>
        <w:t xml:space="preserve">POST /v1/payment-intents</w:t>
      </w:r>
    </w:p>
    <w:p>
      <w:pPr>
        <w:shd w:fill="F3F4F6" w:color="auto" w:val="clear"/>
        <w:spacing w:after="0"/>
      </w:pPr>
      <w:r>
        <w:rPr>
          <w:rFonts w:ascii="Consolas" w:cs="Consolas" w:eastAsia="Consolas" w:hAnsi="Consolas"/>
          <w:color w:val="111111"/>
          <w:sz w:val="18"/>
          <w:szCs w:val="18"/>
        </w:rPr>
        <w:t xml:space="preserve">Idempotency-Key: 6f1c…</w:t>
      </w:r>
    </w:p>
    <w:p>
      <w:pPr>
        <w:shd w:fill="F3F4F6" w:color="auto" w:val="clear"/>
        <w:spacing w:after="0"/>
      </w:pPr>
      <w:r>
        <w:rPr>
          <w:rFonts w:ascii="Consolas" w:cs="Consolas" w:eastAsia="Consolas" w:hAnsi="Consolas"/>
          <w:color w:val="111111"/>
          <w:sz w:val="18"/>
          <w:szCs w:val="18"/>
        </w:rPr>
        <w:t xml:space="preserve">{ "payload": { "merchantId": "mer_…", "amountMinor": 100000, "currency": "KES", "method": "CARD" } }</w:t>
      </w:r>
    </w:p>
    <w:p>
      <w:pPr>
        <w:shd w:fill="F3F4F6" w:color="auto" w:val="clear"/>
        <w:spacing w:after="0"/>
      </w:pPr>
      <w:r>
        <w:rPr>
          <w:rFonts w:ascii="Consolas" w:cs="Consolas" w:eastAsia="Consolas" w:hAnsi="Consolas"/>
          <w:color w:val="111111"/>
          <w:sz w:val="18"/>
          <w:szCs w:val="18"/>
        </w:rPr>
        <w:t xml:space="preserve">→ 201 { "meta": { "requestId": "…", "status": "SUCCESS", "errors": [] }, "payload": { "id": "pi_…", "status": "AUTHORIZED" } }</w:t>
      </w:r>
    </w:p>
    <w:p>
      <w:pPr>
        <w:spacing w:after="120"/>
      </w:pPr>
    </w:p>
    <w:p>
      <w:pPr>
        <w:pStyle w:val="Heading2"/>
        <w:keepNext/>
        <w:keepLines/>
        <w:spacing w:after="120" w:before="240"/>
      </w:pPr>
      <w:r>
        <w:rPr>
          <w:rFonts w:ascii="Calibri" w:cs="Calibri" w:eastAsia="Calibri" w:hAnsi="Calibri"/>
        </w:rPr>
        <w:t xml:space="preserve">6.2 Asynchronous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226"/>
      </w:tblGrid>
      <w:tr>
        <w:trPr>
          <w:tblHeader/>
        </w:trPr>
        <w:tc>
          <w:tcPr>
            <w:tcW w:type="dxa" w:w="2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Topic</w:t>
            </w:r>
          </w:p>
        </w:tc>
        <w:tc>
          <w:tcPr>
            <w:tcW w:type="dxa" w:w="1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Producer</w:t>
            </w:r>
          </w:p>
        </w:tc>
        <w:tc>
          <w:tcPr>
            <w:tcW w:type="dxa" w:w="2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Consumers</w:t>
            </w:r>
          </w:p>
        </w:tc>
        <w:tc>
          <w:tcPr>
            <w:tcW w:type="dxa" w:w="22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Effect</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payments.payment-captured.v1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payments-service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accounts-service, lending-service</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Rolling reserve hold; merchant-financing withholding</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payments.payment-refunded.v1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payments-service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reserved for notifications</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payments.dispute-opened.v1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payments-service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reserved for risk</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payouts.payout-completed.v1 / payout-failed.v1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payouts-service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reserved for notifications</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lending.loan-instalment-missed.v1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lending-service (loans)</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lending-service (collections)</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Open recovery case and recover across accounts</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ledger.transaction-posted.v1</w:t>
            </w:r>
          </w:p>
        </w:tc>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ledger-service</w:t>
            </w:r>
          </w:p>
        </w:tc>
        <w:tc>
          <w:tcPr>
            <w:tcW w:type="dxa" w:w="2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reserved for analytics</w:t>
            </w:r>
          </w:p>
        </w:tc>
        <w:tc>
          <w:tcPr>
            <w:tcW w:type="dxa" w:w="22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w:t>
            </w:r>
          </w:p>
        </w:tc>
      </w:tr>
    </w:tbl>
    <w:p>
      <w:pPr>
        <w:spacing w:after="120" w:line="276"/>
      </w:pPr>
      <w:r>
        <w:rPr>
          <w:rFonts w:ascii="Calibri" w:cs="Calibri" w:eastAsia="Calibri" w:hAnsi="Calibri"/>
          <w:color w:val="1F2933"/>
          <w:sz w:val="22"/>
          <w:szCs w:val="22"/>
        </w:rPr>
        <w:t xml:space="preserve">Events are written to an outbox table in the same transaction as the change and relayed to Kafka; consumers record processed event ids, so at-least-once delivery has exactly-once effects.</w:t>
      </w:r>
    </w:p>
    <w:p>
      <w:pPr>
        <w:pStyle w:val="Heading1"/>
        <w:keepNext/>
        <w:keepLines/>
        <w:spacing w:after="160" w:before="360"/>
      </w:pPr>
      <w:r>
        <w:rPr>
          <w:rFonts w:ascii="Calibri" w:cs="Calibri" w:eastAsia="Calibri" w:hAnsi="Calibri"/>
        </w:rPr>
        <w:t xml:space="preserve">7. Data view</w:t>
      </w:r>
    </w:p>
    <w:p>
      <w:pPr>
        <w:pStyle w:val="ListParagraph"/>
        <w:numPr>
          <w:ilvl w:val="0"/>
          <w:numId w:val="2"/>
        </w:numPr>
        <w:spacing w:after="60"/>
      </w:pPr>
      <w:r>
        <w:rPr>
          <w:rFonts w:ascii="Calibri" w:cs="Calibri" w:eastAsia="Calibri" w:hAnsi="Calibri"/>
          <w:color w:val="1F2933"/>
          <w:sz w:val="22"/>
          <w:szCs w:val="22"/>
        </w:rPr>
        <w:t xml:space="preserve">One PostgreSQL database per service; no service reads another's tables.</w:t>
      </w:r>
    </w:p>
    <w:p>
      <w:pPr>
        <w:pStyle w:val="ListParagraph"/>
        <w:numPr>
          <w:ilvl w:val="0"/>
          <w:numId w:val="2"/>
        </w:numPr>
        <w:spacing w:after="60"/>
      </w:pPr>
      <w:r>
        <w:rPr>
          <w:rFonts w:ascii="Calibri" w:cs="Calibri" w:eastAsia="Calibri" w:hAnsi="Calibri"/>
          <w:color w:val="1F2933"/>
          <w:sz w:val="22"/>
          <w:szCs w:val="22"/>
        </w:rPr>
        <w:t xml:space="preserve">Money is a long number of minor units plus an ISO 4217 code; rates are BigDecimal; rounding is half-even per currency.</w:t>
      </w:r>
    </w:p>
    <w:p>
      <w:pPr>
        <w:pStyle w:val="ListParagraph"/>
        <w:numPr>
          <w:ilvl w:val="0"/>
          <w:numId w:val="2"/>
        </w:numPr>
        <w:spacing w:after="60"/>
      </w:pPr>
      <w:r>
        <w:rPr>
          <w:rFonts w:ascii="Calibri" w:cs="Calibri" w:eastAsia="Calibri" w:hAnsi="Calibri"/>
          <w:color w:val="1F2933"/>
          <w:sz w:val="22"/>
          <w:szCs w:val="22"/>
        </w:rPr>
        <w:t xml:space="preserve">Flyway migrations live inside each service (src/main/resources/db/migration); in Kubernetes they run as Jobs before rollout.</w:t>
      </w:r>
    </w:p>
    <w:p>
      <w:pPr>
        <w:pStyle w:val="ListParagraph"/>
        <w:numPr>
          <w:ilvl w:val="0"/>
          <w:numId w:val="2"/>
        </w:numPr>
        <w:spacing w:after="60"/>
      </w:pPr>
      <w:r>
        <w:rPr>
          <w:rFonts w:ascii="Calibri" w:cs="Calibri" w:eastAsia="Calibri" w:hAnsi="Calibri"/>
          <w:color w:val="1F2933"/>
          <w:sz w:val="22"/>
          <w:szCs w:val="22"/>
        </w:rPr>
        <w:t xml:space="preserve">Shared tables in every service: idempotency_keys, outbox_events, processed_events.</w:t>
      </w:r>
    </w:p>
    <w:p>
      <w:pPr>
        <w:pStyle w:val="Heading2"/>
        <w:keepNext/>
        <w:keepLines/>
        <w:spacing w:after="120" w:before="240"/>
      </w:pPr>
      <w:r>
        <w:rPr>
          <w:rFonts w:ascii="Calibri" w:cs="Calibri" w:eastAsia="Calibri" w:hAnsi="Calibri"/>
        </w:rPr>
        <w:t xml:space="preserve">7.1 Ledger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Table</w:t>
            </w:r>
          </w:p>
        </w:tc>
        <w:tc>
          <w:tcPr>
            <w:tcW w:type="dxa" w:w="64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Purpose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legal_entities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One row per licensed company: country, functional currency, time zone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chart_accounts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Chart of accounts per entity with type and normal side</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ledger_accounts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Accounts created on first use: base code + optional sub-ledger key, per currency</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ledger_transactions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Journal header: idempotency key, type, effective date, reference, status (PENDING, POSTED, VOIDED)</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ledger_entries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Debit and credit lines; append-only, enforced by a database trigger</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account_balances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Projection of posted and pending balances; rebuildable and checked against entries</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accounting_periods</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Open and closed months per entity</w:t>
            </w:r>
          </w:p>
        </w:tc>
      </w:tr>
      <w:tr>
        <w:tc>
          <w:tcPr>
            <w:tcW w:type="dxa" w:w="2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fx_revaluation_state</w:t>
            </w:r>
          </w:p>
        </w:tc>
        <w:tc>
          <w:tcPr>
            <w:tcW w:type="dxa" w:w="6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Last rate used to revalue each foreign-currency account</w:t>
            </w:r>
          </w:p>
        </w:tc>
      </w:tr>
    </w:tbl>
    <w:p>
      <w:pPr>
        <w:pStyle w:val="Heading1"/>
        <w:keepNext/>
        <w:keepLines/>
        <w:spacing w:after="160" w:before="360"/>
      </w:pPr>
      <w:r>
        <w:rPr>
          <w:rFonts w:ascii="Calibri" w:cs="Calibri" w:eastAsia="Calibri" w:hAnsi="Calibri"/>
        </w:rPr>
        <w:t xml:space="preserve">8. Key flows</w:t>
      </w:r>
    </w:p>
    <w:p>
      <w:pPr>
        <w:pStyle w:val="Heading2"/>
        <w:keepNext/>
        <w:keepLines/>
        <w:spacing w:after="120" w:before="240"/>
      </w:pPr>
      <w:r>
        <w:rPr>
          <w:rFonts w:ascii="Calibri" w:cs="Calibri" w:eastAsia="Calibri" w:hAnsi="Calibri"/>
        </w:rPr>
        <w:t xml:space="preserve">8.1 Card payment capture</w:t>
      </w:r>
    </w:p>
    <w:p>
      <w:pPr>
        <w:pStyle w:val="ListParagraph"/>
        <w:numPr>
          <w:ilvl w:val="0"/>
          <w:numId w:val="3"/>
        </w:numPr>
        <w:spacing w:after="60"/>
      </w:pPr>
      <w:r>
        <w:rPr>
          <w:rFonts w:ascii="Calibri" w:cs="Calibri" w:eastAsia="Calibri" w:hAnsi="Calibri"/>
          <w:color w:val="1F2933"/>
          <w:sz w:val="22"/>
          <w:szCs w:val="22"/>
        </w:rPr>
        <w:t xml:space="preserve">payments-service loads the intent (AUTHORIZED) and requests a CARD_PAYMENT quote; consumes it with reference payment:{id}.</w:t>
      </w:r>
    </w:p>
    <w:p>
      <w:pPr>
        <w:pStyle w:val="ListParagraph"/>
        <w:numPr>
          <w:ilvl w:val="0"/>
          <w:numId w:val="3"/>
        </w:numPr>
        <w:spacing w:after="60"/>
      </w:pPr>
      <w:r>
        <w:rPr>
          <w:rFonts w:ascii="Calibri" w:cs="Calibri" w:eastAsia="Calibri" w:hAnsi="Calibri"/>
          <w:color w:val="1F2933"/>
          <w:sz w:val="22"/>
          <w:szCs w:val="22"/>
        </w:rPr>
        <w:t xml:space="preserve">Calls the card network adapter to capture.</w:t>
      </w:r>
    </w:p>
    <w:p>
      <w:pPr>
        <w:pStyle w:val="ListParagraph"/>
        <w:numPr>
          <w:ilvl w:val="0"/>
          <w:numId w:val="3"/>
        </w:numPr>
        <w:spacing w:after="60"/>
      </w:pPr>
      <w:r>
        <w:rPr>
          <w:rFonts w:ascii="Calibri" w:cs="Calibri" w:eastAsia="Calibri" w:hAnsi="Calibri"/>
          <w:color w:val="1F2933"/>
          <w:sz w:val="22"/>
          <w:szCs w:val="22"/>
        </w:rPr>
        <w:t xml:space="preserve">Posts to the ledger: Dr 1100 Settlement receivable (gross) / Cr 2000 Merchant payable (net) / Cr 4000 Fee revenue / Cr 2510 VAT payable.</w:t>
      </w:r>
    </w:p>
    <w:p>
      <w:pPr>
        <w:pStyle w:val="ListParagraph"/>
        <w:numPr>
          <w:ilvl w:val="0"/>
          <w:numId w:val="3"/>
        </w:numPr>
        <w:spacing w:after="60"/>
      </w:pPr>
      <w:r>
        <w:rPr>
          <w:rFonts w:ascii="Calibri" w:cs="Calibri" w:eastAsia="Calibri" w:hAnsi="Calibri"/>
          <w:color w:val="1F2933"/>
          <w:sz w:val="22"/>
          <w:szCs w:val="22"/>
        </w:rPr>
        <w:t xml:space="preserve">Marks the intent CAPTURED and writes PaymentCaptured to the outbox in one transaction.</w:t>
      </w:r>
    </w:p>
    <w:p>
      <w:pPr>
        <w:pStyle w:val="ListParagraph"/>
        <w:numPr>
          <w:ilvl w:val="0"/>
          <w:numId w:val="3"/>
        </w:numPr>
        <w:spacing w:after="60"/>
      </w:pPr>
      <w:r>
        <w:rPr>
          <w:rFonts w:ascii="Calibri" w:cs="Calibri" w:eastAsia="Calibri" w:hAnsi="Calibri"/>
          <w:color w:val="1F2933"/>
          <w:sz w:val="22"/>
          <w:szCs w:val="22"/>
        </w:rPr>
        <w:t xml:space="preserve">accounts-service holds a reserve; lending-service withholds merchant-financing repayments.</w:t>
      </w:r>
    </w:p>
    <w:p>
      <w:pPr>
        <w:pStyle w:val="Heading2"/>
        <w:keepNext/>
        <w:keepLines/>
        <w:spacing w:after="120" w:before="240"/>
      </w:pPr>
      <w:r>
        <w:rPr>
          <w:rFonts w:ascii="Calibri" w:cs="Calibri" w:eastAsia="Calibri" w:hAnsi="Calibri"/>
        </w:rPr>
        <w:t xml:space="preserve">8.2 Payout saga</w:t>
      </w:r>
    </w:p>
    <w:p>
      <w:pPr>
        <w:pStyle w:val="ListParagraph"/>
        <w:numPr>
          <w:ilvl w:val="0"/>
          <w:numId w:val="4"/>
        </w:numPr>
        <w:spacing w:after="60"/>
      </w:pPr>
      <w:r>
        <w:rPr>
          <w:rFonts w:ascii="Calibri" w:cs="Calibri" w:eastAsia="Calibri" w:hAnsi="Calibri"/>
          <w:color w:val="1F2933"/>
          <w:sz w:val="22"/>
          <w:szCs w:val="22"/>
        </w:rPr>
        <w:t xml:space="preserve">Quote (fee and tax) and consume it.</w:t>
      </w:r>
    </w:p>
    <w:p>
      <w:pPr>
        <w:pStyle w:val="ListParagraph"/>
        <w:numPr>
          <w:ilvl w:val="0"/>
          <w:numId w:val="4"/>
        </w:numPr>
        <w:spacing w:after="60"/>
      </w:pPr>
      <w:r>
        <w:rPr>
          <w:rFonts w:ascii="Calibri" w:cs="Calibri" w:eastAsia="Calibri" w:hAnsi="Calibri"/>
          <w:color w:val="1F2933"/>
          <w:sz w:val="22"/>
          <w:szCs w:val="22"/>
        </w:rPr>
        <w:t xml:space="preserve">Pending ledger hold: Dr source (amount + fee + tax, no overdraft) / Cr 2300 Payout clearing / Cr 4300 fee / Cr tax.</w:t>
      </w:r>
    </w:p>
    <w:p>
      <w:pPr>
        <w:pStyle w:val="ListParagraph"/>
        <w:numPr>
          <w:ilvl w:val="0"/>
          <w:numId w:val="4"/>
        </w:numPr>
        <w:spacing w:after="60"/>
      </w:pPr>
      <w:r>
        <w:rPr>
          <w:rFonts w:ascii="Calibri" w:cs="Calibri" w:eastAsia="Calibri" w:hAnsi="Calibri"/>
          <w:color w:val="1F2933"/>
          <w:sz w:val="22"/>
          <w:szCs w:val="22"/>
        </w:rPr>
        <w:t xml:space="preserve">Send to the bank adapter.</w:t>
      </w:r>
    </w:p>
    <w:p>
      <w:pPr>
        <w:pStyle w:val="ListParagraph"/>
        <w:numPr>
          <w:ilvl w:val="0"/>
          <w:numId w:val="4"/>
        </w:numPr>
        <w:spacing w:after="60"/>
      </w:pPr>
      <w:r>
        <w:rPr>
          <w:rFonts w:ascii="Calibri" w:cs="Calibri" w:eastAsia="Calibri" w:hAnsi="Calibri"/>
          <w:color w:val="1F2933"/>
          <w:sz w:val="22"/>
          <w:szCs w:val="22"/>
        </w:rPr>
        <w:t xml:space="preserve">PAID: commit the hold, then Dr 2300 / Cr 1000 Cash. FAILED: void the hold (compensation). TIMEOUT: keep SENT; a retry job queries the bank.</w:t>
      </w:r>
    </w:p>
    <w:p>
      <w:pPr>
        <w:pStyle w:val="Heading2"/>
        <w:keepNext/>
        <w:keepLines/>
        <w:spacing w:after="120" w:before="240"/>
      </w:pPr>
      <w:r>
        <w:rPr>
          <w:rFonts w:ascii="Calibri" w:cs="Calibri" w:eastAsia="Calibri" w:hAnsi="Calibri"/>
        </w:rPr>
        <w:t xml:space="preserve">8.3 Instalment loan lifecycle</w:t>
      </w:r>
    </w:p>
    <w:p>
      <w:pPr>
        <w:pStyle w:val="ListParagraph"/>
        <w:numPr>
          <w:ilvl w:val="0"/>
          <w:numId w:val="5"/>
        </w:numPr>
        <w:spacing w:after="60"/>
      </w:pPr>
      <w:r>
        <w:rPr>
          <w:rFonts w:ascii="Calibri" w:cs="Calibri" w:eastAsia="Calibri" w:hAnsi="Calibri"/>
          <w:color w:val="1F2933"/>
          <w:sz w:val="22"/>
          <w:szCs w:val="22"/>
        </w:rPr>
        <w:t xml:space="preserve">Apply (eligibility specification) and disburse: Dr 1230 Loan receivable / Cr 2010 Wallet; schedule from pricing-service.</w:t>
      </w:r>
    </w:p>
    <w:p>
      <w:pPr>
        <w:pStyle w:val="ListParagraph"/>
        <w:numPr>
          <w:ilvl w:val="0"/>
          <w:numId w:val="5"/>
        </w:numPr>
        <w:spacing w:after="60"/>
      </w:pPr>
      <w:r>
        <w:rPr>
          <w:rFonts w:ascii="Calibri" w:cs="Calibri" w:eastAsia="Calibri" w:hAnsi="Calibri"/>
          <w:color w:val="1F2933"/>
          <w:sz w:val="22"/>
          <w:szCs w:val="22"/>
        </w:rPr>
        <w:t xml:space="preserve">Daily job: accrue interest (Dr 1240 / Cr 4110) by the jurisdiction's day-count convention.</w:t>
      </w:r>
    </w:p>
    <w:p>
      <w:pPr>
        <w:pStyle w:val="ListParagraph"/>
        <w:numPr>
          <w:ilvl w:val="0"/>
          <w:numId w:val="5"/>
        </w:numPr>
        <w:spacing w:after="60"/>
      </w:pPr>
      <w:r>
        <w:rPr>
          <w:rFonts w:ascii="Calibri" w:cs="Calibri" w:eastAsia="Calibri" w:hAnsi="Calibri"/>
          <w:color w:val="1F2933"/>
          <w:sz w:val="22"/>
          <w:szCs w:val="22"/>
        </w:rPr>
        <w:t xml:space="preserve">Auto-debit due instalments using the waterfall: fees, then interest, then principal.</w:t>
      </w:r>
    </w:p>
    <w:p>
      <w:pPr>
        <w:pStyle w:val="ListParagraph"/>
        <w:numPr>
          <w:ilvl w:val="0"/>
          <w:numId w:val="5"/>
        </w:numPr>
        <w:spacing w:after="60"/>
      </w:pPr>
      <w:r>
        <w:rPr>
          <w:rFonts w:ascii="Calibri" w:cs="Calibri" w:eastAsia="Calibri" w:hAnsi="Calibri"/>
          <w:color w:val="1F2933"/>
          <w:sz w:val="22"/>
          <w:szCs w:val="22"/>
        </w:rPr>
        <w:t xml:space="preserve">Missed instalment: days past due, late fee (Dr 1250 / Cr 4120), LoanInstalmentMissed event, recovery case.</w:t>
      </w:r>
    </w:p>
    <w:p>
      <w:pPr>
        <w:pStyle w:val="ListParagraph"/>
        <w:numPr>
          <w:ilvl w:val="0"/>
          <w:numId w:val="5"/>
        </w:numPr>
        <w:spacing w:after="60"/>
      </w:pPr>
      <w:r>
        <w:rPr>
          <w:rFonts w:ascii="Calibri" w:cs="Calibri" w:eastAsia="Calibri" w:hAnsi="Calibri"/>
          <w:color w:val="1F2933"/>
          <w:sz w:val="22"/>
          <w:szCs w:val="22"/>
        </w:rPr>
        <w:t xml:space="preserve">Restage by DPD (IFRS 9 stages 1-3) and adjust the allowance (Dr 5100 / Cr 1220); write off when recovery fails.</w:t>
      </w:r>
    </w:p>
    <w:p>
      <w:pPr>
        <w:pStyle w:val="Heading2"/>
        <w:keepNext/>
        <w:keepLines/>
        <w:spacing w:after="120" w:before="240"/>
      </w:pPr>
      <w:r>
        <w:rPr>
          <w:rFonts w:ascii="Calibri" w:cs="Calibri" w:eastAsia="Calibri" w:hAnsi="Calibri"/>
        </w:rPr>
        <w:t xml:space="preserve">8.4 Reconciliation</w:t>
      </w:r>
    </w:p>
    <w:p>
      <w:pPr>
        <w:pStyle w:val="ListParagraph"/>
        <w:numPr>
          <w:ilvl w:val="0"/>
          <w:numId w:val="6"/>
        </w:numPr>
        <w:spacing w:after="60"/>
      </w:pPr>
      <w:r>
        <w:rPr>
          <w:rFonts w:ascii="Calibri" w:cs="Calibri" w:eastAsia="Calibri" w:hAnsi="Calibri"/>
          <w:color w:val="1F2933"/>
          <w:sz w:val="22"/>
          <w:szCs w:val="22"/>
        </w:rPr>
        <w:t xml:space="preserve">Import the bank statement (file, CSV or bank API).</w:t>
      </w:r>
    </w:p>
    <w:p>
      <w:pPr>
        <w:pStyle w:val="ListParagraph"/>
        <w:numPr>
          <w:ilvl w:val="0"/>
          <w:numId w:val="6"/>
        </w:numPr>
        <w:spacing w:after="60"/>
      </w:pPr>
      <w:r>
        <w:rPr>
          <w:rFonts w:ascii="Calibri" w:cs="Calibri" w:eastAsia="Calibri" w:hAnsi="Calibri"/>
          <w:color w:val="1F2933"/>
          <w:sz w:val="22"/>
          <w:szCs w:val="22"/>
        </w:rPr>
        <w:t xml:space="preserve">Match each line to a posted ledger transaction with the same reference and the same movement through cash (1000).</w:t>
      </w:r>
    </w:p>
    <w:p>
      <w:pPr>
        <w:pStyle w:val="ListParagraph"/>
        <w:numPr>
          <w:ilvl w:val="0"/>
          <w:numId w:val="6"/>
        </w:numPr>
        <w:spacing w:after="60"/>
      </w:pPr>
      <w:r>
        <w:rPr>
          <w:rFonts w:ascii="Calibri" w:cs="Calibri" w:eastAsia="Calibri" w:hAnsi="Calibri"/>
          <w:color w:val="1F2933"/>
          <w:sz w:val="22"/>
          <w:szCs w:val="22"/>
        </w:rPr>
        <w:t xml:space="preserve">Exceptions are explained (rules or Spring AI, read-only) and may be parked in suspense (2900) by a person, then resolved.</w:t>
      </w:r>
    </w:p>
    <w:p>
      <w:pPr>
        <w:pStyle w:val="Heading1"/>
        <w:keepNext/>
        <w:keepLines/>
        <w:spacing w:after="160" w:before="360"/>
      </w:pPr>
      <w:r>
        <w:rPr>
          <w:rFonts w:ascii="Calibri" w:cs="Calibri" w:eastAsia="Calibri" w:hAnsi="Calibri"/>
        </w:rPr>
        <w:t xml:space="preserve">9. Accounting design</w:t>
      </w:r>
    </w:p>
    <w:p>
      <w:pPr>
        <w:spacing w:after="120" w:line="276"/>
      </w:pPr>
      <w:r>
        <w:rPr>
          <w:rFonts w:ascii="Calibri" w:cs="Calibri" w:eastAsia="Calibri" w:hAnsi="Calibri"/>
          <w:color w:val="1F2933"/>
          <w:sz w:val="22"/>
          <w:szCs w:val="22"/>
        </w:rPr>
        <w:t xml:space="preserve">The ledger implements double-entry bookkeeping on the accrual basis, with one chart of accounts per legal entity. Sub-ledgers (for example 2000:{merchantId}, 2010:{walletId}, 2510:{country}) are created on first use. Principles map to design as follows; the full explanation with journal entries is in the accounting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Principle</w:t>
            </w:r>
          </w:p>
        </w:tc>
        <w:tc>
          <w:tcPr>
            <w:tcW w:type="dxa" w:w="60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Design consequence</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Duality</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Every posting balances per currency or is rejected</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Entity concept</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Books per legal entity; intercompany accounts between entities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Accrual and revenue recognition</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Fees at capture; interest accrued daily; financing fee earned as it is repaid</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Prudence</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Expected credit loss allowance from day one, staged by days past due</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Periodicity</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Month-end close with closing entries to retained earnings; closed periods are locked</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Remeasurement</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Foreign-currency balances revalued at month-end (unrealized FX gain or loss)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Audit trail</w:t>
            </w:r>
          </w:p>
        </w:tc>
        <w:tc>
          <w:tcPr>
            <w:tcW w:type="dxa" w:w="60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Append-only entries; reversals; references and request ids on every transaction</w:t>
            </w:r>
          </w:p>
        </w:tc>
      </w:tr>
    </w:tbl>
    <w:p>
      <w:pPr>
        <w:pStyle w:val="Heading1"/>
        <w:keepNext/>
        <w:keepLines/>
        <w:spacing w:after="160" w:before="360"/>
      </w:pPr>
      <w:r>
        <w:rPr>
          <w:rFonts w:ascii="Calibri" w:cs="Calibri" w:eastAsia="Calibri" w:hAnsi="Calibri"/>
        </w:rPr>
        <w:t xml:space="preserve">10. Multinational design</w:t>
      </w:r>
    </w:p>
    <w:p>
      <w:pPr>
        <w:pStyle w:val="ListParagraph"/>
        <w:numPr>
          <w:ilvl w:val="0"/>
          <w:numId w:val="2"/>
        </w:numPr>
        <w:spacing w:after="60"/>
      </w:pPr>
      <w:r>
        <w:rPr>
          <w:rFonts w:ascii="Calibri" w:cs="Calibri" w:eastAsia="Calibri" w:hAnsi="Calibri"/>
          <w:color w:val="1F2933"/>
          <w:sz w:val="22"/>
          <w:szCs w:val="22"/>
        </w:rPr>
        <w:t xml:space="preserve">Entities: one per country (KE, UK, US) with functional currency and time zone; reporting currency chosen at consolidation.</w:t>
      </w:r>
    </w:p>
    <w:p>
      <w:pPr>
        <w:pStyle w:val="ListParagraph"/>
        <w:numPr>
          <w:ilvl w:val="0"/>
          <w:numId w:val="2"/>
        </w:numPr>
        <w:spacing w:after="60"/>
      </w:pPr>
      <w:r>
        <w:rPr>
          <w:rFonts w:ascii="Calibri" w:cs="Calibri" w:eastAsia="Calibri" w:hAnsi="Calibri"/>
          <w:color w:val="1F2933"/>
          <w:sz w:val="22"/>
          <w:szCs w:val="22"/>
        </w:rPr>
        <w:t xml:space="preserve">Tax engine: rules per jurisdiction and product (VAT/GST, excise, withholding, reverse charge for cross-border B2B), versioned with effective dates. Kenya rules follow published 2026 figures; others are labelled examples.</w:t>
      </w:r>
    </w:p>
    <w:p>
      <w:pPr>
        <w:pStyle w:val="ListParagraph"/>
        <w:numPr>
          <w:ilvl w:val="0"/>
          <w:numId w:val="2"/>
        </w:numPr>
        <w:spacing w:after="60"/>
      </w:pPr>
      <w:r>
        <w:rPr>
          <w:rFonts w:ascii="Calibri" w:cs="Calibri" w:eastAsia="Calibri" w:hAnsi="Calibri"/>
          <w:color w:val="1F2933"/>
          <w:sz w:val="22"/>
          <w:szCs w:val="22"/>
        </w:rPr>
        <w:t xml:space="preserve">FX: quotes with mid rate, customer rate and spread; conversions balanced through FX clearing in both currencies; month-end revaluation.</w:t>
      </w:r>
    </w:p>
    <w:p>
      <w:pPr>
        <w:pStyle w:val="ListParagraph"/>
        <w:numPr>
          <w:ilvl w:val="0"/>
          <w:numId w:val="2"/>
        </w:numPr>
        <w:spacing w:after="60"/>
      </w:pPr>
      <w:r>
        <w:rPr>
          <w:rFonts w:ascii="Calibri" w:cs="Calibri" w:eastAsia="Calibri" w:hAnsi="Calibri"/>
          <w:color w:val="1F2933"/>
          <w:sz w:val="22"/>
          <w:szCs w:val="22"/>
        </w:rPr>
        <w:t xml:space="preserve">Interest: day-count conventions (ACT/365, ACT/360, 30/360) and rate caps per jurisdiction.</w:t>
      </w:r>
    </w:p>
    <w:p>
      <w:pPr>
        <w:pStyle w:val="ListParagraph"/>
        <w:numPr>
          <w:ilvl w:val="0"/>
          <w:numId w:val="2"/>
        </w:numPr>
        <w:spacing w:after="60"/>
      </w:pPr>
      <w:r>
        <w:rPr>
          <w:rFonts w:ascii="Calibri" w:cs="Calibri" w:eastAsia="Calibri" w:hAnsi="Calibri"/>
          <w:color w:val="1F2933"/>
          <w:sz w:val="22"/>
          <w:szCs w:val="22"/>
        </w:rPr>
        <w:t xml:space="preserve">Consolidation: translate (closing rates for balance sheet, average rates for P&amp;L), eliminate intercompany, report translation reserve.</w:t>
      </w:r>
    </w:p>
    <w:p>
      <w:pPr>
        <w:pStyle w:val="Heading1"/>
        <w:keepNext/>
        <w:keepLines/>
        <w:spacing w:after="160" w:before="360"/>
      </w:pPr>
      <w:r>
        <w:rPr>
          <w:rFonts w:ascii="Calibri" w:cs="Calibri" w:eastAsia="Calibri" w:hAnsi="Calibri"/>
        </w:rPr>
        <w:t xml:space="preserve">11. Security</w:t>
      </w:r>
    </w:p>
    <w:p>
      <w:pPr>
        <w:pStyle w:val="ListParagraph"/>
        <w:numPr>
          <w:ilvl w:val="0"/>
          <w:numId w:val="2"/>
        </w:numPr>
        <w:spacing w:after="60"/>
      </w:pPr>
      <w:r>
        <w:rPr>
          <w:rFonts w:ascii="Calibri" w:cs="Calibri" w:eastAsia="Calibri" w:hAnsi="Calibri"/>
          <w:color w:val="1F2933"/>
          <w:sz w:val="22"/>
          <w:szCs w:val="22"/>
        </w:rPr>
        <w:t xml:space="preserve">Gateway validates JWTs from an OIDC provider (Keycloak) when enabled; health endpoints stay public.</w:t>
      </w:r>
    </w:p>
    <w:p>
      <w:pPr>
        <w:pStyle w:val="ListParagraph"/>
        <w:numPr>
          <w:ilvl w:val="0"/>
          <w:numId w:val="2"/>
        </w:numPr>
        <w:spacing w:after="60"/>
      </w:pPr>
      <w:r>
        <w:rPr>
          <w:rFonts w:ascii="Calibri" w:cs="Calibri" w:eastAsia="Calibri" w:hAnsi="Calibri"/>
          <w:color w:val="1F2933"/>
          <w:sz w:val="22"/>
          <w:szCs w:val="22"/>
        </w:rPr>
        <w:t xml:space="preserve">Each service connects with its own database credentials; secrets come from Kubernetes Secrets (or an external secret manager), never from Git.</w:t>
      </w:r>
    </w:p>
    <w:p>
      <w:pPr>
        <w:pStyle w:val="ListParagraph"/>
        <w:numPr>
          <w:ilvl w:val="0"/>
          <w:numId w:val="2"/>
        </w:numPr>
        <w:spacing w:after="60"/>
      </w:pPr>
      <w:r>
        <w:rPr>
          <w:rFonts w:ascii="Calibri" w:cs="Calibri" w:eastAsia="Calibri" w:hAnsi="Calibri"/>
          <w:color w:val="1F2933"/>
          <w:sz w:val="22"/>
          <w:szCs w:val="22"/>
        </w:rPr>
        <w:t xml:space="preserve">Containers run as non-root with a read-only root filesystem; no privilege escalation.</w:t>
      </w:r>
    </w:p>
    <w:p>
      <w:pPr>
        <w:pStyle w:val="ListParagraph"/>
        <w:numPr>
          <w:ilvl w:val="0"/>
          <w:numId w:val="2"/>
        </w:numPr>
        <w:spacing w:after="60"/>
      </w:pPr>
      <w:r>
        <w:rPr>
          <w:rFonts w:ascii="Calibri" w:cs="Calibri" w:eastAsia="Calibri" w:hAnsi="Calibri"/>
          <w:color w:val="1F2933"/>
          <w:sz w:val="22"/>
          <w:szCs w:val="22"/>
        </w:rPr>
        <w:t xml:space="preserve">No card numbers are processed; personal data and account numbers are kept out of logs; every money action is auditable.</w:t>
      </w:r>
    </w:p>
    <w:p>
      <w:pPr>
        <w:pStyle w:val="ListParagraph"/>
        <w:numPr>
          <w:ilvl w:val="0"/>
          <w:numId w:val="2"/>
        </w:numPr>
        <w:spacing w:after="60"/>
      </w:pPr>
      <w:r>
        <w:rPr>
          <w:rFonts w:ascii="Calibri" w:cs="Calibri" w:eastAsia="Calibri" w:hAnsi="Calibri"/>
          <w:color w:val="1F2933"/>
          <w:sz w:val="22"/>
          <w:szCs w:val="22"/>
        </w:rPr>
        <w:t xml:space="preserve">Threat model per service (light STRIDE) is a planned addition before any real-money use.</w:t>
      </w:r>
    </w:p>
    <w:p>
      <w:pPr>
        <w:pStyle w:val="Heading1"/>
        <w:keepNext/>
        <w:keepLines/>
        <w:spacing w:after="160" w:before="360"/>
      </w:pPr>
      <w:r>
        <w:rPr>
          <w:rFonts w:ascii="Calibri" w:cs="Calibri" w:eastAsia="Calibri" w:hAnsi="Calibri"/>
        </w:rPr>
        <w:t xml:space="preserve">12. Reliability and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Mechanism</w:t>
            </w:r>
          </w:p>
        </w:tc>
        <w:tc>
          <w:tcPr>
            <w:tcW w:type="dxa" w:w="54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Protects against</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Idempotency keys (API, ledger, consumers)</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Double charges and double postings on retries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Transactional outbox</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Lost events and events for rolled-back changes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Sagas with compensation</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Half-finished multi-step operations across services and banks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Row locks in ascending account order</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Overdrafts from concurrent requests; deadlocks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Pending vs posted transactions</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Spending money that is on its way out</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Invariant checks</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Unbalanced books, projection drift, stale pending holds</w:t>
            </w:r>
          </w:p>
        </w:tc>
      </w:tr>
      <w:tr>
        <w:tc>
          <w:tcPr>
            <w:tcW w:type="dxa" w:w="36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Timeouts, retries, circuit breaking at adapters</w:t>
            </w:r>
          </w:p>
        </w:tc>
        <w:tc>
          <w:tcPr>
            <w:tcW w:type="dxa" w:w="5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Slow or failing external rails</w:t>
            </w:r>
          </w:p>
        </w:tc>
      </w:tr>
    </w:tbl>
    <w:p>
      <w:pPr>
        <w:pStyle w:val="Heading1"/>
        <w:keepNext/>
        <w:keepLines/>
        <w:spacing w:after="160" w:before="360"/>
      </w:pPr>
      <w:r>
        <w:rPr>
          <w:rFonts w:ascii="Calibri" w:cs="Calibri" w:eastAsia="Calibri" w:hAnsi="Calibri"/>
        </w:rPr>
        <w:t xml:space="preserve">13. Deployment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rPr>
          <w:tblHeader/>
        </w:trPr>
        <w:tc>
          <w:tcPr>
            <w:tcW w:type="dxa" w:w="30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Component</w:t>
            </w:r>
          </w:p>
        </w:tc>
        <w:tc>
          <w:tcPr>
            <w:tcW w:type="dxa" w:w="4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Kubernetes object</w:t>
            </w:r>
          </w:p>
        </w:tc>
        <w:tc>
          <w:tcPr>
            <w:tcW w:type="dxa" w:w="1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Replicas</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api-gateway</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 Ingress + HPA</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2-5</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ledger-service</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(HTTP and gRPC) + HPA + migration Job</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2-5</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payments-service, accounts-service</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 HPA + migration Job</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2-5</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pricing-service</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 migration Job</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2</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payouts-service, lending-service</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 migration Job</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 (scheduled jobs; ShedLock before scale-out)</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reconciliation-service</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Deployment + Service + migration Job</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w:t>
            </w:r>
          </w:p>
        </w:tc>
      </w:tr>
      <w:tr>
        <w:tc>
          <w:tcPr>
            <w:tcW w:type="dxa" w:w="30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PostgreSQL, Kafka</w:t>
            </w:r>
          </w:p>
        </w:tc>
        <w:tc>
          <w:tcPr>
            <w:tcW w:type="dxa" w:w="4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StatefulSets with persistent volumes</w:t>
            </w:r>
          </w:p>
        </w:tc>
        <w:tc>
          <w:tcPr>
            <w:tcW w:type="dxa" w:w="1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 each (learning setup)</w:t>
            </w:r>
          </w:p>
        </w:tc>
      </w:tr>
    </w:tbl>
    <w:p>
      <w:pPr>
        <w:spacing w:after="120" w:line="276"/>
      </w:pPr>
      <w:r>
        <w:rPr>
          <w:rFonts w:ascii="Calibri" w:cs="Calibri" w:eastAsia="Calibri" w:hAnsi="Calibri"/>
          <w:color w:val="1F2933"/>
          <w:sz w:val="22"/>
          <w:szCs w:val="22"/>
        </w:rPr>
        <w:t xml:space="preserve">Images are built from per-service multi-stage Dockerfiles and pushed to a private registry; kustomize sets image names and tags. GitHub Actions builds, runs unit tests, starts the platform with Docker Compose and runs the end-to-end suite on every pull request.</w:t>
      </w:r>
    </w:p>
    <w:p>
      <w:pPr>
        <w:pStyle w:val="Heading1"/>
        <w:keepNext/>
        <w:keepLines/>
        <w:spacing w:after="160" w:before="360"/>
      </w:pPr>
      <w:r>
        <w:rPr>
          <w:rFonts w:ascii="Calibri" w:cs="Calibri" w:eastAsia="Calibri" w:hAnsi="Calibri"/>
        </w:rPr>
        <w:t xml:space="preserve">14. Observability and operations</w:t>
      </w:r>
    </w:p>
    <w:p>
      <w:pPr>
        <w:pStyle w:val="ListParagraph"/>
        <w:numPr>
          <w:ilvl w:val="0"/>
          <w:numId w:val="2"/>
        </w:numPr>
        <w:spacing w:after="60"/>
      </w:pPr>
      <w:r>
        <w:rPr>
          <w:rFonts w:ascii="Calibri" w:cs="Calibri" w:eastAsia="Calibri" w:hAnsi="Calibri"/>
          <w:color w:val="1F2933"/>
          <w:sz w:val="22"/>
          <w:szCs w:val="22"/>
        </w:rPr>
        <w:t xml:space="preserve">Metrics: Micrometer to Prometheus (/actuator/prometheus); dashboards in Grafana for rate, errors, duration and business metrics (captures, failed payouts, loans past due).</w:t>
      </w:r>
    </w:p>
    <w:p>
      <w:pPr>
        <w:pStyle w:val="ListParagraph"/>
        <w:numPr>
          <w:ilvl w:val="0"/>
          <w:numId w:val="2"/>
        </w:numPr>
        <w:spacing w:after="60"/>
      </w:pPr>
      <w:r>
        <w:rPr>
          <w:rFonts w:ascii="Calibri" w:cs="Calibri" w:eastAsia="Calibri" w:hAnsi="Calibri"/>
          <w:color w:val="1F2933"/>
          <w:sz w:val="22"/>
          <w:szCs w:val="22"/>
        </w:rPr>
        <w:t xml:space="preserve">Tracing and logs: X-Request-Id on every request and log line; OpenTelemetry as the next step.</w:t>
      </w:r>
    </w:p>
    <w:p>
      <w:pPr>
        <w:pStyle w:val="ListParagraph"/>
        <w:numPr>
          <w:ilvl w:val="0"/>
          <w:numId w:val="2"/>
        </w:numPr>
        <w:spacing w:after="60"/>
      </w:pPr>
      <w:r>
        <w:rPr>
          <w:rFonts w:ascii="Calibri" w:cs="Calibri" w:eastAsia="Calibri" w:hAnsi="Calibri"/>
          <w:color w:val="1F2933"/>
          <w:sz w:val="22"/>
          <w:szCs w:val="22"/>
        </w:rPr>
        <w:t xml:space="preserve">Alerts on invariants, not just errors: trial balance not zero, payout clearing older than 24 hours, safeguarding shortfall, stale pending transactions.</w:t>
      </w:r>
    </w:p>
    <w:p>
      <w:pPr>
        <w:pStyle w:val="ListParagraph"/>
        <w:numPr>
          <w:ilvl w:val="0"/>
          <w:numId w:val="2"/>
        </w:numPr>
        <w:spacing w:after="60"/>
      </w:pPr>
      <w:r>
        <w:rPr>
          <w:rFonts w:ascii="Calibri" w:cs="Calibri" w:eastAsia="Calibri" w:hAnsi="Calibri"/>
          <w:color w:val="1F2933"/>
          <w:sz w:val="22"/>
          <w:szCs w:val="22"/>
        </w:rPr>
        <w:t xml:space="preserve">Runbooks per alert in docs/runbooks: meaning, checks, fix.</w:t>
      </w:r>
    </w:p>
    <w:p>
      <w:pPr>
        <w:pStyle w:val="Heading1"/>
        <w:keepNext/>
        <w:keepLines/>
        <w:spacing w:after="160" w:before="360"/>
      </w:pPr>
      <w:r>
        <w:rPr>
          <w:rFonts w:ascii="Calibri" w:cs="Calibri" w:eastAsia="Calibri" w:hAnsi="Calibri"/>
        </w:rPr>
        <w:t xml:space="preserve">15.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rPr>
          <w:tblHeader/>
        </w:trPr>
        <w:tc>
          <w:tcPr>
            <w:tcW w:type="dxa" w:w="1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Level</w:t>
            </w:r>
          </w:p>
        </w:tc>
        <w:tc>
          <w:tcPr>
            <w:tcW w:type="dxa" w:w="44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Scope</w:t>
            </w:r>
          </w:p>
        </w:tc>
        <w:tc>
          <w:tcPr>
            <w:tcW w:type="dxa" w:w="2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Tools</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Unit</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Journal rules, money, pricing, interest, lending rules</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JUnit 5, AssertJ</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Property-style</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Random balanced transactions always pass</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JUnit 5 (jqwik planned)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Integration</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Repositories and migrations on real Postgres</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Testcontainers (planned per service)</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Contract</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ledger.v1 and event schemas stay compatible</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buf breaking / schema checks (planned)</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End to end</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11 scenarios through the gateway; books checked after each</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scripts/e2e-smoke.sh, Docker Compose</w:t>
            </w:r>
          </w:p>
        </w:tc>
      </w:tr>
      <w:tr>
        <w:tc>
          <w:tcPr>
            <w:tcW w:type="dxa" w:w="1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Resilience</w:t>
            </w:r>
          </w:p>
        </w:tc>
        <w:tc>
          <w:tcPr>
            <w:tcW w:type="dxa" w:w="44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Declines, bank failures and timeouts</w:t>
            </w:r>
          </w:p>
        </w:tc>
        <w:tc>
          <w:tcPr>
            <w:tcW w:type="dxa" w:w="2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rails-simulator failure modes</w:t>
            </w:r>
          </w:p>
        </w:tc>
      </w:tr>
    </w:tbl>
    <w:p>
      <w:pPr>
        <w:pStyle w:val="Heading1"/>
        <w:keepNext/>
        <w:keepLines/>
        <w:spacing w:after="160" w:before="360"/>
      </w:pPr>
      <w:r>
        <w:rPr>
          <w:rFonts w:ascii="Calibri" w:cs="Calibri" w:eastAsia="Calibri" w:hAnsi="Calibri"/>
        </w:rPr>
        <w:t xml:space="preserve">16. Architecture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ADR</w:t>
            </w:r>
          </w:p>
        </w:tc>
        <w:tc>
          <w:tcPr>
            <w:tcW w:type="dxa" w:w="78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Decision</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0001</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Seven business services for nine bounded contexts</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0002</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The ledger is the only writer of balances</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0003</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gRPC for ledger postings, REST with an envelope elsewhere</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0004</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JdbcTemplate instead of JPA</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0005</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Money as integer minor units</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0006</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Transactional outbox for events</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0007</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Sagas instead of distributed transactions</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0008</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Tax and fee rules as versioned data</w:t>
            </w:r>
          </w:p>
        </w:tc>
      </w:tr>
      <w:tr>
        <w:tc>
          <w:tcPr>
            <w:tcW w:type="dxa" w:w="12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0009</w:t>
            </w:r>
          </w:p>
        </w:tc>
        <w:tc>
          <w:tcPr>
            <w:tcW w:type="dxa" w:w="78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AI may explain, never post</w:t>
            </w:r>
          </w:p>
        </w:tc>
      </w:tr>
    </w:tbl>
    <w:p>
      <w:pPr>
        <w:pStyle w:val="Heading1"/>
        <w:keepNext/>
        <w:keepLines/>
        <w:spacing w:after="160" w:before="360"/>
      </w:pPr>
      <w:r>
        <w:rPr>
          <w:rFonts w:ascii="Calibri" w:cs="Calibri" w:eastAsia="Calibri" w:hAnsi="Calibri"/>
        </w:rPr>
        <w:t xml:space="preserve">17. Risks, limitations and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Item</w:t>
            </w:r>
          </w:p>
        </w:tc>
        <w:tc>
          <w:tcPr>
            <w:tcW w:type="dxa" w:w="2800"/>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Impact</w:t>
            </w:r>
          </w:p>
        </w:tc>
        <w:tc>
          <w:tcPr>
            <w:tcW w:type="dxa" w:w="3426"/>
            <w:tcBorders>
              <w:top w:val="single" w:color="BFC5CC" w:sz="4"/>
              <w:left w:val="single" w:color="BFC5CC" w:sz="4"/>
              <w:bottom w:val="single" w:color="BFC5CC" w:sz="4"/>
              <w:right w:val="single" w:color="BFC5CC" w:sz="4"/>
            </w:tcBorders>
            <w:shd w:fill="DCE6F0" w:color="auto" w:val="clear"/>
            <w:tcMar>
              <w:top w:type="dxa" w:w="60"/>
              <w:left w:type="dxa" w:w="100"/>
              <w:bottom w:type="dxa" w:w="60"/>
              <w:right w:type="dxa" w:w="100"/>
            </w:tcMar>
          </w:tcPr>
          <w:p>
            <w:pPr>
              <w:spacing w:after="0"/>
            </w:pPr>
            <w:r>
              <w:rPr>
                <w:rFonts w:ascii="Calibri" w:cs="Calibri" w:eastAsia="Calibri" w:hAnsi="Calibri"/>
                <w:b/>
                <w:bCs/>
                <w:color w:val="1F2933"/>
                <w:sz w:val="19"/>
                <w:szCs w:val="19"/>
              </w:rPr>
              <w:t xml:space="preserve">Mitigation / next step</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 is on every money path</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Ledger outage stops money movement</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Scale horizontally, strict SLOs, read replicas for reports</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Scheduled jobs not cluster-locked</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Cannot scale lending/payouts beyond one replica</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Add ShedLock</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Single-node Postgres and Kafka</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 high availability</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Managed services or operators (CloudNativePG, Strimzi)</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Payment currency must match merchant currency</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 cross-currency acquiring yet</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Add FX at capture through pricing quotes</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Tax rules are learning data</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Not legally reliable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Tax provider integration and expert review</w:t>
            </w:r>
          </w:p>
        </w:tc>
      </w:tr>
      <w:tr>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Limited integration and contract tests</w:t>
            </w:r>
          </w:p>
        </w:tc>
        <w:tc>
          <w:tcPr>
            <w:tcW w:type="dxa" w:w="2800"/>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Regressions found late</w:t>
            </w:r>
          </w:p>
        </w:tc>
        <w:tc>
          <w:tcPr>
            <w:tcW w:type="dxa" w:w="342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0"/>
            </w:pPr>
            <w:r>
              <w:rPr>
                <w:rFonts w:ascii="Calibri" w:cs="Calibri" w:eastAsia="Calibri" w:hAnsi="Calibri"/>
                <w:b w:val="false"/>
                <w:bCs w:val="false"/>
                <w:color w:val="1F2933"/>
                <w:sz w:val="19"/>
                <w:szCs w:val="19"/>
              </w:rPr>
              <w:t xml:space="preserve">Testcontainers per service, schema checks in CI</w:t>
            </w:r>
          </w:p>
        </w:tc>
      </w:tr>
    </w:tbl>
    <w:p>
      <w:pPr>
        <w:spacing w:after="120" w:line="276"/>
      </w:pPr>
      <w:r>
        <w:rPr>
          <w:rFonts w:ascii="Calibri" w:cs="Calibri" w:eastAsia="Calibri" w:hAnsi="Calibri"/>
          <w:i/>
          <w:iCs/>
          <w:color w:val="6B7280"/>
          <w:sz w:val="18"/>
          <w:szCs w:val="18"/>
        </w:rPr>
        <w:t xml:space="preserve">This document describes a learning and portfolio system. It is not legal, tax or accounting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Payments Platform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3A4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9f412ea10986bf736a4b9c9f83f8ebcaf398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Platform - Solution Architecture</dc:title>
  <dc:creator>Collins Kiplimo</dc:creator>
  <cp:lastModifiedBy>Un-named</cp:lastModifiedBy>
  <cp:revision>1</cp:revision>
  <dcterms:created xsi:type="dcterms:W3CDTF">2026-10-01T09:49:59.047Z</dcterms:created>
  <dcterms:modified xsi:type="dcterms:W3CDTF">2026-10-01T09:49:59.047Z</dcterms:modified>
</cp:coreProperties>
</file>

<file path=docProps/custom.xml><?xml version="1.0" encoding="utf-8"?>
<Properties xmlns="http://schemas.openxmlformats.org/officeDocument/2006/custom-properties" xmlns:vt="http://schemas.openxmlformats.org/officeDocument/2006/docPropsVTypes"/>
</file>