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TERMO DE REFERÊNCIA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shd w:val="clear" w:color="auto" w:fill="C5E0B3" w:themeFill="accent6" w:themeFillTint="66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1. DEFINIÇÃO DO OBJETO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Cs/>
        </w:rPr>
        <w:t>{{objeto}}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shd w:val="clear" w:color="auto" w:fill="C5E0B3" w:themeFill="accent6" w:themeFillTint="66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2. FUNDAMENTAÇÃO DA CONTRATAÇÃO</w:t>
      </w:r>
    </w:p>
    <w:p>
      <w:pPr>
        <w:pStyle w:val="Normal"/>
        <w:spacing w:lineRule="auto" w:line="276"/>
        <w:jc w:val="both"/>
        <w:rPr>
          <w:rFonts w:ascii="Times New Roman" w:hAnsi="Times New Roman" w:eastAsia="Arial" w:cs="Times New Roman"/>
          <w:spacing w:val="1"/>
        </w:rPr>
      </w:pPr>
      <w:r>
        <w:rPr>
          <w:rFonts w:eastAsia="Arial" w:cs="Times New Roman" w:ascii="Times New Roman" w:hAnsi="Times New Roman"/>
          <w:spacing w:val="1"/>
        </w:rPr>
        <w:t>{{fundamentação}}</w:t>
      </w:r>
    </w:p>
    <w:p>
      <w:pPr>
        <w:pStyle w:val="BodyText"/>
        <w:spacing w:lineRule="auto" w:line="278" w:before="0" w:after="0"/>
        <w:ind w:end="57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shd w:val="clear" w:color="auto" w:fill="C5E0B3" w:themeFill="accent6" w:themeFillTint="66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3. DESCRIÇÃO DA SOLUÇÃO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</w:rPr>
        <w:t>{{solução}}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shd w:val="clear" w:color="auto" w:fill="C5E0B3" w:themeFill="accent6" w:themeFillTint="66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4. CLASSIFICAÇÃO DO BEM COMUM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{{bem_comum}}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shd w:val="clear" w:color="auto" w:fill="C5E0B3" w:themeFill="accent6" w:themeFillTint="66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5. REQUISITOS DA CONTRATAÇÃO</w:t>
      </w:r>
    </w:p>
    <w:p>
      <w:pPr>
        <w:pStyle w:val="Normal"/>
        <w:spacing w:lineRule="auto" w:line="259" w:before="0" w:after="160"/>
        <w:jc w:val="both"/>
        <w:rPr>
          <w:rFonts w:ascii="Times New Roman" w:hAnsi="Times New Roman" w:cs="Times New Roman"/>
          <w:b w:val="false"/>
          <w:bCs w:val="false"/>
          <w:iCs/>
        </w:rPr>
      </w:pPr>
      <w:r>
        <w:rPr>
          <w:rFonts w:cs="Times New Roman" w:ascii="Times New Roman" w:hAnsi="Times New Roman"/>
          <w:b w:val="false"/>
          <w:bCs w:val="false"/>
          <w:iCs/>
        </w:rPr>
        <w:t>{{requisitos}}</w:t>
      </w:r>
    </w:p>
    <w:p>
      <w:pPr>
        <w:pStyle w:val="Normal"/>
        <w:spacing w:lineRule="auto" w:line="259" w:before="0" w:after="16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shd w:val="clear" w:color="auto" w:fill="C5E0B3" w:themeFill="accent6" w:themeFillTint="66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6. MODELO DE EXECUÇÃO</w:t>
      </w:r>
    </w:p>
    <w:p>
      <w:pPr>
        <w:pStyle w:val="Normal"/>
        <w:shd w:val="clear" w:color="auto" w:fill="FFFFFF"/>
        <w:spacing w:lineRule="auto" w:line="276"/>
        <w:jc w:val="both"/>
        <w:rPr>
          <w:rFonts w:ascii="Times New Roman" w:hAnsi="Times New Roman" w:eastAsia="TimesNewRoman" w:cs="Times New Roman"/>
        </w:rPr>
      </w:pPr>
      <w:r>
        <w:rPr>
          <w:rFonts w:eastAsia="TimesNewRoman" w:cs="Times New Roman" w:ascii="Times New Roman" w:hAnsi="Times New Roman"/>
        </w:rPr>
        <w:t>{{execução}}</w:t>
      </w:r>
    </w:p>
    <w:p>
      <w:pPr>
        <w:pStyle w:val="Normal"/>
        <w:shd w:val="clear" w:color="auto" w:fill="FFFFFF"/>
        <w:spacing w:lineRule="auto" w:line="276"/>
        <w:jc w:val="both"/>
        <w:rPr>
          <w:rFonts w:ascii="Times New Roman" w:hAnsi="Times New Roman" w:eastAsia="TimesNewRoman" w:cs="Times New Roman"/>
          <w:sz w:val="22"/>
          <w:szCs w:val="22"/>
        </w:rPr>
      </w:pPr>
      <w:r>
        <w:rPr>
          <w:rFonts w:eastAsia="TimesNewRoman" w:cs="Times New Roman" w:ascii="Times New Roman" w:hAnsi="Times New Roman"/>
          <w:sz w:val="22"/>
          <w:szCs w:val="22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shd w:val="clear" w:color="auto" w:fill="C5E0B3" w:themeFill="accent6" w:themeFillTint="66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 xml:space="preserve">7. GESTÃO DO CONTRATO </w:t>
      </w:r>
    </w:p>
    <w:p>
      <w:pPr>
        <w:pStyle w:val="Normal"/>
        <w:spacing w:lineRule="auto" w:line="360" w:before="240" w:after="0"/>
        <w:jc w:val="both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  <w:t>O contrato deverá ser executado fielmente pelas partes, de acordo com as cláusulas avençadas e as normas da Lei nº 14.133, de 2021, e cada parte responderá pelas consequências de sua inexecução total ou parcial (Lei nº 14.133/2021, art. 115, caput)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  <w:t xml:space="preserve">Em caso de impedimento, ordem de paralisação ou suspensão do contrato, o cronograma de execução será prorrogado automaticamente pelo tempo correspondente, anotadas tais circunstâncias mediante simples apostila (Lei nº 14.133/2021, art. 115, §5º).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  <w:t xml:space="preserve">A execução do contrato deverá ser acompanhada e fiscalizada pelo(s) fiscal(is) do contrato, ou pelos respectivos substitutos (Lei nº 14.133/2021, art. 117, caput).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  <w:t xml:space="preserve">O fiscal do contrato anotará em registro próprio todas as ocorrências relacionadas à execução do contrato, determinando o que for necessário para a regularização das faltas ou dos defeitos observados (Lei nº 14.133/2021, art. 117, §1º).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  <w:t xml:space="preserve">O fiscal do contrato informará a seus superiores, em tempo hábil para a adoção das medidas convenientes, a situação que demandar decisão ou providência que ultrapasse sua competência (Lei nº 14.133/2021, art. 117, §2º). </w:t>
      </w:r>
    </w:p>
    <w:p>
      <w:pPr>
        <w:pStyle w:val="Normal"/>
        <w:spacing w:lineRule="auto" w:line="276"/>
        <w:jc w:val="both"/>
        <w:rPr>
          <w:rFonts w:ascii="Times New Roman" w:hAnsi="Times New Roman" w:cs="Times New Roman"/>
          <w:color w:val="EE0000"/>
        </w:rPr>
      </w:pPr>
      <w:r>
        <w:rPr>
          <w:rFonts w:cs="Times New Roman" w:ascii="Times New Roman" w:hAnsi="Times New Roman"/>
        </w:rPr>
        <w:t xml:space="preserve">7.6. </w:t>
      </w:r>
      <w:r>
        <w:rPr>
          <w:rFonts w:eastAsia="Lucida Sans Unicode" w:ascii="Times New Roman" w:hAnsi="Times New Roman"/>
        </w:rPr>
        <w:t>A função de fiscal da execução do contrato será desempenhado pelo(a) servidor(a)</w:t>
      </w:r>
      <w:r>
        <w:rPr>
          <w:rFonts w:cs="Times New Roman" w:ascii="Times New Roman" w:hAnsi="Times New Roman"/>
        </w:rPr>
        <w:t xml:space="preserve">: </w:t>
      </w:r>
      <w:r>
        <w:rPr>
          <w:rFonts w:cs="Times New Roman" w:ascii="Times New Roman" w:hAnsi="Times New Roman"/>
          <w:b/>
          <w:bCs/>
        </w:rPr>
        <w:t>NOME DO FISCAL</w:t>
      </w:r>
      <w:r>
        <w:rPr>
          <w:rFonts w:cs="Times New Roman" w:ascii="Times New Roman" w:hAnsi="Times New Roman"/>
          <w:color w:themeColor="text1" w:val="000000"/>
        </w:rPr>
        <w:t xml:space="preserve">. </w:t>
      </w:r>
    </w:p>
    <w:p>
      <w:pPr>
        <w:pStyle w:val="Normal"/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color w:val="EE0000"/>
        </w:rPr>
        <w:t xml:space="preserve">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shd w:val="clear" w:color="auto" w:fill="C5E0B3" w:themeFill="accent6" w:themeFillTint="66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8. CRITÉRIOS DE MEDIÇÃO E PAGAMENTO</w:t>
      </w:r>
    </w:p>
    <w:p>
      <w:pPr>
        <w:pStyle w:val="Normal"/>
        <w:tabs>
          <w:tab w:val="clear" w:pos="708"/>
          <w:tab w:val="left" w:pos="1560" w:leader="none"/>
        </w:tabs>
        <w:spacing w:lineRule="auto" w:line="360" w:before="240" w:after="0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  <w:t>O pagamento será efetuado no prazo em até 30 dias após apresentação de Nota Fiscal, de acordo com a quantidade requisitada pela Secretaria, devidamente atestada pela Secretaria responsável, mediante depósito bancário na conta informada pela empresa contratada.</w:t>
        <w:br/>
      </w:r>
      <w:r>
        <w:rPr>
          <w:rFonts w:eastAsia="Arial" w:cs="Times New Roman" w:ascii="Times New Roman" w:hAnsi="Times New Roman"/>
          <w:spacing w:val="4"/>
        </w:rPr>
        <w:t>O Contratado deverá apresentar juntamente com a Nota Fiscal todas as certidões fiscais e trabalhistas</w:t>
      </w:r>
      <w:r>
        <w:rPr>
          <w:rFonts w:cs="Times New Roman" w:ascii="Times New Roman" w:hAnsi="Times New Roman"/>
        </w:rPr>
        <w:t>.</w:t>
      </w:r>
    </w:p>
    <w:p>
      <w:pPr>
        <w:pStyle w:val="Normal"/>
        <w:tabs>
          <w:tab w:val="clear" w:pos="708"/>
          <w:tab w:val="left" w:pos="1560" w:leader="none"/>
        </w:tabs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Os preços inicialmente contratados são fixos e irreajustáveis no prazo de um ano, contado da data do orçamento estimado. </w:t>
      </w:r>
    </w:p>
    <w:p>
      <w:pPr>
        <w:pStyle w:val="Normal"/>
        <w:tabs>
          <w:tab w:val="clear" w:pos="708"/>
          <w:tab w:val="left" w:pos="1560" w:leader="none"/>
        </w:tabs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Após o interregno de um ano, e independentemente de pedido do contratado, os preços iniciais serão reajustados, mediante a aplicação, pelo contratante, do índice Nacional de Preços ao Consumidor Amplo (IPCA), exclusivamente para as obrigações iniciadas e concluídas após a ocorrência da anualidade. </w:t>
      </w:r>
    </w:p>
    <w:p>
      <w:pPr>
        <w:pStyle w:val="Normal"/>
        <w:tabs>
          <w:tab w:val="clear" w:pos="708"/>
          <w:tab w:val="left" w:pos="1560" w:leader="none"/>
        </w:tabs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Nos reajustes subsequentes ao primeiro, o interregno mínimo de um ano será contado a partir dos efeitos financeiros do último reajuste.</w:t>
      </w:r>
    </w:p>
    <w:p>
      <w:pPr>
        <w:pStyle w:val="Normal"/>
        <w:tabs>
          <w:tab w:val="clear" w:pos="708"/>
          <w:tab w:val="left" w:pos="1560" w:leader="none"/>
        </w:tabs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No caso de atraso ou não divulgação do índice de reajustamento, o contratante pagará ao contratado a importância calculada pela última variação conhecida, liquidando a diferença correspondente tão logo seja divulgado o índice definitivo. </w:t>
      </w:r>
    </w:p>
    <w:p>
      <w:pPr>
        <w:pStyle w:val="Normal"/>
        <w:tabs>
          <w:tab w:val="clear" w:pos="708"/>
          <w:tab w:val="left" w:pos="1560" w:leader="none"/>
        </w:tabs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Fica o contratado obrigado a apresentar memória de cálculo referente ao reajustamento de preços do valor remanescente, sempre que esse ocorrer.</w:t>
      </w:r>
    </w:p>
    <w:p>
      <w:pPr>
        <w:pStyle w:val="Normal"/>
        <w:tabs>
          <w:tab w:val="clear" w:pos="708"/>
          <w:tab w:val="left" w:pos="1560" w:leader="none"/>
        </w:tabs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 Administração rejeitará, no todo ou em parte, serviços em desacordo com o contrato, podendo, entretanto, recebê-los, justificadamente, desde que lhe convenha, com o abatimento de preço que couber.</w:t>
      </w:r>
    </w:p>
    <w:p>
      <w:pPr>
        <w:pStyle w:val="Normal"/>
        <w:tabs>
          <w:tab w:val="clear" w:pos="708"/>
          <w:tab w:val="left" w:pos="1560" w:leader="none"/>
        </w:tabs>
        <w:spacing w:lineRule="auto" w:line="360" w:before="0" w:after="24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 atualização monetária dos pagamentos devidos pela Administração, em caso de mora, será calculada considerando a data de vencimento da Nota Fiscal/Fatura e do seu efetivo pagamento, de acordo com a variação do INPC do IBGE, do mês anterior ao vencimento da fatura, devendo ser corrigido conforme fórmula a seguir: VCF = VF (1+i) n. Onde: VCF = VALOR DA FATURA CORRIGIDA/ VF = VALOR DA FATURA/ i – INPC – IBGE DO MÊS ANTERIOR/100 E n = NÚMERO DE DIAS DE ATRASO/30.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shd w:val="clear" w:color="auto" w:fill="C5E0B3" w:themeFill="accent6" w:themeFillTint="66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9. FORMAS E CRITÉRIOS DE SELEÇÃO</w:t>
      </w:r>
    </w:p>
    <w:p>
      <w:pPr>
        <w:pStyle w:val="BodyText"/>
        <w:rPr/>
      </w:pPr>
      <w:r>
        <w:rPr/>
        <w:t>Após</w:t>
      </w:r>
      <w:r>
        <w:rPr>
          <w:spacing w:val="44"/>
        </w:rPr>
        <w:t xml:space="preserve"> </w:t>
      </w:r>
      <w:r>
        <w:rPr/>
        <w:t>análise</w:t>
      </w:r>
      <w:r>
        <w:rPr>
          <w:spacing w:val="98"/>
        </w:rPr>
        <w:t xml:space="preserve"> </w:t>
      </w:r>
      <w:r>
        <w:rPr/>
        <w:t>das</w:t>
      </w:r>
      <w:r>
        <w:rPr>
          <w:spacing w:val="98"/>
        </w:rPr>
        <w:t xml:space="preserve"> </w:t>
      </w:r>
      <w:r>
        <w:rPr/>
        <w:t>propostas</w:t>
      </w:r>
      <w:r>
        <w:rPr>
          <w:spacing w:val="98"/>
        </w:rPr>
        <w:t xml:space="preserve"> </w:t>
      </w:r>
      <w:r>
        <w:rPr/>
        <w:t>encaminhadas</w:t>
      </w:r>
      <w:r>
        <w:rPr>
          <w:spacing w:val="98"/>
        </w:rPr>
        <w:t xml:space="preserve"> </w:t>
      </w:r>
      <w:r>
        <w:rPr/>
        <w:t>ao</w:t>
      </w:r>
      <w:r>
        <w:rPr>
          <w:spacing w:val="83"/>
        </w:rPr>
        <w:t xml:space="preserve"> </w:t>
      </w:r>
      <w:r>
        <w:rPr/>
        <w:t>Setor</w:t>
      </w:r>
      <w:r>
        <w:rPr>
          <w:spacing w:val="84"/>
        </w:rPr>
        <w:t xml:space="preserve"> </w:t>
      </w:r>
      <w:r>
        <w:rPr/>
        <w:t>de</w:t>
      </w:r>
      <w:r>
        <w:rPr>
          <w:spacing w:val="83"/>
        </w:rPr>
        <w:t xml:space="preserve"> </w:t>
      </w:r>
      <w:r>
        <w:rPr/>
        <w:t>Licitação,</w:t>
      </w:r>
      <w:r>
        <w:rPr>
          <w:spacing w:val="84"/>
        </w:rPr>
        <w:t xml:space="preserve"> </w:t>
      </w:r>
      <w:r>
        <w:rPr/>
        <w:t>especificamente</w:t>
      </w:r>
      <w:r>
        <w:rPr>
          <w:spacing w:val="84"/>
        </w:rPr>
        <w:t xml:space="preserve"> </w:t>
      </w:r>
      <w:r>
        <w:rPr/>
        <w:t>no</w:t>
      </w:r>
      <w:r>
        <w:rPr>
          <w:spacing w:val="83"/>
        </w:rPr>
        <w:t xml:space="preserve"> </w:t>
      </w:r>
      <w:r>
        <w:rPr/>
        <w:t xml:space="preserve">e-mail </w:t>
      </w:r>
      <w:hyperlink r:id="rId2">
        <w:r>
          <w:rPr>
            <w:rStyle w:val="Style8"/>
            <w:b/>
          </w:rPr>
          <w:t>licitacao@itajuipe.ba.gov.br</w:t>
        </w:r>
        <w:r>
          <w:rPr>
            <w:rStyle w:val="Style8"/>
          </w:rPr>
          <w:t>,</w:t>
        </w:r>
      </w:hyperlink>
      <w:r>
        <w:rPr>
          <w:color w:val="FF0000"/>
        </w:rPr>
        <w:t xml:space="preserve"> </w:t>
      </w:r>
      <w:r>
        <w:rPr/>
        <w:t>haverá a seleção da proposta mais vantajosa e em atendimento ao art.</w:t>
      </w:r>
      <w:r>
        <w:rPr>
          <w:spacing w:val="1"/>
        </w:rPr>
        <w:t xml:space="preserve"> </w:t>
      </w:r>
      <w:r>
        <w:rPr/>
        <w:t>75,</w:t>
      </w:r>
      <w:r>
        <w:rPr>
          <w:spacing w:val="-2"/>
        </w:rPr>
        <w:t xml:space="preserve"> </w:t>
      </w:r>
      <w:r>
        <w:rPr/>
        <w:t>II,</w:t>
      </w:r>
      <w:r>
        <w:rPr>
          <w:spacing w:val="-1"/>
        </w:rPr>
        <w:t xml:space="preserve"> </w:t>
      </w:r>
      <w:r>
        <w:rPr/>
        <w:t>da</w:t>
      </w:r>
      <w:r>
        <w:rPr>
          <w:spacing w:val="-1"/>
        </w:rPr>
        <w:t xml:space="preserve"> </w:t>
      </w:r>
      <w:r>
        <w:rPr/>
        <w:t>Lei</w:t>
      </w:r>
      <w:r>
        <w:rPr>
          <w:spacing w:val="-1"/>
        </w:rPr>
        <w:t xml:space="preserve"> </w:t>
      </w:r>
      <w:r>
        <w:rPr/>
        <w:t>14.133/2021.</w:t>
        <w:br/>
        <w:t>Ressalte-se que a dispensa de licitação, agora prevista no art. 75 da Lei n. 14.133/2021, notadamente</w:t>
      </w:r>
      <w:r>
        <w:rPr>
          <w:spacing w:val="1"/>
        </w:rPr>
        <w:t xml:space="preserve"> </w:t>
      </w:r>
      <w:r>
        <w:rPr/>
        <w:t>quanto</w:t>
      </w:r>
      <w:r>
        <w:rPr>
          <w:spacing w:val="1"/>
        </w:rPr>
        <w:t xml:space="preserve"> </w:t>
      </w:r>
      <w:r>
        <w:rPr/>
        <w:t>à</w:t>
      </w:r>
      <w:r>
        <w:rPr>
          <w:spacing w:val="1"/>
        </w:rPr>
        <w:t xml:space="preserve"> </w:t>
      </w:r>
      <w:r>
        <w:rPr/>
        <w:t>hipótese</w:t>
      </w:r>
      <w:r>
        <w:rPr>
          <w:spacing w:val="1"/>
        </w:rPr>
        <w:t xml:space="preserve"> </w:t>
      </w:r>
      <w:r>
        <w:rPr/>
        <w:t>do</w:t>
      </w:r>
      <w:r>
        <w:rPr>
          <w:spacing w:val="1"/>
        </w:rPr>
        <w:t xml:space="preserve"> </w:t>
      </w:r>
      <w:r>
        <w:rPr/>
        <w:t>inciso</w:t>
      </w:r>
      <w:r>
        <w:rPr>
          <w:spacing w:val="1"/>
        </w:rPr>
        <w:t xml:space="preserve"> </w:t>
      </w:r>
      <w:r>
        <w:rPr/>
        <w:t>II</w:t>
      </w:r>
      <w:r>
        <w:rPr>
          <w:spacing w:val="1"/>
        </w:rPr>
        <w:t xml:space="preserve"> </w:t>
      </w:r>
      <w:r>
        <w:rPr/>
        <w:t>(valor</w:t>
      </w:r>
      <w:r>
        <w:rPr>
          <w:spacing w:val="1"/>
        </w:rPr>
        <w:t xml:space="preserve"> </w:t>
      </w:r>
      <w:r>
        <w:rPr/>
        <w:t>reduzido)</w:t>
      </w:r>
      <w:r>
        <w:rPr>
          <w:spacing w:val="1"/>
        </w:rPr>
        <w:t xml:space="preserve"> </w:t>
      </w:r>
      <w:r>
        <w:rPr/>
        <w:t>visa,</w:t>
      </w:r>
      <w:r>
        <w:rPr>
          <w:spacing w:val="1"/>
        </w:rPr>
        <w:t xml:space="preserve"> </w:t>
      </w:r>
      <w:r>
        <w:rPr/>
        <w:t>em</w:t>
      </w:r>
      <w:r>
        <w:rPr>
          <w:spacing w:val="1"/>
        </w:rPr>
        <w:t xml:space="preserve"> </w:t>
      </w:r>
      <w:r>
        <w:rPr/>
        <w:t>síntese,</w:t>
      </w:r>
      <w:r>
        <w:rPr>
          <w:spacing w:val="1"/>
        </w:rPr>
        <w:t xml:space="preserve"> </w:t>
      </w:r>
      <w:r>
        <w:rPr/>
        <w:t>atender</w:t>
      </w:r>
      <w:r>
        <w:rPr>
          <w:spacing w:val="1"/>
        </w:rPr>
        <w:t xml:space="preserve"> </w:t>
      </w:r>
      <w:r>
        <w:rPr/>
        <w:t>aos</w:t>
      </w:r>
      <w:r>
        <w:rPr>
          <w:spacing w:val="1"/>
        </w:rPr>
        <w:t xml:space="preserve"> </w:t>
      </w:r>
      <w:r>
        <w:rPr/>
        <w:t>princípios</w:t>
      </w:r>
      <w:r>
        <w:rPr>
          <w:spacing w:val="1"/>
        </w:rPr>
        <w:t xml:space="preserve"> </w:t>
      </w:r>
      <w:r>
        <w:rPr/>
        <w:t>da</w:t>
      </w:r>
      <w:r>
        <w:rPr>
          <w:spacing w:val="1"/>
        </w:rPr>
        <w:t xml:space="preserve"> </w:t>
      </w:r>
      <w:r>
        <w:rPr/>
        <w:t>economicidade e da eficiência administrativa, evitando que os custos econômicos do processo de</w:t>
      </w:r>
      <w:r>
        <w:rPr>
          <w:spacing w:val="1"/>
        </w:rPr>
        <w:t xml:space="preserve"> </w:t>
      </w:r>
      <w:r>
        <w:rPr/>
        <w:t>licitação</w:t>
      </w:r>
      <w:r>
        <w:rPr>
          <w:spacing w:val="-3"/>
        </w:rPr>
        <w:t xml:space="preserve"> </w:t>
      </w:r>
      <w:r>
        <w:rPr/>
        <w:t>ultrapassem</w:t>
      </w:r>
      <w:r>
        <w:rPr>
          <w:spacing w:val="-2"/>
        </w:rPr>
        <w:t xml:space="preserve"> </w:t>
      </w:r>
      <w:r>
        <w:rPr/>
        <w:t>os</w:t>
      </w:r>
      <w:r>
        <w:rPr>
          <w:spacing w:val="-3"/>
        </w:rPr>
        <w:t xml:space="preserve"> </w:t>
      </w:r>
      <w:r>
        <w:rPr/>
        <w:t>benefícios</w:t>
      </w:r>
      <w:r>
        <w:rPr>
          <w:spacing w:val="-2"/>
        </w:rPr>
        <w:t xml:space="preserve"> </w:t>
      </w:r>
      <w:r>
        <w:rPr/>
        <w:t>que</w:t>
      </w:r>
      <w:r>
        <w:rPr>
          <w:spacing w:val="-2"/>
        </w:rPr>
        <w:t xml:space="preserve"> </w:t>
      </w:r>
      <w:r>
        <w:rPr/>
        <w:t>serão</w:t>
      </w:r>
      <w:r>
        <w:rPr>
          <w:spacing w:val="-3"/>
        </w:rPr>
        <w:t xml:space="preserve"> </w:t>
      </w:r>
      <w:r>
        <w:rPr/>
        <w:t>alcançados</w:t>
      </w:r>
      <w:r>
        <w:rPr>
          <w:spacing w:val="-2"/>
        </w:rPr>
        <w:t xml:space="preserve"> </w:t>
      </w:r>
      <w:r>
        <w:rPr/>
        <w:t>com</w:t>
      </w:r>
      <w:r>
        <w:rPr>
          <w:spacing w:val="-2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futura</w:t>
      </w:r>
      <w:r>
        <w:rPr>
          <w:spacing w:val="-2"/>
        </w:rPr>
        <w:t xml:space="preserve"> </w:t>
      </w:r>
      <w:r>
        <w:rPr/>
        <w:t>contratação. Não</w:t>
      </w:r>
      <w:r>
        <w:rPr>
          <w:spacing w:val="-6"/>
        </w:rPr>
        <w:t xml:space="preserve"> </w:t>
      </w:r>
      <w:r>
        <w:rPr/>
        <w:t>por</w:t>
      </w:r>
      <w:r>
        <w:rPr>
          <w:spacing w:val="-5"/>
        </w:rPr>
        <w:t xml:space="preserve"> </w:t>
      </w:r>
      <w:r>
        <w:rPr/>
        <w:t>isso</w:t>
      </w:r>
      <w:r>
        <w:rPr>
          <w:spacing w:val="-5"/>
        </w:rPr>
        <w:t xml:space="preserve"> </w:t>
      </w:r>
      <w:r>
        <w:rPr/>
        <w:t>o</w:t>
      </w:r>
      <w:r>
        <w:rPr>
          <w:spacing w:val="-5"/>
        </w:rPr>
        <w:t xml:space="preserve"> </w:t>
      </w:r>
      <w:r>
        <w:rPr/>
        <w:t>procedimento</w:t>
      </w:r>
      <w:r>
        <w:rPr>
          <w:spacing w:val="-6"/>
        </w:rPr>
        <w:t xml:space="preserve"> </w:t>
      </w:r>
      <w:r>
        <w:rPr/>
        <w:t>será</w:t>
      </w:r>
      <w:r>
        <w:rPr>
          <w:spacing w:val="-5"/>
        </w:rPr>
        <w:t xml:space="preserve"> </w:t>
      </w:r>
      <w:r>
        <w:rPr/>
        <w:t>mais</w:t>
      </w:r>
      <w:r>
        <w:rPr>
          <w:spacing w:val="-5"/>
        </w:rPr>
        <w:t xml:space="preserve"> </w:t>
      </w:r>
      <w:r>
        <w:rPr/>
        <w:t>ou</w:t>
      </w:r>
      <w:r>
        <w:rPr>
          <w:spacing w:val="-5"/>
        </w:rPr>
        <w:t xml:space="preserve"> </w:t>
      </w:r>
      <w:r>
        <w:rPr/>
        <w:t>menos</w:t>
      </w:r>
      <w:r>
        <w:rPr>
          <w:spacing w:val="-6"/>
        </w:rPr>
        <w:t xml:space="preserve"> </w:t>
      </w:r>
      <w:r>
        <w:rPr/>
        <w:t>burocrático</w:t>
      </w:r>
      <w:r>
        <w:rPr>
          <w:spacing w:val="-5"/>
        </w:rPr>
        <w:t xml:space="preserve"> </w:t>
      </w:r>
      <w:r>
        <w:rPr/>
        <w:t>ou</w:t>
      </w:r>
      <w:r>
        <w:rPr>
          <w:spacing w:val="-5"/>
        </w:rPr>
        <w:t xml:space="preserve"> </w:t>
      </w:r>
      <w:r>
        <w:rPr/>
        <w:t>não</w:t>
      </w:r>
      <w:r>
        <w:rPr>
          <w:spacing w:val="-5"/>
        </w:rPr>
        <w:t xml:space="preserve"> </w:t>
      </w:r>
      <w:r>
        <w:rPr/>
        <w:t>observará</w:t>
      </w:r>
      <w:r>
        <w:rPr>
          <w:spacing w:val="-6"/>
        </w:rPr>
        <w:t xml:space="preserve"> </w:t>
      </w:r>
      <w:r>
        <w:rPr/>
        <w:t>requisitos</w:t>
      </w:r>
      <w:r>
        <w:rPr>
          <w:spacing w:val="-5"/>
        </w:rPr>
        <w:t xml:space="preserve"> </w:t>
      </w:r>
      <w:r>
        <w:rPr/>
        <w:t>legais. Pelo contrário, o valor da contratação que visa a Prefeitura Municipal impõe a observância das normas</w:t>
      </w:r>
      <w:r>
        <w:rPr>
          <w:spacing w:val="-52"/>
        </w:rPr>
        <w:t xml:space="preserve"> </w:t>
      </w:r>
      <w:r>
        <w:rPr/>
        <w:t>da nova Lei de Licitações, inclusive, àquelas dos certames licitatórios, na forma do art. 72 da Lei n.</w:t>
      </w:r>
      <w:r>
        <w:rPr>
          <w:spacing w:val="1"/>
        </w:rPr>
        <w:t xml:space="preserve"> </w:t>
      </w:r>
      <w:r>
        <w:rPr/>
        <w:t>14.133/2021,</w:t>
      </w:r>
      <w:r>
        <w:rPr>
          <w:spacing w:val="1"/>
        </w:rPr>
        <w:t xml:space="preserve"> </w:t>
      </w:r>
      <w:r>
        <w:rPr/>
        <w:t>com</w:t>
      </w:r>
      <w:r>
        <w:rPr>
          <w:spacing w:val="1"/>
        </w:rPr>
        <w:t xml:space="preserve"> </w:t>
      </w:r>
      <w:r>
        <w:rPr/>
        <w:t>destaque</w:t>
      </w:r>
      <w:r>
        <w:rPr>
          <w:spacing w:val="1"/>
        </w:rPr>
        <w:t xml:space="preserve"> </w:t>
      </w:r>
      <w:r>
        <w:rPr/>
        <w:t>para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comprovação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que</w:t>
      </w:r>
      <w:r>
        <w:rPr>
          <w:spacing w:val="1"/>
        </w:rPr>
        <w:t xml:space="preserve"> </w:t>
      </w:r>
      <w:r>
        <w:rPr/>
        <w:t>o</w:t>
      </w:r>
      <w:r>
        <w:rPr>
          <w:spacing w:val="1"/>
        </w:rPr>
        <w:t xml:space="preserve"> </w:t>
      </w:r>
      <w:r>
        <w:rPr/>
        <w:t>contratado</w:t>
      </w:r>
      <w:r>
        <w:rPr>
          <w:spacing w:val="1"/>
        </w:rPr>
        <w:t xml:space="preserve"> </w:t>
      </w:r>
      <w:r>
        <w:rPr/>
        <w:t>preenche</w:t>
      </w:r>
      <w:r>
        <w:rPr>
          <w:spacing w:val="1"/>
        </w:rPr>
        <w:t xml:space="preserve"> </w:t>
      </w:r>
      <w:r>
        <w:rPr/>
        <w:t>os</w:t>
      </w:r>
      <w:r>
        <w:rPr>
          <w:spacing w:val="1"/>
        </w:rPr>
        <w:t xml:space="preserve"> </w:t>
      </w:r>
      <w:r>
        <w:rPr/>
        <w:t>requisitos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habilitação</w:t>
      </w:r>
      <w:r>
        <w:rPr>
          <w:spacing w:val="-2"/>
        </w:rPr>
        <w:t xml:space="preserve"> </w:t>
      </w:r>
      <w:r>
        <w:rPr/>
        <w:t>e</w:t>
      </w:r>
      <w:r>
        <w:rPr>
          <w:spacing w:val="-1"/>
        </w:rPr>
        <w:t xml:space="preserve"> </w:t>
      </w:r>
      <w:r>
        <w:rPr/>
        <w:t>qualificação</w:t>
      </w:r>
      <w:r>
        <w:rPr>
          <w:spacing w:val="-2"/>
        </w:rPr>
        <w:t xml:space="preserve"> </w:t>
      </w:r>
      <w:r>
        <w:rPr/>
        <w:t>mínima</w:t>
      </w:r>
      <w:r>
        <w:rPr>
          <w:spacing w:val="-1"/>
        </w:rPr>
        <w:t xml:space="preserve"> </w:t>
      </w:r>
      <w:r>
        <w:rPr/>
        <w:t>necessária.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shd w:val="clear" w:color="auto" w:fill="C5E0B3" w:themeFill="accent6" w:themeFillTint="66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10. OBRIGAÇÕES DA CONTRATANTE</w:t>
      </w:r>
    </w:p>
    <w:p>
      <w:pPr>
        <w:pStyle w:val="Normal"/>
        <w:spacing w:lineRule="auto" w:line="360"/>
        <w:rPr>
          <w:rFonts w:ascii="Times New Roman" w:hAnsi="Times New Roman" w:eastAsia="Arial" w:cs="Times New Roman"/>
          <w:b w:val="false"/>
          <w:bCs w:val="false"/>
        </w:rPr>
      </w:pPr>
      <w:r>
        <w:rPr>
          <w:rFonts w:eastAsia="Arial" w:cs="Times New Roman" w:ascii="Times New Roman" w:hAnsi="Times New Roman"/>
          <w:b w:val="false"/>
          <w:bCs w:val="false"/>
        </w:rPr>
        <w:t>{{ob_contratante}}</w:t>
      </w:r>
    </w:p>
    <w:p>
      <w:pPr>
        <w:pStyle w:val="Normal"/>
        <w:spacing w:lineRule="auto" w:line="360"/>
        <w:rPr>
          <w:rFonts w:ascii="Times New Roman" w:hAnsi="Times New Roman" w:eastAsia="Arial" w:cs="Times New Roman"/>
          <w:b w:val="false"/>
          <w:bCs w:val="false"/>
        </w:rPr>
      </w:pPr>
      <w:r>
        <w:rPr>
          <w:rFonts w:eastAsia="Arial" w:cs="Times New Roman" w:ascii="Times New Roman" w:hAnsi="Times New Roman"/>
          <w:b w:val="false"/>
          <w:bCs w:val="false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shd w:val="clear" w:color="auto" w:fill="C5E0B3" w:themeFill="accent6" w:themeFillTint="66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11. OBRIGAÇÕES DA CONTRATADA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eastAsia="Arial" w:cs="Times New Roman"/>
          <w:bCs/>
        </w:rPr>
      </w:pPr>
      <w:r>
        <w:rPr>
          <w:rFonts w:eastAsia="Arial" w:cs="Times New Roman" w:ascii="Times New Roman" w:hAnsi="Times New Roman"/>
          <w:bCs/>
          <w:color w:val="000000"/>
          <w:sz w:val="22"/>
          <w:szCs w:val="22"/>
        </w:rPr>
        <w:t>{{ob_contratada}}</w:t>
      </w:r>
    </w:p>
    <w:p>
      <w:pPr>
        <w:pStyle w:val="Normal"/>
        <w:spacing w:lineRule="auto" w:line="27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shd w:val="clear" w:color="auto" w:fill="C5E0B3" w:themeFill="accent6" w:themeFillTint="66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12. SUBCONTRATAÇÃO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i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  <w:t>{{subcontratação}}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i/>
          <w:color w:themeColor="text1" w:val="000000"/>
        </w:rPr>
      </w:pPr>
      <w:r>
        <w:rPr>
          <w:rFonts w:cs="Times New Roman" w:ascii="Times New Roman" w:hAnsi="Times New Roman"/>
          <w:i/>
          <w:color w:themeColor="text1" w:val="000000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13" w:color="000000"/>
        </w:pBdr>
        <w:shd w:val="clear" w:color="auto" w:fill="C5E0B3" w:themeFill="accent6" w:themeFillTint="66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 xml:space="preserve">13. ESTIMATIVA DO VALOR </w:t>
      </w:r>
    </w:p>
    <w:p>
      <w:pPr>
        <w:pStyle w:val="Normal"/>
        <w:spacing w:lineRule="auto" w:line="276" w:before="29" w:after="0"/>
        <w:ind w:end="85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8647" w:type="dxa"/>
        <w:jc w:val="start"/>
        <w:tblInd w:w="-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firstRow="1" w:noVBand="1" w:lastRow="0" w:firstColumn="1" w:lastColumn="0" w:noHBand="0" w:val="04a0"/>
      </w:tblPr>
      <w:tblGrid>
        <w:gridCol w:w="709"/>
        <w:gridCol w:w="3686"/>
        <w:gridCol w:w="992"/>
        <w:gridCol w:w="991"/>
        <w:gridCol w:w="1277"/>
        <w:gridCol w:w="992"/>
      </w:tblGrid>
      <w:tr>
        <w:trPr>
          <w:trHeight w:val="318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5E0B3" w:themeFill="accent6" w:themeFillTint="66" w:val="clear"/>
            <w:vAlign w:val="center"/>
          </w:tcPr>
          <w:p>
            <w:pPr>
              <w:pStyle w:val="Normal"/>
              <w:spacing w:lineRule="auto" w:line="360"/>
              <w:ind w:start="-108" w:end="-70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ITEM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5E0B3" w:themeFill="accent6" w:themeFillTint="66" w:val="clear"/>
            <w:vAlign w:val="center"/>
          </w:tcPr>
          <w:p>
            <w:pPr>
              <w:pStyle w:val="Normal"/>
              <w:spacing w:lineRule="auto" w:line="360"/>
              <w:ind w:start="-108" w:end="-70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ESPECIFICAÇÃO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5E0B3" w:themeFill="accent6" w:themeFillTint="66" w:val="clear"/>
            <w:vAlign w:val="center"/>
          </w:tcPr>
          <w:p>
            <w:pPr>
              <w:pStyle w:val="Normal"/>
              <w:spacing w:lineRule="auto" w:line="360"/>
              <w:ind w:start="-108" w:end="-70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UNID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5E0B3" w:themeFill="accent6" w:themeFillTint="66" w:val="clear"/>
            <w:vAlign w:val="center"/>
          </w:tcPr>
          <w:p>
            <w:pPr>
              <w:pStyle w:val="Normal"/>
              <w:spacing w:lineRule="auto" w:line="360"/>
              <w:ind w:end="-70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QUANT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5E0B3" w:themeFill="accent6" w:themeFillTint="66" w:val="clear"/>
            <w:vAlign w:val="center"/>
          </w:tcPr>
          <w:p>
            <w:pPr>
              <w:pStyle w:val="Normal"/>
              <w:spacing w:lineRule="auto" w:line="360"/>
              <w:ind w:start="-108" w:end="-7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VALOR</w:t>
            </w:r>
          </w:p>
          <w:p>
            <w:pPr>
              <w:pStyle w:val="Normal"/>
              <w:spacing w:lineRule="auto" w:line="360"/>
              <w:ind w:start="-108" w:end="-7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 xml:space="preserve">   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UNIT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5E0B3" w:themeFill="accent6" w:themeFillTint="66" w:val="clear"/>
            <w:vAlign w:val="center"/>
          </w:tcPr>
          <w:p>
            <w:pPr>
              <w:pStyle w:val="Normal"/>
              <w:spacing w:lineRule="auto" w:line="360"/>
              <w:ind w:start="-108" w:end="-7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 xml:space="preserve">VALOR  </w:t>
            </w:r>
          </w:p>
          <w:p>
            <w:pPr>
              <w:pStyle w:val="Normal"/>
              <w:spacing w:lineRule="auto" w:line="360"/>
              <w:ind w:start="-108" w:end="-7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TOTAL</w:t>
            </w:r>
          </w:p>
        </w:tc>
      </w:tr>
      <w:tr>
        <w:trPr>
          <w:trHeight w:val="45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Footer"/>
              <w:tabs>
                <w:tab w:val="left" w:pos="1418" w:leader="none"/>
                <w:tab w:val="center" w:pos="4252" w:leader="none"/>
                <w:tab w:val="right" w:pos="8504" w:leader="none"/>
              </w:tabs>
              <w:spacing w:lineRule="auto" w:line="360"/>
              <w:jc w:val="both"/>
              <w:rPr>
                <w:rFonts w:ascii="Times New Roman" w:hAnsi="Times New Roman" w:cs="Times New Roman"/>
                <w:b/>
                <w:color w:val="FF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01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Default"/>
              <w:spacing w:lineRule="auto" w:line="276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360"/>
              <w:ind w:end="-110"/>
              <w:rPr>
                <w:rFonts w:ascii="Times New Roman" w:hAnsi="Times New Roman" w:cs="Times New Roman"/>
                <w:bCs/>
                <w:color w:val="FF0000"/>
                <w:u w:val="single"/>
              </w:rPr>
            </w:pPr>
            <w:r>
              <w:rPr>
                <w:rFonts w:cs="Times New Roman" w:ascii="Times New Roman" w:hAnsi="Times New Roman"/>
                <w:bCs/>
                <w:color w:val="FF0000"/>
                <w:u w:val="single"/>
              </w:rPr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360"/>
              <w:rPr>
                <w:rFonts w:ascii="Times New Roman" w:hAnsi="Times New Roman" w:cs="Times New Roman"/>
                <w:b/>
                <w:color w:val="FF0000"/>
              </w:rPr>
            </w:pPr>
            <w:r>
              <w:rPr>
                <w:rFonts w:cs="Times New Roman" w:ascii="Times New Roman" w:hAnsi="Times New Roman"/>
                <w:b/>
                <w:color w:val="FF0000"/>
              </w:rPr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Footer"/>
              <w:tabs>
                <w:tab w:val="left" w:pos="1418" w:leader="none"/>
                <w:tab w:val="center" w:pos="4252" w:leader="none"/>
                <w:tab w:val="right" w:pos="8504" w:leader="none"/>
              </w:tabs>
              <w:spacing w:lineRule="auto" w:line="360"/>
              <w:jc w:val="both"/>
              <w:rPr>
                <w:rFonts w:ascii="Times New Roman" w:hAnsi="Times New Roman" w:cs="Times New Roman"/>
                <w:b/>
                <w:color w:val="FF0000"/>
              </w:rPr>
            </w:pPr>
            <w:r>
              <w:rPr>
                <w:rFonts w:cs="Times New Roman" w:ascii="Times New Roman" w:hAnsi="Times New Roman"/>
                <w:b/>
                <w:color w:val="FF0000"/>
              </w:rPr>
            </w:r>
          </w:p>
          <w:p>
            <w:pPr>
              <w:pStyle w:val="Footer"/>
              <w:tabs>
                <w:tab w:val="left" w:pos="1418" w:leader="none"/>
                <w:tab w:val="center" w:pos="4252" w:leader="none"/>
                <w:tab w:val="right" w:pos="8504" w:leader="none"/>
              </w:tabs>
              <w:spacing w:lineRule="auto" w:line="360"/>
              <w:jc w:val="both"/>
              <w:rPr>
                <w:rFonts w:ascii="Times New Roman" w:hAnsi="Times New Roman" w:cs="Times New Roman"/>
                <w:b/>
                <w:color w:val="FF0000"/>
              </w:rPr>
            </w:pPr>
            <w:r>
              <w:rPr>
                <w:rFonts w:cs="Times New Roman" w:ascii="Times New Roman" w:hAnsi="Times New Roman"/>
                <w:b/>
                <w:color w:val="FF0000"/>
              </w:rPr>
            </w:r>
          </w:p>
          <w:p>
            <w:pPr>
              <w:pStyle w:val="Footer"/>
              <w:tabs>
                <w:tab w:val="left" w:pos="1418" w:leader="none"/>
                <w:tab w:val="center" w:pos="4252" w:leader="none"/>
                <w:tab w:val="right" w:pos="8504" w:leader="none"/>
              </w:tabs>
              <w:spacing w:lineRule="auto" w:line="36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Footer"/>
              <w:tabs>
                <w:tab w:val="left" w:pos="1418" w:leader="none"/>
                <w:tab w:val="center" w:pos="4252" w:leader="none"/>
                <w:tab w:val="right" w:pos="8504" w:leader="none"/>
              </w:tabs>
              <w:spacing w:lineRule="auto" w:line="360"/>
              <w:jc w:val="both"/>
              <w:rPr>
                <w:rFonts w:ascii="Times New Roman" w:hAnsi="Times New Roman" w:cs="Times New Roman"/>
                <w:b/>
                <w:color w:val="FF0000"/>
              </w:rPr>
            </w:pPr>
            <w:r>
              <w:rPr>
                <w:rFonts w:cs="Times New Roman" w:ascii="Times New Roman" w:hAnsi="Times New Roman"/>
                <w:b/>
                <w:color w:val="FF0000"/>
              </w:rPr>
            </w:r>
          </w:p>
          <w:p>
            <w:pPr>
              <w:pStyle w:val="Footer"/>
              <w:tabs>
                <w:tab w:val="left" w:pos="1418" w:leader="none"/>
                <w:tab w:val="center" w:pos="4252" w:leader="none"/>
                <w:tab w:val="right" w:pos="8504" w:leader="none"/>
              </w:tabs>
              <w:spacing w:lineRule="auto" w:line="360"/>
              <w:jc w:val="both"/>
              <w:rPr>
                <w:rFonts w:ascii="Times New Roman" w:hAnsi="Times New Roman" w:cs="Times New Roman"/>
                <w:b/>
                <w:color w:val="FF0000"/>
              </w:rPr>
            </w:pPr>
            <w:r>
              <w:rPr>
                <w:rFonts w:cs="Times New Roman" w:ascii="Times New Roman" w:hAnsi="Times New Roman"/>
                <w:b/>
                <w:color w:val="FF0000"/>
              </w:rPr>
            </w:r>
          </w:p>
          <w:p>
            <w:pPr>
              <w:pStyle w:val="Footer"/>
              <w:tabs>
                <w:tab w:val="left" w:pos="1418" w:leader="none"/>
                <w:tab w:val="center" w:pos="4252" w:leader="none"/>
                <w:tab w:val="right" w:pos="8504" w:leader="none"/>
              </w:tabs>
              <w:spacing w:lineRule="auto" w:line="360"/>
              <w:jc w:val="both"/>
              <w:rPr>
                <w:rFonts w:ascii="Times New Roman" w:hAnsi="Times New Roman" w:cs="Times New Roman"/>
                <w:b/>
                <w:color w:val="FF0000"/>
              </w:rPr>
            </w:pPr>
            <w:r>
              <w:rPr>
                <w:rFonts w:cs="Times New Roman" w:ascii="Times New Roman" w:hAnsi="Times New Roman"/>
                <w:b/>
                <w:color w:val="FF0000"/>
              </w:rPr>
            </w:r>
          </w:p>
        </w:tc>
      </w:tr>
    </w:tbl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hd w:val="clear" w:color="auto" w:fill="C5E0B3" w:themeFill="accent6" w:themeFillTint="66"/>
        <w:spacing w:before="240" w:after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14. REAJUSTE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</w:rPr>
        <w:t>14.1. Reajuste por índice IPCA.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hd w:val="clear" w:color="auto" w:fill="C5E0B3" w:themeFill="accent6" w:themeFillTint="66"/>
        <w:spacing w:before="240" w:after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15. ADEQUAÇÃO ORAÇAMENTÁRIA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8647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94"/>
        <w:gridCol w:w="6353"/>
      </w:tblGrid>
      <w:tr>
        <w:trPr/>
        <w:tc>
          <w:tcPr>
            <w:tcW w:w="86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9C9C9" w:themeFill="accent3" w:themeFillTint="99" w:val="clear"/>
          </w:tcPr>
          <w:p>
            <w:pPr>
              <w:pStyle w:val="Normal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                                               </w:t>
            </w: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 xml:space="preserve">RECURSOS ORÇAMENTÁRIOS </w:t>
            </w:r>
          </w:p>
        </w:tc>
      </w:tr>
      <w:tr>
        <w:trPr/>
        <w:tc>
          <w:tcPr>
            <w:tcW w:w="2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Tipo</w:t>
            </w:r>
          </w:p>
        </w:tc>
        <w:tc>
          <w:tcPr>
            <w:tcW w:w="6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</w:r>
          </w:p>
        </w:tc>
      </w:tr>
      <w:tr>
        <w:trPr/>
        <w:tc>
          <w:tcPr>
            <w:tcW w:w="2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Unidade</w:t>
            </w:r>
          </w:p>
        </w:tc>
        <w:tc>
          <w:tcPr>
            <w:tcW w:w="6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</w:r>
          </w:p>
        </w:tc>
      </w:tr>
      <w:tr>
        <w:trPr/>
        <w:tc>
          <w:tcPr>
            <w:tcW w:w="2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Projeto/Atividade</w:t>
            </w:r>
          </w:p>
        </w:tc>
        <w:tc>
          <w:tcPr>
            <w:tcW w:w="6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</w:r>
          </w:p>
        </w:tc>
      </w:tr>
      <w:tr>
        <w:trPr>
          <w:trHeight w:val="73" w:hRule="atLeast"/>
        </w:trPr>
        <w:tc>
          <w:tcPr>
            <w:tcW w:w="2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Elemento de Despesa</w:t>
            </w:r>
          </w:p>
        </w:tc>
        <w:tc>
          <w:tcPr>
            <w:tcW w:w="6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</w:r>
          </w:p>
        </w:tc>
      </w:tr>
      <w:tr>
        <w:trPr/>
        <w:tc>
          <w:tcPr>
            <w:tcW w:w="2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Fonte de Recursos</w:t>
            </w:r>
          </w:p>
        </w:tc>
        <w:tc>
          <w:tcPr>
            <w:tcW w:w="6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360" w:before="240" w:after="0"/>
        <w:jc w:val="both"/>
        <w:rPr>
          <w:rFonts w:ascii="Times New Roman" w:hAnsi="Times New Roman" w:cs="Times New Roman"/>
          <w:b/>
          <w:color w:val="EE0000"/>
          <w:sz w:val="22"/>
          <w:szCs w:val="22"/>
        </w:rPr>
      </w:pPr>
      <w:r>
        <w:rPr>
          <w:rFonts w:cs="Times New Roman" w:ascii="Times New Roman" w:hAnsi="Times New Roman"/>
          <w:b/>
          <w:color w:val="EE0000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2"/>
          <w:szCs w:val="22"/>
        </w:rPr>
      </w:pPr>
      <w:r>
        <w:rPr>
          <w:rFonts w:cs="Times New Roman" w:ascii="Times New Roman" w:hAnsi="Times New Roman"/>
          <w:b/>
          <w:color w:themeColor="text1" w:val="000000"/>
          <w:sz w:val="22"/>
          <w:szCs w:val="22"/>
        </w:rPr>
        <w:t>Servidor:  NOME DO SECRETÁRIO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2"/>
          <w:szCs w:val="22"/>
        </w:rPr>
      </w:pPr>
      <w:r>
        <w:rPr>
          <w:rFonts w:cs="Times New Roman" w:ascii="Times New Roman" w:hAnsi="Times New Roman"/>
          <w:b/>
          <w:color w:themeColor="text1" w:val="000000"/>
          <w:sz w:val="22"/>
          <w:szCs w:val="22"/>
        </w:rPr>
        <w:t>Setor Requisitante: {{secretaria_solicitante}}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2"/>
          <w:szCs w:val="22"/>
        </w:rPr>
      </w:pPr>
      <w:r>
        <w:rPr>
          <w:rFonts w:cs="Times New Roman" w:ascii="Times New Roman" w:hAnsi="Times New Roman"/>
          <w:b/>
          <w:color w:themeColor="text1" w:val="000000"/>
          <w:sz w:val="22"/>
          <w:szCs w:val="22"/>
        </w:rPr>
        <w:t xml:space="preserve">Data: </w:t>
      </w:r>
      <w:r>
        <w:rPr>
          <w:rFonts w:cs="Times New Roman" w:ascii="Times New Roman" w:hAnsi="Times New Roman"/>
          <w:b w:val="false"/>
          <w:bCs w:val="false"/>
          <w:color w:themeColor="text1" w:val="000000"/>
          <w:sz w:val="22"/>
          <w:szCs w:val="22"/>
        </w:rPr>
        <w:t>{{</w:t>
      </w:r>
      <w:r>
        <w:rPr>
          <w:rFonts w:cs="Times New Roman" w:ascii="Times New Roman" w:hAnsi="Times New Roman"/>
          <w:b w:val="false"/>
          <w:bCs w:val="false"/>
          <w:color w:themeColor="text1" w:val="000000"/>
          <w:sz w:val="22"/>
          <w:szCs w:val="22"/>
        </w:rPr>
        <w:t>start_date_str</w:t>
      </w:r>
      <w:r>
        <w:rPr>
          <w:rFonts w:cs="Times New Roman" w:ascii="Times New Roman" w:hAnsi="Times New Roman"/>
          <w:b w:val="false"/>
          <w:bCs w:val="false"/>
          <w:color w:themeColor="text1" w:val="000000"/>
          <w:sz w:val="22"/>
          <w:szCs w:val="22"/>
        </w:rPr>
        <w:t>}}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2"/>
          <w:szCs w:val="22"/>
        </w:rPr>
      </w:pPr>
      <w:r>
        <w:rPr>
          <w:rFonts w:cs="Times New Roman" w:ascii="Times New Roman" w:hAnsi="Times New Roman"/>
          <w:color w:themeColor="text1" w:val="000000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2"/>
          <w:szCs w:val="22"/>
        </w:rPr>
      </w:pPr>
      <w:r>
        <w:rPr>
          <w:rFonts w:cs="Times New Roman" w:ascii="Times New Roman" w:hAnsi="Times New Roman"/>
          <w:color w:themeColor="text1" w:val="000000"/>
          <w:sz w:val="22"/>
          <w:szCs w:val="22"/>
        </w:rPr>
        <w:t xml:space="preserve">Vigência do contrato: Da data de assinatura até </w:t>
      </w:r>
      <w:r>
        <w:rPr>
          <w:rFonts w:cs="Times New Roman" w:ascii="Times New Roman" w:hAnsi="Times New Roman"/>
          <w:color w:themeColor="text1" w:val="000000"/>
          <w:sz w:val="22"/>
          <w:szCs w:val="22"/>
        </w:rPr>
        <w:t>{{end_date_str}}</w:t>
      </w:r>
      <w:r>
        <w:rPr>
          <w:rFonts w:cs="Times New Roman" w:ascii="Times New Roman" w:hAnsi="Times New Roman"/>
          <w:color w:themeColor="text1" w:val="000000"/>
          <w:sz w:val="22"/>
          <w:szCs w:val="22"/>
        </w:rPr>
        <w:t xml:space="preserve"> ou, em data anterior, com a finalização e cumprimento das obrigações por ambas as partes.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cs="Times New Roman" w:ascii="Times New Roman" w:hAnsi="Times New Roman"/>
          <w:b/>
          <w:bCs/>
          <w:sz w:val="22"/>
          <w:szCs w:val="22"/>
          <w:u w:val="single"/>
        </w:rPr>
        <w:t>Novas propostas comerciais e/ou dúvidas podem ser encaminhadas para o seguinte e-mail: licitaitajuipe@gmail.com e o resultado estará no Portal do Município e do Diário Oficial - juntamente com os documentos relativos ao procedimento.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i/>
          <w:sz w:val="22"/>
          <w:szCs w:val="22"/>
        </w:rPr>
      </w:pPr>
      <w:r>
        <w:rPr>
          <w:rFonts w:cs="Times New Roman" w:ascii="Times New Roman" w:hAnsi="Times New Roman"/>
          <w:i/>
          <w:sz w:val="22"/>
          <w:szCs w:val="22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i/>
          <w:sz w:val="22"/>
          <w:szCs w:val="22"/>
        </w:rPr>
      </w:pPr>
      <w:r>
        <w:rPr>
          <w:rFonts w:cs="Times New Roman" w:ascii="Times New Roman" w:hAnsi="Times New Roman"/>
          <w:i/>
          <w:sz w:val="22"/>
          <w:szCs w:val="22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i/>
          <w:sz w:val="22"/>
          <w:szCs w:val="22"/>
        </w:rPr>
      </w:pPr>
      <w:r>
        <w:rPr>
          <w:rFonts w:cs="Times New Roman" w:ascii="Times New Roman" w:hAnsi="Times New Roman"/>
          <w:i/>
          <w:sz w:val="22"/>
          <w:szCs w:val="22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iCs/>
          <w:sz w:val="22"/>
          <w:szCs w:val="22"/>
        </w:rPr>
      </w:pPr>
      <w:r>
        <w:rPr>
          <w:rFonts w:cs="Times New Roman" w:ascii="Times New Roman" w:hAnsi="Times New Roman"/>
          <w:iCs/>
          <w:sz w:val="22"/>
          <w:szCs w:val="22"/>
        </w:rPr>
        <w:t>________________________________________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i/>
          <w:sz w:val="22"/>
          <w:szCs w:val="22"/>
        </w:rPr>
        <w:t>Assinatura</w:t>
      </w:r>
    </w:p>
    <w:p>
      <w:pPr>
        <w:pStyle w:val="Normal"/>
        <w:tabs>
          <w:tab w:val="clear" w:pos="708"/>
          <w:tab w:val="left" w:pos="2250" w:leader="none"/>
        </w:tabs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/>
      </w:rPr>
    </w:pPr>
    <w:r>
      <w:rPr>
        <w:rFonts w:ascii="Times New Roman" w:hAnsi="Times New Roman"/>
      </w:rPr>
    </w:r>
  </w:p>
  <w:p>
    <w:pPr>
      <w:pStyle w:val="Normal"/>
      <w:jc w:val="center"/>
      <w:rPr>
        <w:rFonts w:ascii="Times New Roman" w:hAnsi="Times New Roman"/>
      </w:rPr>
    </w:pPr>
    <w:r>
      <w:drawing>
        <wp:anchor distT="0" distB="0" distL="0" distR="0" simplePos="0" relativeHeight="5" behindDoc="1" locked="0" layoutInCell="1" allowOverlap="0">
          <wp:simplePos x="0" y="0"/>
          <wp:positionH relativeFrom="column">
            <wp:posOffset>384810</wp:posOffset>
          </wp:positionH>
          <wp:positionV relativeFrom="paragraph">
            <wp:posOffset>-196850</wp:posOffset>
          </wp:positionV>
          <wp:extent cx="528955" cy="650875"/>
          <wp:effectExtent l="0" t="0" r="0" b="0"/>
          <wp:wrapNone/>
          <wp:docPr id="1" name="Imagem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8955" cy="650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9" behindDoc="1" locked="0" layoutInCell="1" allowOverlap="1">
          <wp:simplePos x="0" y="0"/>
          <wp:positionH relativeFrom="column">
            <wp:posOffset>4806315</wp:posOffset>
          </wp:positionH>
          <wp:positionV relativeFrom="paragraph">
            <wp:posOffset>-297180</wp:posOffset>
          </wp:positionV>
          <wp:extent cx="933450" cy="723900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hAnsi="Times New Roman"/>
      </w:rPr>
      <w:t xml:space="preserve">PREFEITURA MUNICIPAL DE ITAJUÍPE </w:t>
    </w:r>
  </w:p>
  <w:p>
    <w:pPr>
      <w:pStyle w:val="Normal"/>
      <w:jc w:val="center"/>
      <w:rPr>
        <w:rFonts w:ascii="Times New Roman" w:hAnsi="Times New Roman"/>
      </w:rPr>
    </w:pPr>
    <w:bookmarkStart w:id="0" w:name="_Hlk207097811"/>
    <w:bookmarkStart w:id="1" w:name="_Hlk207097812"/>
    <w:r>
      <w:rPr>
        <w:rFonts w:ascii="Times New Roman" w:hAnsi="Times New Roman"/>
      </w:rPr>
      <w:t>ESTADO DA BAHIA</w:t>
    </w:r>
    <w:bookmarkEnd w:id="0"/>
    <w:bookmarkEnd w:id="1"/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/>
      </w:rPr>
    </w:pPr>
    <w:r>
      <w:rPr>
        <w:rFonts w:ascii="Times New Roman" w:hAnsi="Times New Roman"/>
      </w:rPr>
    </w:r>
  </w:p>
  <w:p>
    <w:pPr>
      <w:pStyle w:val="Normal"/>
      <w:jc w:val="center"/>
      <w:rPr>
        <w:rFonts w:ascii="Times New Roman" w:hAnsi="Times New Roman"/>
      </w:rPr>
    </w:pPr>
    <w:r>
      <w:drawing>
        <wp:anchor distT="0" distB="0" distL="0" distR="0" simplePos="0" relativeHeight="5" behindDoc="1" locked="0" layoutInCell="1" allowOverlap="0">
          <wp:simplePos x="0" y="0"/>
          <wp:positionH relativeFrom="column">
            <wp:posOffset>384810</wp:posOffset>
          </wp:positionH>
          <wp:positionV relativeFrom="paragraph">
            <wp:posOffset>-196850</wp:posOffset>
          </wp:positionV>
          <wp:extent cx="528955" cy="650875"/>
          <wp:effectExtent l="0" t="0" r="0" b="0"/>
          <wp:wrapNone/>
          <wp:docPr id="3" name="Imagem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8955" cy="650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9" behindDoc="1" locked="0" layoutInCell="1" allowOverlap="1">
          <wp:simplePos x="0" y="0"/>
          <wp:positionH relativeFrom="column">
            <wp:posOffset>4806315</wp:posOffset>
          </wp:positionH>
          <wp:positionV relativeFrom="paragraph">
            <wp:posOffset>-297180</wp:posOffset>
          </wp:positionV>
          <wp:extent cx="933450" cy="723900"/>
          <wp:effectExtent l="0" t="0" r="0" b="0"/>
          <wp:wrapNone/>
          <wp:docPr id="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hAnsi="Times New Roman"/>
      </w:rPr>
      <w:t xml:space="preserve">PREFEITURA MUNICIPAL DE ITAJUÍPE </w:t>
    </w:r>
  </w:p>
  <w:p>
    <w:pPr>
      <w:pStyle w:val="Normal"/>
      <w:jc w:val="center"/>
      <w:rPr>
        <w:rFonts w:ascii="Times New Roman" w:hAnsi="Times New Roman"/>
      </w:rPr>
    </w:pPr>
    <w:bookmarkStart w:id="2" w:name="_Hlk207097811"/>
    <w:bookmarkStart w:id="3" w:name="_Hlk207097812"/>
    <w:r>
      <w:rPr>
        <w:rFonts w:ascii="Times New Roman" w:hAnsi="Times New Roman"/>
      </w:rPr>
      <w:t>ESTADO DA BAHIA</w:t>
    </w:r>
    <w:bookmarkEnd w:id="2"/>
    <w:bookmarkEnd w:id="3"/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96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d2221"/>
    <w:pPr>
      <w:widowControl/>
      <w:suppressAutoHyphens w:val="true"/>
      <w:bidi w:val="0"/>
      <w:spacing w:lineRule="auto" w:line="240" w:before="0" w:after="0"/>
      <w:jc w:val="start"/>
    </w:pPr>
    <w:rPr>
      <w:rFonts w:ascii="Tahoma" w:hAnsi="Tahoma" w:eastAsia="Tahoma" w:cs="Tahoma"/>
      <w:color w:val="auto"/>
      <w:kern w:val="0"/>
      <w:sz w:val="24"/>
      <w:szCs w:val="24"/>
      <w:lang w:val="pt-BR" w:eastAsia="pt-BR" w:bidi="ar-SA"/>
      <w14:ligatures w14:val="none"/>
    </w:rPr>
  </w:style>
  <w:style w:type="paragraph" w:styleId="Heading1">
    <w:name w:val="heading 1"/>
    <w:basedOn w:val="Normal"/>
    <w:next w:val="Normal"/>
    <w:link w:val="Ttulo1Char"/>
    <w:uiPriority w:val="9"/>
    <w:qFormat/>
    <w:rsid w:val="00d732fe"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dd2221"/>
    <w:rPr/>
  </w:style>
  <w:style w:type="character" w:styleId="RodapChar" w:customStyle="1">
    <w:name w:val="Rodapé Char"/>
    <w:basedOn w:val="DefaultParagraphFont"/>
    <w:uiPriority w:val="99"/>
    <w:qFormat/>
    <w:rsid w:val="00dd2221"/>
    <w:rPr/>
  </w:style>
  <w:style w:type="character" w:styleId="CorpodetextoChar" w:customStyle="1">
    <w:name w:val="Corpo de texto Char"/>
    <w:basedOn w:val="DefaultParagraphFont"/>
    <w:uiPriority w:val="99"/>
    <w:qFormat/>
    <w:rsid w:val="00c872b4"/>
    <w:rPr>
      <w:rFonts w:ascii="Times New Roman" w:hAnsi="Times New Roman" w:eastAsia="Tahoma" w:cs="Times New Roman"/>
      <w:kern w:val="0"/>
      <w:sz w:val="24"/>
      <w:szCs w:val="24"/>
      <w:lang w:eastAsia="pt-BR"/>
      <w14:ligatures w14:val="none"/>
    </w:rPr>
  </w:style>
  <w:style w:type="character" w:styleId="Ttulo1Char" w:customStyle="1">
    <w:name w:val="Título 1 Char"/>
    <w:basedOn w:val="DefaultParagraphFont"/>
    <w:uiPriority w:val="9"/>
    <w:qFormat/>
    <w:rsid w:val="00d732fe"/>
    <w:rPr>
      <w:rFonts w:ascii="Tahoma" w:hAnsi="Tahoma" w:eastAsia="Tahoma" w:cs="Tahoma"/>
      <w:b/>
      <w:kern w:val="0"/>
      <w:sz w:val="48"/>
      <w:szCs w:val="48"/>
      <w:lang w:eastAsia="pt-BR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7d68a4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sid w:val="007d68a4"/>
    <w:rPr>
      <w:rFonts w:ascii="Tahoma" w:hAnsi="Tahoma" w:eastAsia="Tahoma" w:cs="Tahoma"/>
      <w:kern w:val="0"/>
      <w:sz w:val="20"/>
      <w:szCs w:val="20"/>
      <w:lang w:eastAsia="pt-BR"/>
      <w14:ligatures w14:val="none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7d68a4"/>
    <w:rPr>
      <w:rFonts w:ascii="Tahoma" w:hAnsi="Tahoma" w:eastAsia="Tahoma" w:cs="Tahoma"/>
      <w:b/>
      <w:bCs/>
      <w:kern w:val="0"/>
      <w:sz w:val="20"/>
      <w:szCs w:val="20"/>
      <w:lang w:eastAsia="pt-BR"/>
      <w14:ligatures w14:val="none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c872b4"/>
    <w:pPr>
      <w:spacing w:lineRule="auto" w:line="360" w:before="240" w:after="160"/>
      <w:jc w:val="both"/>
    </w:pPr>
    <w:rPr>
      <w:rFonts w:ascii="Times New Roman" w:hAnsi="Times New Roman" w:cs="Times New Roman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dd2221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dd2221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NormalWeb">
    <w:name w:val="Normal (Web)"/>
    <w:basedOn w:val="Normal"/>
    <w:uiPriority w:val="99"/>
    <w:unhideWhenUsed/>
    <w:qFormat/>
    <w:rsid w:val="00dd2221"/>
    <w:pPr>
      <w:spacing w:beforeAutospacing="1" w:afterAutospacing="1"/>
    </w:pPr>
    <w:rPr>
      <w:rFonts w:ascii="Times New Roman" w:hAnsi="Times New Roman" w:eastAsia="Times New Roman" w:cs="Times New Roman"/>
    </w:rPr>
  </w:style>
  <w:style w:type="paragraph" w:styleId="TableParagraph" w:customStyle="1">
    <w:name w:val="Table Paragraph"/>
    <w:basedOn w:val="Normal"/>
    <w:uiPriority w:val="1"/>
    <w:qFormat/>
    <w:rsid w:val="00061537"/>
    <w:pPr>
      <w:widowControl w:val="false"/>
      <w:spacing w:before="1" w:after="0"/>
      <w:ind w:start="107"/>
    </w:pPr>
    <w:rPr>
      <w:rFonts w:ascii="Times New Roman" w:hAnsi="Times New Roman" w:eastAsia="Times New Roman" w:cs="Times New Roman"/>
      <w:sz w:val="22"/>
      <w:szCs w:val="22"/>
      <w:lang w:val="pt-PT" w:eastAsia="en-US"/>
    </w:rPr>
  </w:style>
  <w:style w:type="paragraph" w:styleId="Default" w:customStyle="1">
    <w:name w:val="Default"/>
    <w:qFormat/>
    <w:rsid w:val="00667a3f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Calibri"/>
      <w:color w:val="000000"/>
      <w:kern w:val="0"/>
      <w:sz w:val="24"/>
      <w:szCs w:val="24"/>
      <w:lang w:val="pt-BR" w:eastAsia="en-US" w:bidi="ar-SA"/>
      <w14:ligatures w14:val="none"/>
    </w:rPr>
  </w:style>
  <w:style w:type="paragraph" w:styleId="ListParagraph">
    <w:name w:val="List Paragraph"/>
    <w:basedOn w:val="Normal"/>
    <w:uiPriority w:val="34"/>
    <w:qFormat/>
    <w:rsid w:val="00667a3f"/>
    <w:pPr>
      <w:widowControl w:val="false"/>
      <w:ind w:start="200"/>
    </w:pPr>
    <w:rPr>
      <w:rFonts w:ascii="Times New Roman" w:hAnsi="Times New Roman" w:eastAsia="Times New Roman" w:cs="Times New Roman"/>
      <w:sz w:val="22"/>
      <w:szCs w:val="22"/>
      <w:lang w:val="pt-PT" w:eastAsia="en-US"/>
    </w:rPr>
  </w:style>
  <w:style w:type="paragraph" w:styleId="Recuodecorpodetexto21" w:customStyle="1">
    <w:name w:val="Recuo de corpo de texto 21"/>
    <w:basedOn w:val="Normal"/>
    <w:qFormat/>
    <w:rsid w:val="005f64a9"/>
    <w:pPr>
      <w:suppressAutoHyphens w:val="true"/>
      <w:spacing w:lineRule="atLeast" w:line="100"/>
    </w:pPr>
    <w:rPr>
      <w:rFonts w:ascii="Times New Roman" w:hAnsi="Times New Roman" w:eastAsia="Times New Roman" w:cs="Times New Roman"/>
      <w:kern w:val="2"/>
      <w:sz w:val="20"/>
      <w:szCs w:val="20"/>
      <w:lang w:eastAsia="zh-CN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rsid w:val="007d68a4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7d68a4"/>
    <w:pPr/>
    <w:rPr>
      <w:b/>
      <w:bCs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licitacao@itajuipe.ba.gov.br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Application>LibreOffice/25.8.5.2$Windows_X86_64 LibreOffice_project/9c8b85f387cc00a89945a79c9e6239f32e450ac2</Application>
  <AppVersion>15.0000</AppVersion>
  <Pages>4</Pages>
  <Words>815</Words>
  <Characters>4767</Characters>
  <CharactersWithSpaces>5593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2026-03-02T12:23:00Z</dcterms:created>
  <dc:creator>Rosemeire Nery de Jesus</dc:creator>
  <dc:description/>
  <dc:language>pt-BR</dc:language>
  <cp:lastModifiedBy/>
  <cp:lastPrinted>2024-05-17T03:29:00Z</cp:lastPrinted>
  <dcterms:modified xsi:type="dcterms:W3CDTF">2026-03-24T22:28:32Z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