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85" w:after="0"/>
        <w:rPr/>
      </w:pPr>
      <w:r>
        <w:rPr/>
        <w:t>TERMO</w:t>
      </w:r>
      <w:r>
        <w:rPr>
          <w:spacing w:val="-3"/>
        </w:rPr>
        <w:t xml:space="preserve"> </w:t>
      </w:r>
      <w:r>
        <w:rPr/>
        <w:t xml:space="preserve">DE </w:t>
      </w:r>
      <w:r>
        <w:rPr>
          <w:spacing w:val="-2"/>
        </w:rPr>
        <w:t>REFERÊNCIA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DEFINIÇÃO DO OBJETO</w:t>
      </w:r>
    </w:p>
    <w:p>
      <w:pPr>
        <w:pStyle w:val="Normal"/>
        <w:bidi w:val="0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Cs/>
        </w:rPr>
        <w:t>{{objeto}}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Cs/>
        </w:rPr>
      </w:r>
    </w:p>
    <w:p>
      <w:pPr>
        <w:pStyle w:val="BodyText"/>
        <w:bidi w:val="0"/>
        <w:spacing w:lineRule="auto" w:line="360" w:before="0" w:after="140"/>
        <w:ind w:hanging="0" w:left="0" w:right="283"/>
        <w:jc w:val="both"/>
        <w:rPr>
          <w:rFonts w:ascii="Tahoma" w:hAnsi="Tahoma"/>
        </w:rPr>
      </w:pPr>
      <w:r>
        <w:rPr>
          <w:rFonts w:ascii="Times New Roman" w:hAnsi="Times New Roman"/>
          <w:b/>
          <w:bCs/>
          <w:sz w:val="22"/>
          <w:szCs w:val="22"/>
        </w:rPr>
        <w:t>FUNDAMENTAÇÃO DA CONTRATAÇÃO</w:t>
      </w:r>
    </w:p>
    <w:p>
      <w:pPr>
        <w:pStyle w:val="BodyText"/>
        <w:bidi w:val="0"/>
        <w:spacing w:lineRule="auto" w:line="360" w:before="0" w:after="140"/>
        <w:ind w:hanging="0" w:left="0" w:right="283"/>
        <w:jc w:val="both"/>
        <w:rPr>
          <w:rFonts w:ascii="Tahoma" w:hAnsi="Tahoma"/>
        </w:rPr>
      </w:pPr>
      <w:r>
        <w:rPr>
          <w:rFonts w:eastAsia="Arial" w:cs="Times New Roman" w:ascii="Times New Roman" w:hAnsi="Times New Roman"/>
          <w:spacing w:val="1"/>
          <w:sz w:val="22"/>
          <w:szCs w:val="22"/>
        </w:rPr>
        <w:t>{{fundamentação}}</w:t>
      </w:r>
      <w:r>
        <w:rPr>
          <w:rFonts w:ascii="Times New Roman" w:hAnsi="Times New Roman"/>
          <w:sz w:val="22"/>
          <w:szCs w:val="22"/>
        </w:rPr>
        <w:t xml:space="preserve"> </w:t>
      </w:r>
    </w:p>
    <w:p>
      <w:pPr>
        <w:pStyle w:val="ListParagraph"/>
        <w:tabs>
          <w:tab w:val="clear" w:pos="709"/>
          <w:tab w:val="left" w:pos="713" w:leader="none"/>
        </w:tabs>
        <w:bidi w:val="0"/>
        <w:spacing w:lineRule="auto" w:line="360" w:before="197" w:after="0"/>
        <w:ind w:hanging="0" w:left="0" w:right="283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DESCRIÇÃO DA SOLUÇÃO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</w:rPr>
        <w:t>{{solução}}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CLASSIFICAÇÃO DO BEM COMUM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</w:rPr>
        <w:t>{{bem_comum}}</w:t>
      </w:r>
    </w:p>
    <w:p>
      <w:pPr>
        <w:pStyle w:val="BodyText"/>
        <w:bidi w:val="0"/>
        <w:spacing w:lineRule="auto" w:line="360" w:before="198" w:after="0"/>
        <w:ind w:hanging="0" w:left="0" w:right="283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REQUISITOS DA CONTRATAÇÃO</w:t>
      </w:r>
    </w:p>
    <w:p>
      <w:pPr>
        <w:pStyle w:val="Normal"/>
        <w:bidi w:val="0"/>
        <w:spacing w:lineRule="auto" w:line="259" w:before="0" w:after="160"/>
        <w:jc w:val="both"/>
        <w:rPr>
          <w:rFonts w:ascii="Times New Roman" w:hAnsi="Times New Roman" w:cs="Times New Roman"/>
          <w:b w:val="false"/>
          <w:bCs w:val="false"/>
          <w:iCs/>
        </w:rPr>
      </w:pPr>
      <w:r>
        <w:rPr>
          <w:rFonts w:cs="Times New Roman" w:ascii="Times New Roman" w:hAnsi="Times New Roman"/>
          <w:b w:val="false"/>
          <w:bCs w:val="false"/>
          <w:iCs/>
        </w:rPr>
        <w:t>{{requisitos}}</w:t>
      </w:r>
    </w:p>
    <w:p>
      <w:pPr>
        <w:pStyle w:val="BodyText"/>
        <w:widowControl w:val="false"/>
        <w:bidi w:val="0"/>
        <w:spacing w:lineRule="auto" w:line="360" w:before="237" w:after="0"/>
        <w:ind w:hanging="0" w:left="0" w:right="283"/>
        <w:jc w:val="both"/>
        <w:rPr>
          <w:rFonts w:ascii="Times New Roman" w:hAnsi="Times New Roman"/>
          <w:b/>
          <w:bCs/>
          <w:spacing w:val="-2"/>
          <w:sz w:val="22"/>
          <w:szCs w:val="22"/>
        </w:rPr>
      </w:pPr>
      <w:r>
        <w:rPr>
          <w:rFonts w:ascii="Times New Roman" w:hAnsi="Times New Roman"/>
          <w:b/>
          <w:bCs/>
          <w:spacing w:val="-2"/>
          <w:sz w:val="22"/>
          <w:szCs w:val="22"/>
        </w:rPr>
        <w:t>MODELO DE EXECUÇÃO</w:t>
      </w:r>
    </w:p>
    <w:p>
      <w:pPr>
        <w:pStyle w:val="Normal"/>
        <w:shd w:val="clear" w:color="auto" w:fill="FFFFFF"/>
        <w:bidi w:val="0"/>
        <w:spacing w:lineRule="auto" w:line="276"/>
        <w:jc w:val="both"/>
        <w:rPr>
          <w:rFonts w:ascii="Times New Roman" w:hAnsi="Times New Roman" w:eastAsia="TimesNewRoman" w:cs="Times New Roman"/>
        </w:rPr>
      </w:pPr>
      <w:r>
        <w:rPr>
          <w:rFonts w:eastAsia="TimesNewRoman" w:cs="Times New Roman" w:ascii="Times New Roman" w:hAnsi="Times New Roman"/>
        </w:rPr>
        <w:t>{{execução}}</w:t>
      </w:r>
    </w:p>
    <w:p>
      <w:pPr>
        <w:pStyle w:val="BodyText"/>
        <w:widowControl w:val="false"/>
        <w:bidi w:val="0"/>
        <w:spacing w:lineRule="auto" w:line="240" w:before="6" w:after="0"/>
        <w:ind w:hanging="0" w:left="283" w:right="0"/>
        <w:jc w:val="both"/>
        <w:rPr>
          <w:sz w:val="19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widowControl w:val="false"/>
        <w:bidi w:val="0"/>
        <w:spacing w:lineRule="auto" w:line="360" w:before="6" w:after="0"/>
        <w:ind w:hanging="0" w:left="0" w:right="0"/>
        <w:jc w:val="both"/>
        <w:rPr>
          <w:sz w:val="19"/>
        </w:rPr>
      </w:pPr>
      <w:r>
        <w:rPr>
          <w:rFonts w:ascii="Times New Roman" w:hAnsi="Times New Roman"/>
          <w:b/>
          <w:bCs/>
          <w:sz w:val="22"/>
          <w:szCs w:val="22"/>
        </w:rPr>
        <w:t>GESTÃO DO CONTRATO</w:t>
      </w:r>
    </w:p>
    <w:p>
      <w:pPr>
        <w:pStyle w:val="Normal"/>
        <w:bidi w:val="0"/>
        <w:spacing w:lineRule="auto" w:line="360" w:before="240" w:after="0"/>
        <w:jc w:val="both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>O contrato deverá ser executado fielmente pelas partes, de acordo com as cláusulas avençadas e as normas da Lei nº 14.133, de 2021, e cada parte responderá pelas consequências de sua inexecução total ou parcial (Lei nº 14.133/2021, art. 115, caput)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 xml:space="preserve">Em caso de impedimento, ordem de paralisação ou suspensão do contrato, o cronograma de execução será prorrogado automaticamente pelo tempo correspondente, anotadas tais circunstâncias mediante simples apostila (Lei nº 14.133/2021, art. 115, §5º). 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 xml:space="preserve">A execução do contrato deverá ser acompanhada e fiscalizada pelo(s) fiscal(is) do contrato, ou pelos respectivos substitutos (Lei nº 14.133/2021, art. 117, caput). 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 xml:space="preserve">O fiscal do contrato anotará em registro próprio todas as ocorrências relacionadas à execução do contrato, determinando o que for necessário para a regularização das faltas ou dos defeitos observados (Lei nº 14.133/2021, art. 117, §1º). 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 xml:space="preserve">O fiscal do contrato informará a seus superiores, em tempo hábil para a adoção das medidas convenientes, a situação que demandar decisão ou providência que ultrapasse sua competência (Lei nº 14.133/2021, art. 117, §2º). 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color w:val="EE0000"/>
        </w:rPr>
      </w:pPr>
      <w:r>
        <w:rPr>
          <w:rFonts w:eastAsia="Lucida Sans Unicode" w:ascii="Times New Roman" w:hAnsi="Times New Roman"/>
        </w:rPr>
        <w:t>A função de fiscal da execução do contrato será desempenhado pelo(a) servidor(a)</w:t>
      </w:r>
      <w:r>
        <w:rPr>
          <w:rFonts w:cs="Times New Roman" w:ascii="Times New Roman" w:hAnsi="Times New Roman"/>
        </w:rPr>
        <w:t xml:space="preserve">: </w:t>
      </w:r>
      <w:r>
        <w:rPr>
          <w:rFonts w:cs="Times New Roman" w:ascii="Times New Roman" w:hAnsi="Times New Roman"/>
          <w:b/>
          <w:bCs/>
        </w:rPr>
        <w:t>NOME DO FISCAL</w:t>
      </w:r>
      <w:r>
        <w:rPr>
          <w:rFonts w:cs="Times New Roman" w:ascii="Times New Roman" w:hAnsi="Times New Roman"/>
          <w:color w:themeColor="text1" w:val="000000"/>
        </w:rPr>
        <w:t xml:space="preserve">. </w:t>
      </w:r>
    </w:p>
    <w:p>
      <w:pPr>
        <w:pStyle w:val="BodyText"/>
        <w:bidi w:val="0"/>
        <w:spacing w:lineRule="auto" w:line="360" w:before="198" w:after="0"/>
        <w:ind w:hanging="0" w:left="0" w:right="289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CRITÉRIOS DE MEDIÇÃO E PAGAMENTO</w:t>
      </w:r>
    </w:p>
    <w:p>
      <w:pPr>
        <w:pStyle w:val="Normal"/>
        <w:tabs>
          <w:tab w:val="clear" w:pos="709"/>
          <w:tab w:val="left" w:pos="1560" w:leader="none"/>
        </w:tabs>
        <w:bidi w:val="0"/>
        <w:spacing w:lineRule="auto" w:line="360" w:before="240" w:after="0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O pagamento será efetuado no prazo em até 30 dias após apresentação de Nota Fiscal, de acordo com a quantidade requisitada pela Secretaria, devidamente atestada pela Secretaria responsável, mediante depósito bancário na conta informada pela empresa contratada.</w:t>
        <w:br/>
      </w:r>
      <w:r>
        <w:rPr>
          <w:rFonts w:eastAsia="Arial" w:cs="Times New Roman" w:ascii="Times New Roman" w:hAnsi="Times New Roman"/>
          <w:spacing w:val="4"/>
        </w:rPr>
        <w:t>O Contratado deverá apresentar juntamente com a Nota Fiscal todas as certidões fiscais e trabalhistas</w:t>
      </w:r>
      <w:r>
        <w:rPr>
          <w:rFonts w:cs="Times New Roman" w:ascii="Times New Roman" w:hAnsi="Times New Roman"/>
        </w:rPr>
        <w:t>.</w:t>
      </w:r>
    </w:p>
    <w:p>
      <w:pPr>
        <w:pStyle w:val="Normal"/>
        <w:tabs>
          <w:tab w:val="clear" w:pos="709"/>
          <w:tab w:val="left" w:pos="1560" w:leader="none"/>
        </w:tabs>
        <w:bidi w:val="0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Os preços inicialmente contratados são fixos e irreajustáveis no prazo de um ano, contado da data do orçamento estimado. </w:t>
      </w:r>
    </w:p>
    <w:p>
      <w:pPr>
        <w:pStyle w:val="Normal"/>
        <w:tabs>
          <w:tab w:val="clear" w:pos="709"/>
          <w:tab w:val="left" w:pos="1560" w:leader="none"/>
        </w:tabs>
        <w:bidi w:val="0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Após o interregno de um ano, e independentemente de pedido do contratado, os preços iniciais serão reajustados, mediante a aplicação, pelo contratante, do índice Nacional de Preços ao Consumidor Amplo (IPCA), exclusivamente para as obrigações iniciadas e concluídas após a ocorrência da anualidade. </w:t>
      </w:r>
    </w:p>
    <w:p>
      <w:pPr>
        <w:pStyle w:val="Normal"/>
        <w:tabs>
          <w:tab w:val="clear" w:pos="709"/>
          <w:tab w:val="left" w:pos="1560" w:leader="none"/>
        </w:tabs>
        <w:bidi w:val="0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Nos reajustes subsequentes ao primeiro, o interregno mínimo de um ano será contado a partir dos efeitos financeiros do último reajuste.</w:t>
      </w:r>
    </w:p>
    <w:p>
      <w:pPr>
        <w:pStyle w:val="Normal"/>
        <w:tabs>
          <w:tab w:val="clear" w:pos="709"/>
          <w:tab w:val="left" w:pos="1560" w:leader="none"/>
        </w:tabs>
        <w:bidi w:val="0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No caso de atraso ou não divulgação do índice de reajustamento, o contratante pagará ao contratado a importância calculada pela última variação conhecida, liquidando a diferença correspondente tão logo seja divulgado o índice definitivo. </w:t>
      </w:r>
    </w:p>
    <w:p>
      <w:pPr>
        <w:pStyle w:val="Normal"/>
        <w:tabs>
          <w:tab w:val="clear" w:pos="709"/>
          <w:tab w:val="left" w:pos="1560" w:leader="none"/>
        </w:tabs>
        <w:bidi w:val="0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Fica o contratado obrigado a apresentar memória de cálculo referente ao reajustamento de preços do valor remanescente, sempre que esse ocorrer.</w:t>
      </w:r>
    </w:p>
    <w:p>
      <w:pPr>
        <w:pStyle w:val="Normal"/>
        <w:tabs>
          <w:tab w:val="clear" w:pos="709"/>
          <w:tab w:val="left" w:pos="1560" w:leader="none"/>
        </w:tabs>
        <w:bidi w:val="0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 Administração rejeitará, no todo ou em parte, serviços em desacordo com o contrato, podendo, entretanto, recebê-los, justificadamente, desde que lhe convenha, com o abatimento de preço que couber.</w:t>
      </w:r>
    </w:p>
    <w:p>
      <w:pPr>
        <w:pStyle w:val="Normal"/>
        <w:tabs>
          <w:tab w:val="clear" w:pos="709"/>
          <w:tab w:val="left" w:pos="1560" w:leader="none"/>
        </w:tabs>
        <w:bidi w:val="0"/>
        <w:spacing w:lineRule="auto" w:line="360" w:before="0" w:after="24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 atualização monetária dos pagamentos devidos pela Administração, em caso de mora, será calculada considerando a data de vencimento da Nota Fiscal/Fatura e do seu efetivo pagamento, de acordo com a variação do INPC do IBGE, do mês anterior ao vencimento da fatura, devendo ser corrigido conforme fórmula a seguir: VCF = VF (1+i) n. Onde: VCF = VALOR DA FATURA CORRIGIDA/ VF = VALOR DA FATURA/ i – INPC – IBGE DO MÊS ANTERIOR/100 E n = NÚMERO DE DIAS DE ATRASO/30.</w:t>
      </w:r>
    </w:p>
    <w:p>
      <w:pPr>
        <w:pStyle w:val="BodyText"/>
        <w:widowControl w:val="false"/>
        <w:bidi w:val="0"/>
        <w:spacing w:lineRule="auto" w:line="240" w:before="7" w:after="0"/>
        <w:ind w:hanging="0" w:left="227" w:right="227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widowControl w:val="false"/>
        <w:bidi w:val="0"/>
        <w:spacing w:lineRule="auto" w:line="360" w:before="7" w:after="0"/>
        <w:ind w:hanging="0" w:left="0" w:right="227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FORMAS E CRITÉRIOS DE SELEÇÃO</w:t>
      </w:r>
    </w:p>
    <w:p>
      <w:pPr>
        <w:pStyle w:val="BodyText"/>
        <w:widowControl w:val="false"/>
        <w:bidi w:val="0"/>
        <w:spacing w:lineRule="auto" w:line="360" w:before="236" w:after="0"/>
        <w:ind w:hanging="0" w:left="0" w:right="283"/>
        <w:jc w:val="both"/>
        <w:rPr>
          <w:rFonts w:ascii="Times New Roman" w:hAnsi="Times New Roman"/>
          <w:spacing w:val="-2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Após</w:t>
      </w:r>
      <w:r>
        <w:rPr>
          <w:rFonts w:ascii="Times New Roman" w:hAnsi="Times New Roman"/>
          <w:spacing w:val="4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análise</w:t>
      </w:r>
      <w:r>
        <w:rPr>
          <w:rFonts w:ascii="Times New Roman" w:hAnsi="Times New Roman"/>
          <w:spacing w:val="9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das</w:t>
      </w:r>
      <w:r>
        <w:rPr>
          <w:rFonts w:ascii="Times New Roman" w:hAnsi="Times New Roman"/>
          <w:spacing w:val="9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propostas</w:t>
      </w:r>
      <w:r>
        <w:rPr>
          <w:rFonts w:ascii="Times New Roman" w:hAnsi="Times New Roman"/>
          <w:spacing w:val="9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encaminhadas</w:t>
      </w:r>
      <w:r>
        <w:rPr>
          <w:rFonts w:ascii="Times New Roman" w:hAnsi="Times New Roman"/>
          <w:spacing w:val="9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ao</w:t>
      </w:r>
      <w:r>
        <w:rPr>
          <w:rFonts w:ascii="Times New Roman" w:hAnsi="Times New Roman"/>
          <w:spacing w:val="8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Setor</w:t>
      </w:r>
      <w:r>
        <w:rPr>
          <w:rFonts w:ascii="Times New Roman" w:hAnsi="Times New Roman"/>
          <w:spacing w:val="8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de</w:t>
      </w:r>
      <w:r>
        <w:rPr>
          <w:rFonts w:ascii="Times New Roman" w:hAnsi="Times New Roman"/>
          <w:spacing w:val="8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Licitação,</w:t>
      </w:r>
      <w:r>
        <w:rPr>
          <w:rFonts w:ascii="Times New Roman" w:hAnsi="Times New Roman"/>
          <w:spacing w:val="8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especificamente</w:t>
      </w:r>
      <w:r>
        <w:rPr>
          <w:rFonts w:ascii="Times New Roman" w:hAnsi="Times New Roman"/>
          <w:spacing w:val="8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no</w:t>
      </w:r>
      <w:r>
        <w:rPr>
          <w:rFonts w:ascii="Times New Roman" w:hAnsi="Times New Roman"/>
          <w:spacing w:val="8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e-mail </w:t>
      </w:r>
      <w:r>
        <w:rPr>
          <w:rFonts w:ascii="Times New Roman" w:hAnsi="Times New Roman"/>
          <w:b/>
          <w:spacing w:val="-2"/>
          <w:sz w:val="22"/>
          <w:szCs w:val="22"/>
        </w:rPr>
        <w:t>teste@teste.com</w:t>
      </w:r>
      <w:hyperlink r:id="rId2">
        <w:r>
          <w:rPr>
            <w:rStyle w:val="Style9"/>
            <w:rFonts w:ascii="Times New Roman" w:hAnsi="Times New Roman"/>
            <w:spacing w:val="-2"/>
            <w:sz w:val="22"/>
            <w:szCs w:val="22"/>
          </w:rPr>
          <w:t>,</w:t>
        </w:r>
      </w:hyperlink>
      <w:r>
        <w:rPr>
          <w:rFonts w:ascii="Times New Roman" w:hAnsi="Times New Roman"/>
          <w:color w:val="FF0000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haverá a seleção da proposta mais vantajosa e em atendimento ao art.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75, II,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da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Lei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14.133/2021. Ressalte-se que a dispensa de licitação, agora prevista no art. 75 da Lei n. 14.133/2021, notadamente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quanto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à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hipótese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do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inciso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II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(valor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reduzido)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visa,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em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síntese,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atender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aos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princípios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da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economicidade e da eficiência administrativa, evitando que os custos econômicos do processo de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licitação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ultrapassem os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benefícios que serão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alcançados com a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futura contratação. Não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por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isso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procedimento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será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mais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ou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menos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burocrático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ou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não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observará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requisitos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legais. Pelo contrário, o valor da contratação que visa a Prefeitura Municipal impõe a observância das normas</w:t>
      </w:r>
      <w:r>
        <w:rPr>
          <w:rFonts w:ascii="Times New Roman" w:hAnsi="Times New Roman"/>
          <w:spacing w:val="-5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da nova Lei de Licitações, inclusive, àquelas dos certames licitatórios, na forma do art. 72 da Lei n.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14.133/2021,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com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destaque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para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comprovação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de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que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contratado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preenche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os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requisitos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de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habilitação 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qualificação mínima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necessária.</w:t>
      </w:r>
    </w:p>
    <w:p>
      <w:pPr>
        <w:pStyle w:val="BodyText"/>
        <w:widowControl w:val="false"/>
        <w:bidi w:val="0"/>
        <w:spacing w:lineRule="auto" w:line="360" w:before="236" w:after="0"/>
        <w:ind w:hanging="0" w:left="0" w:right="283"/>
        <w:jc w:val="both"/>
        <w:rPr>
          <w:rFonts w:ascii="Times New Roman" w:hAnsi="Times New Roman"/>
          <w:b/>
          <w:bCs/>
          <w:spacing w:val="-2"/>
          <w:sz w:val="22"/>
          <w:szCs w:val="22"/>
        </w:rPr>
      </w:pPr>
      <w:r>
        <w:rPr>
          <w:rFonts w:ascii="Times New Roman" w:hAnsi="Times New Roman"/>
          <w:b/>
          <w:bCs/>
          <w:spacing w:val="-2"/>
          <w:sz w:val="22"/>
          <w:szCs w:val="22"/>
        </w:rPr>
        <w:t>OBRIGAÇÕES DA CONTRATANTE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Arial" w:cs="Times New Roman"/>
          <w:b w:val="false"/>
          <w:bCs w:val="false"/>
        </w:rPr>
      </w:pPr>
      <w:r>
        <w:rPr>
          <w:rFonts w:eastAsia="Arial" w:cs="Times New Roman" w:ascii="Times New Roman" w:hAnsi="Times New Roman"/>
          <w:b w:val="false"/>
          <w:bCs w:val="false"/>
        </w:rPr>
        <w:t>{{ob_contratante}}</w:t>
      </w:r>
    </w:p>
    <w:p>
      <w:pPr>
        <w:pStyle w:val="ListParagraph"/>
        <w:widowControl w:val="false"/>
        <w:tabs>
          <w:tab w:val="clear" w:pos="709"/>
          <w:tab w:val="left" w:pos="891" w:leader="none"/>
        </w:tabs>
        <w:bidi w:val="0"/>
        <w:spacing w:lineRule="auto" w:line="360" w:before="0" w:after="0"/>
        <w:ind w:hanging="0" w:left="0" w:right="283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OBRIGAÇÕES DA CONTRATADA</w:t>
      </w:r>
    </w:p>
    <w:p>
      <w:pPr>
        <w:pStyle w:val="Normal"/>
        <w:numPr>
          <w:ilvl w:val="0"/>
          <w:numId w:val="0"/>
        </w:numPr>
        <w:bidi w:val="0"/>
        <w:spacing w:lineRule="auto" w:line="360" w:before="0" w:after="120"/>
        <w:ind w:hanging="0" w:left="0"/>
        <w:jc w:val="both"/>
        <w:rPr>
          <w:rFonts w:ascii="Times New Roman" w:hAnsi="Times New Roman" w:eastAsia="Arial" w:cs="Times New Roman"/>
          <w:bCs/>
        </w:rPr>
      </w:pPr>
      <w:r>
        <w:rPr>
          <w:rFonts w:eastAsia="Arial" w:cs="Times New Roman" w:ascii="Times New Roman" w:hAnsi="Times New Roman"/>
          <w:bCs/>
          <w:color w:val="000000"/>
        </w:rPr>
        <w:t>{{ob_contratada}}</w:t>
      </w:r>
    </w:p>
    <w:p>
      <w:pPr>
        <w:pStyle w:val="ListParagraph"/>
        <w:widowControl w:val="false"/>
        <w:tabs>
          <w:tab w:val="clear" w:pos="709"/>
          <w:tab w:val="left" w:pos="853" w:leader="none"/>
        </w:tabs>
        <w:bidi w:val="0"/>
        <w:spacing w:lineRule="auto" w:line="360" w:before="0" w:after="0"/>
        <w:ind w:hanging="0" w:left="0" w:right="680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SUBCONTRATAÇÃO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i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>{{subcontratação}}</w:t>
      </w:r>
    </w:p>
    <w:p>
      <w:pPr>
        <w:pStyle w:val="ListParagraph"/>
        <w:widowControl w:val="false"/>
        <w:tabs>
          <w:tab w:val="clear" w:pos="709"/>
          <w:tab w:val="left" w:pos="1080" w:leader="none"/>
        </w:tabs>
        <w:bidi w:val="0"/>
        <w:spacing w:lineRule="auto" w:line="360" w:before="0" w:after="0"/>
        <w:ind w:hanging="0" w:left="227" w:right="68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widowControl w:val="false"/>
        <w:tabs>
          <w:tab w:val="clear" w:pos="709"/>
          <w:tab w:val="left" w:pos="853" w:leader="none"/>
        </w:tabs>
        <w:bidi w:val="0"/>
        <w:spacing w:lineRule="auto" w:line="360" w:before="0" w:after="0"/>
        <w:ind w:hanging="0" w:left="0" w:right="680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ESTIMATIVA DE VALOR</w:t>
      </w:r>
    </w:p>
    <w:p>
      <w:pPr>
        <w:pStyle w:val="ListParagraph"/>
        <w:widowControl w:val="false"/>
        <w:tabs>
          <w:tab w:val="clear" w:pos="709"/>
          <w:tab w:val="left" w:pos="853" w:leader="none"/>
        </w:tabs>
        <w:bidi w:val="0"/>
        <w:spacing w:lineRule="auto" w:line="360" w:before="0" w:after="0"/>
        <w:ind w:hanging="0" w:left="0" w:right="68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Apresenta o valor estimado da contratação, baseado em pesquisa de mercado ou referências de preços, servindo como parâmetro para análise das propostas. </w:t>
      </w:r>
    </w:p>
    <w:p>
      <w:pPr>
        <w:pStyle w:val="ListParagraph"/>
        <w:widowControl w:val="false"/>
        <w:tabs>
          <w:tab w:val="clear" w:pos="709"/>
          <w:tab w:val="left" w:pos="1080" w:leader="none"/>
        </w:tabs>
        <w:bidi w:val="0"/>
        <w:spacing w:lineRule="auto" w:line="360" w:before="0" w:after="0"/>
        <w:ind w:hanging="0" w:left="227" w:right="68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widowControl w:val="false"/>
        <w:tabs>
          <w:tab w:val="clear" w:pos="709"/>
          <w:tab w:val="left" w:pos="853" w:leader="none"/>
        </w:tabs>
        <w:bidi w:val="0"/>
        <w:spacing w:lineRule="auto" w:line="360" w:before="0" w:after="0"/>
        <w:ind w:hanging="0" w:left="0" w:right="680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REAJUSTE</w:t>
      </w:r>
    </w:p>
    <w:p>
      <w:pPr>
        <w:pStyle w:val="ListParagraph"/>
        <w:widowControl w:val="false"/>
        <w:tabs>
          <w:tab w:val="clear" w:pos="709"/>
          <w:tab w:val="left" w:pos="853" w:leader="none"/>
        </w:tabs>
        <w:bidi w:val="0"/>
        <w:spacing w:lineRule="auto" w:line="360" w:before="0" w:after="0"/>
        <w:ind w:hanging="0" w:left="0" w:right="68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Estabelece as condições para atualização dos valores contratuais, indicando índices aplicáveis, periodicidade e critérios para manutenção do equilíbrio econômico-financeiro. </w:t>
      </w:r>
    </w:p>
    <w:p>
      <w:pPr>
        <w:pStyle w:val="ListParagraph"/>
        <w:widowControl w:val="false"/>
        <w:tabs>
          <w:tab w:val="clear" w:pos="709"/>
          <w:tab w:val="left" w:pos="1080" w:leader="none"/>
        </w:tabs>
        <w:bidi w:val="0"/>
        <w:spacing w:lineRule="auto" w:line="360" w:before="0" w:after="0"/>
        <w:ind w:hanging="0" w:left="227" w:right="68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widowControl w:val="false"/>
        <w:tabs>
          <w:tab w:val="clear" w:pos="709"/>
          <w:tab w:val="left" w:pos="853" w:leader="none"/>
        </w:tabs>
        <w:bidi w:val="0"/>
        <w:spacing w:lineRule="auto" w:line="360" w:before="0" w:after="0"/>
        <w:ind w:hanging="0" w:left="0" w:right="680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ADEQUAÇÃO ORÇAMENTÁRIA</w:t>
      </w:r>
    </w:p>
    <w:p>
      <w:pPr>
        <w:pStyle w:val="ListParagraph"/>
        <w:widowControl w:val="false"/>
        <w:tabs>
          <w:tab w:val="clear" w:pos="709"/>
          <w:tab w:val="left" w:pos="853" w:leader="none"/>
        </w:tabs>
        <w:bidi w:val="0"/>
        <w:spacing w:lineRule="auto" w:line="360" w:before="0" w:after="0"/>
        <w:ind w:hanging="0" w:left="0" w:right="68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Demonstra a existência de dotação orçamentária suficiente para suportar a despesa, assegurando que a contratação está prevista no planejamento financeiro do órgão. </w:t>
      </w:r>
    </w:p>
    <w:p>
      <w:pPr>
        <w:pStyle w:val="ListParagraph"/>
        <w:widowControl w:val="false"/>
        <w:tabs>
          <w:tab w:val="clear" w:pos="709"/>
          <w:tab w:val="left" w:pos="1080" w:leader="none"/>
        </w:tabs>
        <w:bidi w:val="0"/>
        <w:spacing w:lineRule="auto" w:line="360" w:before="0" w:after="0"/>
        <w:ind w:hanging="0" w:left="227" w:right="68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widowControl w:val="false"/>
        <w:tabs>
          <w:tab w:val="clear" w:pos="709"/>
          <w:tab w:val="left" w:pos="853" w:leader="none"/>
        </w:tabs>
        <w:bidi w:val="0"/>
        <w:spacing w:lineRule="auto" w:line="360" w:before="0" w:after="0"/>
        <w:ind w:hanging="0" w:left="0" w:right="680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IDENTIFICAÇÃO DO RESPONSÁVEL PELA ELABORAÇÃO DO TR</w:t>
      </w:r>
    </w:p>
    <w:p>
      <w:pPr>
        <w:pStyle w:val="ListParagraph"/>
        <w:widowControl w:val="false"/>
        <w:tabs>
          <w:tab w:val="clear" w:pos="709"/>
          <w:tab w:val="left" w:pos="853" w:leader="none"/>
        </w:tabs>
        <w:bidi w:val="0"/>
        <w:spacing w:lineRule="auto" w:line="360" w:before="0" w:after="0"/>
        <w:ind w:hanging="0" w:left="0" w:right="68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Indica o(s) servidor(es) responsável(is) pela elaboração do Termo de Referência, garantindo transparência e atribuição de responsabilidade técnica pelo documento. </w:t>
      </w:r>
    </w:p>
    <w:sectPr>
      <w:headerReference w:type="default" r:id="rId3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  <w:font w:name="Tahoma">
    <w:charset w:val="00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b/>
        <w:bCs/>
      </w:rPr>
    </w:pPr>
    <w:r>
      <w:rPr>
        <w:b/>
        <w:bCs/>
      </w:rPr>
      <w:t>TIMBRE DA PREFEITURA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1"/>
      <w:numFmt w:val="decimal"/>
      <w:lvlText w:val="%1"/>
      <w:lvlJc w:val="left"/>
      <w:pPr>
        <w:tabs>
          <w:tab w:val="num" w:pos="0"/>
        </w:tabs>
        <w:ind w:left="282" w:hanging="572"/>
      </w:pPr>
      <w:rPr>
        <w:lang w:val="pt-PT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282" w:hanging="572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38" w:hanging="572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17" w:hanging="572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96" w:hanging="572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75" w:hanging="572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54" w:hanging="572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33" w:hanging="572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12" w:hanging="572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Title">
    <w:name w:val="Title"/>
    <w:basedOn w:val="Normal"/>
    <w:qFormat/>
    <w:pPr>
      <w:spacing w:before="85" w:after="0"/>
      <w:ind w:left="4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type="paragraph" w:styleId="ListParagraph">
    <w:name w:val="List Paragraph"/>
    <w:basedOn w:val="Normal"/>
    <w:qFormat/>
    <w:pPr>
      <w:ind w:left="282"/>
      <w:jc w:val="both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licitacao@itajuipe.ba.gov.br" TargetMode="External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LibreOffice/25.8.5.2$Windows_X86_64 LibreOffice_project/9c8b85f387cc00a89945a79c9e6239f32e450ac2</Application>
  <AppVersion>15.0000</AppVersion>
  <Pages>3</Pages>
  <Words>784</Words>
  <Characters>4633</Characters>
  <CharactersWithSpaces>5386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2026-03-31T19:49:07Z</dcterms:created>
  <dc:creator/>
  <dc:description/>
  <dc:language>pt-BR</dc:language>
  <cp:lastModifiedBy/>
  <dcterms:modified xsi:type="dcterms:W3CDTF">2026-03-31T20:05:14Z</dcterms:modified>
  <cp:revision>2</cp:revision>
  <dc:subject/>
  <dc:title/>
</cp:coreProperties>
</file>