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BE16F3"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1BBFC337" w:rsidR="00513B75" w:rsidRDefault="00BE16F3" w:rsidP="00BE16F3">
      <w:pPr>
        <w:pStyle w:val="ListParagraph"/>
        <w:numPr>
          <w:ilvl w:val="0"/>
          <w:numId w:val="14"/>
        </w:numPr>
        <w:rPr>
          <w:rFonts w:eastAsiaTheme="majorEastAsia"/>
          <w:i w:val="0"/>
        </w:rPr>
      </w:pPr>
      <w:r w:rsidRPr="00BE16F3">
        <w:rPr>
          <w:rFonts w:eastAsiaTheme="majorEastAsia"/>
          <w:i w:val="0"/>
        </w:rPr>
        <w:t>epm_1.01.43_ddl_patch.sql</w:t>
      </w:r>
    </w:p>
    <w:p w14:paraId="26B0E288" w14:textId="64689485" w:rsidR="00BE16F3" w:rsidRDefault="00BE16F3" w:rsidP="00BE16F3">
      <w:pPr>
        <w:pStyle w:val="ListParagraph"/>
        <w:numPr>
          <w:ilvl w:val="0"/>
          <w:numId w:val="14"/>
        </w:numPr>
        <w:rPr>
          <w:rFonts w:eastAsiaTheme="majorEastAsia"/>
          <w:i w:val="0"/>
        </w:rPr>
      </w:pPr>
      <w:r w:rsidRPr="00BE16F3">
        <w:rPr>
          <w:rFonts w:eastAsiaTheme="majorEastAsia"/>
          <w:i w:val="0"/>
        </w:rPr>
        <w:t>epm_1.01.44_ddl_patch.sql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522F3DD" w14:textId="77777777" w:rsidR="00BE16F3" w:rsidRPr="00BE16F3" w:rsidRDefault="00373729" w:rsidP="00BE16F3">
      <w:pPr>
        <w:ind w:left="360"/>
        <w:rPr>
          <w:rFonts w:eastAsiaTheme="majorEastAsia"/>
          <w:i w:val="0"/>
        </w:rPr>
      </w:pPr>
      <w:r w:rsidRPr="00BE16F3">
        <w:rPr>
          <w:rFonts w:eastAsiaTheme="majorEastAsia"/>
          <w:i w:val="0"/>
        </w:rPr>
        <w:t>START</w:t>
      </w:r>
      <w:r w:rsidRPr="00BE16F3">
        <w:rPr>
          <w:rFonts w:eastAsiaTheme="majorEastAsia"/>
          <w:i w:val="0"/>
        </w:rPr>
        <w:tab/>
      </w:r>
      <w:r w:rsidR="00BE16F3" w:rsidRPr="00BE16F3">
        <w:rPr>
          <w:rFonts w:eastAsiaTheme="majorEastAsia"/>
          <w:i w:val="0"/>
        </w:rPr>
        <w:t>epm_1.01.43_ddl_patch.sql</w:t>
      </w:r>
      <w:r w:rsidR="00BE16F3" w:rsidRPr="00BE16F3">
        <w:rPr>
          <w:rFonts w:eastAsiaTheme="majorEastAsia"/>
          <w:i w:val="0"/>
        </w:rPr>
        <w:br/>
      </w:r>
      <w:r w:rsidR="00DF0329" w:rsidRPr="00BE16F3">
        <w:rPr>
          <w:rFonts w:eastAsiaTheme="majorEastAsia"/>
          <w:i w:val="0"/>
        </w:rPr>
        <w:t>START</w:t>
      </w:r>
      <w:r w:rsidR="00DF0329" w:rsidRPr="00BE16F3">
        <w:rPr>
          <w:rFonts w:eastAsiaTheme="majorEastAsia"/>
          <w:i w:val="0"/>
        </w:rPr>
        <w:tab/>
      </w:r>
      <w:r w:rsidR="00BE16F3" w:rsidRPr="00BE16F3">
        <w:rPr>
          <w:rFonts w:eastAsiaTheme="majorEastAsia"/>
          <w:i w:val="0"/>
        </w:rPr>
        <w:t>epm_1.01.44_ddl_patch.sql</w:t>
      </w:r>
      <w:bookmarkStart w:id="0" w:name="_GoBack"/>
      <w:bookmarkEnd w:id="0"/>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BE16F3"/>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DF0329"/>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2</cp:revision>
  <dcterms:created xsi:type="dcterms:W3CDTF">2016-10-13T20:07:00Z</dcterms:created>
  <dcterms:modified xsi:type="dcterms:W3CDTF">2016-10-13T20:07:00Z</dcterms:modified>
</cp:coreProperties>
</file>