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3A43" w14:textId="77777777" w:rsidR="00C464F5" w:rsidRPr="00346842" w:rsidRDefault="00C464F5" w:rsidP="00C464F5">
      <w:pPr>
        <w:jc w:val="center"/>
        <w:rPr>
          <w:rFonts w:ascii="Times New Roman" w:hAnsi="Times New Roman" w:cs="Times New Roman"/>
        </w:rPr>
      </w:pPr>
      <w:r w:rsidRPr="00346842">
        <w:rPr>
          <w:rFonts w:ascii="Times New Roman" w:hAnsi="Times New Roman" w:cs="Times New Roman"/>
        </w:rPr>
        <w:t>University of North Carolina – Wilmington</w:t>
      </w:r>
    </w:p>
    <w:p w14:paraId="00CD0F49" w14:textId="77777777" w:rsidR="00C464F5" w:rsidRPr="00346842" w:rsidRDefault="00C464F5" w:rsidP="00C464F5">
      <w:pPr>
        <w:jc w:val="center"/>
        <w:rPr>
          <w:rFonts w:ascii="Times New Roman" w:hAnsi="Times New Roman" w:cs="Times New Roman"/>
        </w:rPr>
      </w:pPr>
    </w:p>
    <w:p w14:paraId="55D0090F" w14:textId="77777777" w:rsidR="00C464F5" w:rsidRPr="00346842" w:rsidRDefault="00C464F5" w:rsidP="00C464F5">
      <w:pPr>
        <w:jc w:val="center"/>
        <w:rPr>
          <w:rFonts w:ascii="Times New Roman" w:hAnsi="Times New Roman" w:cs="Times New Roman"/>
        </w:rPr>
      </w:pPr>
    </w:p>
    <w:p w14:paraId="28F85E5E" w14:textId="77777777" w:rsidR="00C464F5" w:rsidRPr="00346842" w:rsidRDefault="00C464F5" w:rsidP="00C464F5">
      <w:pPr>
        <w:jc w:val="center"/>
        <w:rPr>
          <w:rFonts w:ascii="Times New Roman" w:hAnsi="Times New Roman" w:cs="Times New Roman"/>
        </w:rPr>
      </w:pPr>
    </w:p>
    <w:p w14:paraId="5B48F9E3" w14:textId="77777777" w:rsidR="00C464F5" w:rsidRPr="00346842" w:rsidRDefault="00C464F5" w:rsidP="00C464F5">
      <w:pPr>
        <w:jc w:val="center"/>
        <w:rPr>
          <w:rFonts w:ascii="Times New Roman" w:hAnsi="Times New Roman" w:cs="Times New Roman"/>
        </w:rPr>
      </w:pPr>
    </w:p>
    <w:p w14:paraId="19A76D15" w14:textId="77777777" w:rsidR="00C464F5" w:rsidRPr="00346842" w:rsidRDefault="00C464F5" w:rsidP="00C464F5">
      <w:pPr>
        <w:jc w:val="center"/>
        <w:rPr>
          <w:rFonts w:ascii="Times New Roman" w:hAnsi="Times New Roman" w:cs="Times New Roman"/>
        </w:rPr>
      </w:pPr>
    </w:p>
    <w:p w14:paraId="47107C85" w14:textId="77777777" w:rsidR="00C464F5" w:rsidRPr="00346842" w:rsidRDefault="00C464F5" w:rsidP="00C464F5">
      <w:pPr>
        <w:jc w:val="center"/>
        <w:rPr>
          <w:rFonts w:ascii="Times New Roman" w:hAnsi="Times New Roman" w:cs="Times New Roman"/>
        </w:rPr>
      </w:pPr>
    </w:p>
    <w:p w14:paraId="5E85D581" w14:textId="77777777" w:rsidR="00C464F5" w:rsidRPr="00346842" w:rsidRDefault="00C464F5" w:rsidP="00C464F5">
      <w:pPr>
        <w:jc w:val="center"/>
        <w:rPr>
          <w:rFonts w:ascii="Times New Roman" w:hAnsi="Times New Roman" w:cs="Times New Roman"/>
        </w:rPr>
      </w:pPr>
    </w:p>
    <w:p w14:paraId="4F5C91E0" w14:textId="77777777" w:rsidR="00C464F5" w:rsidRPr="00346842" w:rsidRDefault="00C464F5" w:rsidP="00C464F5">
      <w:pPr>
        <w:jc w:val="center"/>
        <w:rPr>
          <w:rFonts w:ascii="Times New Roman" w:hAnsi="Times New Roman" w:cs="Times New Roman"/>
        </w:rPr>
      </w:pPr>
    </w:p>
    <w:p w14:paraId="2D551A50" w14:textId="77777777" w:rsidR="00C464F5" w:rsidRPr="00346842" w:rsidRDefault="00C464F5" w:rsidP="00C464F5">
      <w:pPr>
        <w:jc w:val="center"/>
        <w:rPr>
          <w:rFonts w:ascii="Times New Roman" w:hAnsi="Times New Roman" w:cs="Times New Roman"/>
        </w:rPr>
      </w:pPr>
    </w:p>
    <w:p w14:paraId="34DF4408" w14:textId="61343B0D" w:rsidR="00C464F5" w:rsidRPr="00346842" w:rsidRDefault="00C464F5" w:rsidP="00C464F5">
      <w:pPr>
        <w:jc w:val="center"/>
        <w:rPr>
          <w:rFonts w:ascii="Times New Roman" w:hAnsi="Times New Roman" w:cs="Times New Roman"/>
        </w:rPr>
      </w:pPr>
      <w:r>
        <w:rPr>
          <w:rFonts w:ascii="Times New Roman" w:hAnsi="Times New Roman" w:cs="Times New Roman"/>
        </w:rPr>
        <w:t>Midterm 2 Project Report</w:t>
      </w:r>
    </w:p>
    <w:p w14:paraId="7441BFFE" w14:textId="77777777" w:rsidR="00C464F5" w:rsidRPr="00346842" w:rsidRDefault="00C464F5" w:rsidP="00C464F5">
      <w:pPr>
        <w:jc w:val="center"/>
        <w:rPr>
          <w:rFonts w:ascii="Times New Roman" w:hAnsi="Times New Roman" w:cs="Times New Roman"/>
        </w:rPr>
      </w:pPr>
    </w:p>
    <w:p w14:paraId="196F725B" w14:textId="77777777" w:rsidR="00C464F5" w:rsidRPr="00346842" w:rsidRDefault="00C464F5" w:rsidP="00C464F5">
      <w:pPr>
        <w:jc w:val="center"/>
        <w:rPr>
          <w:rFonts w:ascii="Times New Roman" w:hAnsi="Times New Roman" w:cs="Times New Roman"/>
        </w:rPr>
      </w:pPr>
    </w:p>
    <w:p w14:paraId="6382C2EE" w14:textId="77777777" w:rsidR="00C464F5" w:rsidRPr="00346842" w:rsidRDefault="00C464F5" w:rsidP="00C464F5">
      <w:pPr>
        <w:jc w:val="center"/>
        <w:rPr>
          <w:rFonts w:ascii="Times New Roman" w:hAnsi="Times New Roman" w:cs="Times New Roman"/>
        </w:rPr>
      </w:pPr>
    </w:p>
    <w:p w14:paraId="2A7D154E" w14:textId="77777777" w:rsidR="00C464F5" w:rsidRPr="00346842" w:rsidRDefault="00C464F5" w:rsidP="00C464F5">
      <w:pPr>
        <w:jc w:val="center"/>
        <w:rPr>
          <w:rFonts w:ascii="Times New Roman" w:hAnsi="Times New Roman" w:cs="Times New Roman"/>
        </w:rPr>
      </w:pPr>
    </w:p>
    <w:p w14:paraId="1BA719F2" w14:textId="77777777" w:rsidR="00C464F5" w:rsidRPr="00346842" w:rsidRDefault="00C464F5" w:rsidP="00C464F5">
      <w:pPr>
        <w:jc w:val="center"/>
        <w:rPr>
          <w:rFonts w:ascii="Times New Roman" w:hAnsi="Times New Roman" w:cs="Times New Roman"/>
        </w:rPr>
      </w:pPr>
    </w:p>
    <w:p w14:paraId="749B0CC3" w14:textId="77777777" w:rsidR="00C464F5" w:rsidRPr="00346842" w:rsidRDefault="00C464F5" w:rsidP="00C464F5">
      <w:pPr>
        <w:jc w:val="center"/>
        <w:rPr>
          <w:rFonts w:ascii="Times New Roman" w:hAnsi="Times New Roman" w:cs="Times New Roman"/>
        </w:rPr>
      </w:pPr>
    </w:p>
    <w:p w14:paraId="7B45895A" w14:textId="77777777" w:rsidR="00C464F5" w:rsidRPr="00346842" w:rsidRDefault="00C464F5" w:rsidP="00C464F5">
      <w:pPr>
        <w:jc w:val="center"/>
        <w:rPr>
          <w:rFonts w:ascii="Times New Roman" w:hAnsi="Times New Roman" w:cs="Times New Roman"/>
        </w:rPr>
      </w:pPr>
    </w:p>
    <w:p w14:paraId="35B32CEB" w14:textId="77777777" w:rsidR="00C464F5" w:rsidRPr="00346842" w:rsidRDefault="00C464F5" w:rsidP="00C464F5">
      <w:pPr>
        <w:jc w:val="center"/>
        <w:rPr>
          <w:rFonts w:ascii="Times New Roman" w:hAnsi="Times New Roman" w:cs="Times New Roman"/>
        </w:rPr>
      </w:pPr>
    </w:p>
    <w:p w14:paraId="35CF0A83" w14:textId="77777777" w:rsidR="00C464F5" w:rsidRPr="00346842" w:rsidRDefault="00C464F5" w:rsidP="00C464F5">
      <w:pPr>
        <w:jc w:val="center"/>
        <w:rPr>
          <w:rFonts w:ascii="Times New Roman" w:hAnsi="Times New Roman" w:cs="Times New Roman"/>
        </w:rPr>
      </w:pPr>
    </w:p>
    <w:p w14:paraId="62D326F1" w14:textId="77777777" w:rsidR="00C464F5" w:rsidRPr="00346842" w:rsidRDefault="00C464F5" w:rsidP="00C464F5">
      <w:pPr>
        <w:jc w:val="center"/>
        <w:rPr>
          <w:rFonts w:ascii="Times New Roman" w:hAnsi="Times New Roman" w:cs="Times New Roman"/>
        </w:rPr>
      </w:pPr>
    </w:p>
    <w:p w14:paraId="5989E635" w14:textId="77777777" w:rsidR="00C464F5" w:rsidRPr="00346842" w:rsidRDefault="00C464F5" w:rsidP="00C464F5">
      <w:pPr>
        <w:jc w:val="center"/>
        <w:rPr>
          <w:rFonts w:ascii="Times New Roman" w:hAnsi="Times New Roman" w:cs="Times New Roman"/>
        </w:rPr>
      </w:pPr>
    </w:p>
    <w:p w14:paraId="1A51665C" w14:textId="77777777" w:rsidR="00C464F5" w:rsidRPr="00346842" w:rsidRDefault="00C464F5" w:rsidP="00C464F5">
      <w:pPr>
        <w:jc w:val="center"/>
        <w:rPr>
          <w:rFonts w:ascii="Times New Roman" w:hAnsi="Times New Roman" w:cs="Times New Roman"/>
        </w:rPr>
      </w:pPr>
    </w:p>
    <w:p w14:paraId="3FD08880" w14:textId="77777777" w:rsidR="00C464F5" w:rsidRPr="00346842" w:rsidRDefault="00C464F5" w:rsidP="00C464F5">
      <w:pPr>
        <w:jc w:val="center"/>
        <w:rPr>
          <w:rFonts w:ascii="Times New Roman" w:hAnsi="Times New Roman" w:cs="Times New Roman"/>
        </w:rPr>
      </w:pPr>
      <w:r w:rsidRPr="00346842">
        <w:rPr>
          <w:rFonts w:ascii="Times New Roman" w:hAnsi="Times New Roman" w:cs="Times New Roman"/>
        </w:rPr>
        <w:t>Colton Olinger</w:t>
      </w:r>
    </w:p>
    <w:p w14:paraId="3E116F5E" w14:textId="23F5C088" w:rsidR="00C464F5" w:rsidRPr="00346842" w:rsidRDefault="00C464F5" w:rsidP="00C464F5">
      <w:pPr>
        <w:jc w:val="center"/>
        <w:rPr>
          <w:rFonts w:ascii="Times New Roman" w:hAnsi="Times New Roman" w:cs="Times New Roman"/>
        </w:rPr>
      </w:pPr>
      <w:r>
        <w:rPr>
          <w:rFonts w:ascii="Times New Roman" w:hAnsi="Times New Roman" w:cs="Times New Roman"/>
        </w:rPr>
        <w:t xml:space="preserve">CSC 364 </w:t>
      </w:r>
      <w:r w:rsidRPr="00346842">
        <w:rPr>
          <w:rFonts w:ascii="Times New Roman" w:hAnsi="Times New Roman" w:cs="Times New Roman"/>
        </w:rPr>
        <w:t>–</w:t>
      </w:r>
      <w:r w:rsidRPr="00346842">
        <w:rPr>
          <w:rFonts w:ascii="Times New Roman" w:hAnsi="Times New Roman" w:cs="Times New Roman"/>
        </w:rPr>
        <w:t xml:space="preserve"> </w:t>
      </w:r>
      <w:r>
        <w:rPr>
          <w:rFonts w:ascii="Times New Roman" w:hAnsi="Times New Roman" w:cs="Times New Roman"/>
        </w:rPr>
        <w:t>Introduction to Cryptography</w:t>
      </w:r>
    </w:p>
    <w:p w14:paraId="3DEA2CF6" w14:textId="58A9FFC0" w:rsidR="00C464F5" w:rsidRPr="00346842" w:rsidRDefault="00C464F5" w:rsidP="00C464F5">
      <w:pPr>
        <w:jc w:val="center"/>
        <w:rPr>
          <w:rFonts w:ascii="Times New Roman" w:hAnsi="Times New Roman" w:cs="Times New Roman"/>
        </w:rPr>
      </w:pPr>
      <w:r w:rsidRPr="00346842">
        <w:rPr>
          <w:rFonts w:ascii="Times New Roman" w:hAnsi="Times New Roman" w:cs="Times New Roman"/>
        </w:rPr>
        <w:t xml:space="preserve">Dr. </w:t>
      </w:r>
      <w:r>
        <w:rPr>
          <w:rFonts w:ascii="Times New Roman" w:hAnsi="Times New Roman" w:cs="Times New Roman"/>
        </w:rPr>
        <w:t>Sima Jafarikhah</w:t>
      </w:r>
    </w:p>
    <w:p w14:paraId="3732AC06" w14:textId="794C39E1" w:rsidR="00CE74C6" w:rsidRPr="00CE74C6" w:rsidRDefault="00C464F5" w:rsidP="00EA6B4A">
      <w:pPr>
        <w:jc w:val="center"/>
        <w:rPr>
          <w:rFonts w:ascii="Times New Roman" w:hAnsi="Times New Roman" w:cs="Times New Roman"/>
        </w:rPr>
      </w:pPr>
      <w:r>
        <w:rPr>
          <w:rFonts w:ascii="Times New Roman" w:hAnsi="Times New Roman" w:cs="Times New Roman"/>
        </w:rPr>
        <w:t>30</w:t>
      </w:r>
      <w:r w:rsidRPr="00346842">
        <w:rPr>
          <w:rFonts w:ascii="Times New Roman" w:hAnsi="Times New Roman" w:cs="Times New Roman"/>
        </w:rPr>
        <w:t xml:space="preserve"> October 2026</w:t>
      </w:r>
    </w:p>
    <w:p w14:paraId="2DFE3ECB" w14:textId="7D1FD398" w:rsidR="00CE74C6" w:rsidRPr="00CE74C6" w:rsidRDefault="00CE74C6" w:rsidP="00CE74C6">
      <w:pPr>
        <w:ind w:firstLine="720"/>
        <w:rPr>
          <w:rFonts w:ascii="Times New Roman" w:hAnsi="Times New Roman" w:cs="Times New Roman"/>
        </w:rPr>
      </w:pPr>
      <w:r w:rsidRPr="00CE74C6">
        <w:rPr>
          <w:rFonts w:ascii="Times New Roman" w:hAnsi="Times New Roman" w:cs="Times New Roman"/>
        </w:rPr>
        <w:lastRenderedPageBreak/>
        <w:t xml:space="preserve">Traditional finite-field DH uses modular exponentiation. </w:t>
      </w:r>
      <w:r>
        <w:rPr>
          <w:rFonts w:ascii="Times New Roman" w:hAnsi="Times New Roman" w:cs="Times New Roman"/>
        </w:rPr>
        <w:t xml:space="preserve">To establish a shared secret key, two public integer values must be known: a prime </w:t>
      </w:r>
      <w:proofErr w:type="gramStart"/>
      <w:r>
        <w:rPr>
          <w:rFonts w:ascii="Times New Roman" w:hAnsi="Times New Roman" w:cs="Times New Roman"/>
        </w:rPr>
        <w:t>n</w:t>
      </w:r>
      <w:r w:rsidRPr="00CE74C6">
        <w:rPr>
          <w:rFonts w:ascii="Times New Roman" w:hAnsi="Times New Roman" w:cs="Times New Roman"/>
        </w:rPr>
        <w:t>umber</w:t>
      </w:r>
      <w:r>
        <w:rPr>
          <w:rFonts w:ascii="Times New Roman" w:hAnsi="Times New Roman" w:cs="Times New Roman"/>
        </w:rPr>
        <w:t>, ‘</w:t>
      </w:r>
      <w:proofErr w:type="gramEnd"/>
      <w:r>
        <w:rPr>
          <w:rFonts w:ascii="Times New Roman" w:hAnsi="Times New Roman" w:cs="Times New Roman"/>
        </w:rPr>
        <w:t xml:space="preserve">p’, </w:t>
      </w:r>
      <w:r w:rsidRPr="00CE74C6">
        <w:rPr>
          <w:rFonts w:ascii="Times New Roman" w:hAnsi="Times New Roman" w:cs="Times New Roman"/>
        </w:rPr>
        <w:t>and</w:t>
      </w:r>
      <w:r>
        <w:rPr>
          <w:rFonts w:ascii="Times New Roman" w:hAnsi="Times New Roman" w:cs="Times New Roman"/>
        </w:rPr>
        <w:t xml:space="preserve"> a</w:t>
      </w:r>
      <w:r w:rsidRPr="00CE74C6">
        <w:rPr>
          <w:rFonts w:ascii="Times New Roman" w:hAnsi="Times New Roman" w:cs="Times New Roman"/>
        </w:rPr>
        <w:t xml:space="preserve"> generator</w:t>
      </w:r>
      <w:r>
        <w:rPr>
          <w:rFonts w:ascii="Times New Roman" w:hAnsi="Times New Roman" w:cs="Times New Roman"/>
        </w:rPr>
        <w:t xml:space="preserve"> </w:t>
      </w:r>
      <w:proofErr w:type="gramStart"/>
      <w:r>
        <w:rPr>
          <w:rFonts w:ascii="Times New Roman" w:hAnsi="Times New Roman" w:cs="Times New Roman"/>
        </w:rPr>
        <w:t>number, ‘</w:t>
      </w:r>
      <w:proofErr w:type="gramEnd"/>
      <w:r>
        <w:rPr>
          <w:rFonts w:ascii="Times New Roman" w:hAnsi="Times New Roman" w:cs="Times New Roman"/>
        </w:rPr>
        <w:t>g’, where 1 &lt; g &lt; p-1</w:t>
      </w:r>
      <w:r w:rsidRPr="00CE74C6">
        <w:rPr>
          <w:rFonts w:ascii="Times New Roman" w:hAnsi="Times New Roman" w:cs="Times New Roman"/>
        </w:rPr>
        <w:t xml:space="preserve">. </w:t>
      </w:r>
      <w:r w:rsidR="009D1F73">
        <w:rPr>
          <w:rFonts w:ascii="Times New Roman" w:hAnsi="Times New Roman" w:cs="Times New Roman"/>
        </w:rPr>
        <w:t>The two parties</w:t>
      </w:r>
      <w:r>
        <w:rPr>
          <w:rFonts w:ascii="Times New Roman" w:hAnsi="Times New Roman" w:cs="Times New Roman"/>
        </w:rPr>
        <w:t xml:space="preserve"> each select their own private </w:t>
      </w:r>
      <w:proofErr w:type="gramStart"/>
      <w:r>
        <w:rPr>
          <w:rFonts w:ascii="Times New Roman" w:hAnsi="Times New Roman" w:cs="Times New Roman"/>
        </w:rPr>
        <w:t>integers, ‘</w:t>
      </w:r>
      <w:proofErr w:type="gramEnd"/>
      <w:r>
        <w:rPr>
          <w:rFonts w:ascii="Times New Roman" w:hAnsi="Times New Roman" w:cs="Times New Roman"/>
        </w:rPr>
        <w:t xml:space="preserve">a’ and ‘b’ respectively. </w:t>
      </w:r>
      <w:r w:rsidR="009D1F73">
        <w:rPr>
          <w:rFonts w:ascii="Times New Roman" w:hAnsi="Times New Roman" w:cs="Times New Roman"/>
        </w:rPr>
        <w:t>The two parties</w:t>
      </w:r>
      <w:r>
        <w:rPr>
          <w:rFonts w:ascii="Times New Roman" w:hAnsi="Times New Roman" w:cs="Times New Roman"/>
        </w:rPr>
        <w:t xml:space="preserve"> then generate their own public </w:t>
      </w:r>
      <w:proofErr w:type="gramStart"/>
      <w:r>
        <w:rPr>
          <w:rFonts w:ascii="Times New Roman" w:hAnsi="Times New Roman" w:cs="Times New Roman"/>
        </w:rPr>
        <w:t>values, ‘</w:t>
      </w:r>
      <w:proofErr w:type="gramEnd"/>
      <w:r>
        <w:rPr>
          <w:rFonts w:ascii="Times New Roman" w:hAnsi="Times New Roman" w:cs="Times New Roman"/>
        </w:rPr>
        <w:t xml:space="preserve">A’ and ‘B’ using their private values in the formula, X = g^x mod p, where ‘X’ is the resulting public </w:t>
      </w:r>
      <w:r w:rsidR="00872E4A">
        <w:rPr>
          <w:rFonts w:ascii="Times New Roman" w:hAnsi="Times New Roman" w:cs="Times New Roman"/>
        </w:rPr>
        <w:t>value</w:t>
      </w:r>
      <w:r>
        <w:rPr>
          <w:rFonts w:ascii="Times New Roman" w:hAnsi="Times New Roman" w:cs="Times New Roman"/>
        </w:rPr>
        <w:t xml:space="preserve"> and ‘x’ is </w:t>
      </w:r>
      <w:r w:rsidR="00872E4A">
        <w:rPr>
          <w:rFonts w:ascii="Times New Roman" w:hAnsi="Times New Roman" w:cs="Times New Roman"/>
        </w:rPr>
        <w:t>the private value</w:t>
      </w:r>
      <w:r>
        <w:rPr>
          <w:rFonts w:ascii="Times New Roman" w:hAnsi="Times New Roman" w:cs="Times New Roman"/>
        </w:rPr>
        <w:t xml:space="preserve">. </w:t>
      </w:r>
      <w:r w:rsidRPr="00CE74C6">
        <w:rPr>
          <w:rFonts w:ascii="Times New Roman" w:hAnsi="Times New Roman" w:cs="Times New Roman"/>
        </w:rPr>
        <w:t>After exchanging public values, both calculate the shared secret</w:t>
      </w:r>
      <w:r w:rsidR="00872E4A">
        <w:rPr>
          <w:rFonts w:ascii="Times New Roman" w:hAnsi="Times New Roman" w:cs="Times New Roman"/>
        </w:rPr>
        <w:t xml:space="preserve"> key using the formula k = Y^x mod p, where ‘Y’ is the opposite party’s public value, and x is their own private key</w:t>
      </w:r>
      <w:r w:rsidRPr="00CE74C6">
        <w:rPr>
          <w:rFonts w:ascii="Times New Roman" w:hAnsi="Times New Roman" w:cs="Times New Roman"/>
        </w:rPr>
        <w:t xml:space="preserve">. ECDH follows the same general principle but uses elliptic-curve scalar multiplication. Instead of exponentiating an integer, each party multiplies a public generator point </w:t>
      </w:r>
      <w:r w:rsidR="00872E4A">
        <w:rPr>
          <w:rFonts w:ascii="Times New Roman" w:hAnsi="Times New Roman" w:cs="Times New Roman"/>
        </w:rPr>
        <w:t xml:space="preserve">on a known elliptic curve </w:t>
      </w:r>
      <w:r w:rsidRPr="00CE74C6">
        <w:rPr>
          <w:rFonts w:ascii="Times New Roman" w:hAnsi="Times New Roman" w:cs="Times New Roman"/>
        </w:rPr>
        <w:t>by a private scalar</w:t>
      </w:r>
      <w:r w:rsidR="00872E4A">
        <w:rPr>
          <w:rFonts w:ascii="Times New Roman" w:hAnsi="Times New Roman" w:cs="Times New Roman"/>
        </w:rPr>
        <w:t xml:space="preserve"> value and modding by the curve range</w:t>
      </w:r>
      <w:r w:rsidRPr="00CE74C6">
        <w:rPr>
          <w:rFonts w:ascii="Times New Roman" w:hAnsi="Times New Roman" w:cs="Times New Roman"/>
        </w:rPr>
        <w:t>.</w:t>
      </w:r>
      <w:r w:rsidR="00872E4A">
        <w:rPr>
          <w:rFonts w:ascii="Times New Roman" w:hAnsi="Times New Roman" w:cs="Times New Roman"/>
        </w:rPr>
        <w:t xml:space="preserve"> The two parties exchange the resulting points publicly. Using the public result point of the opposite party and multiplying it by their private value, b</w:t>
      </w:r>
      <w:r w:rsidRPr="00CE74C6">
        <w:rPr>
          <w:rFonts w:ascii="Times New Roman" w:hAnsi="Times New Roman" w:cs="Times New Roman"/>
        </w:rPr>
        <w:t>oth ultimately calculate the same point</w:t>
      </w:r>
      <w:r w:rsidR="00872E4A">
        <w:rPr>
          <w:rFonts w:ascii="Times New Roman" w:hAnsi="Times New Roman" w:cs="Times New Roman"/>
        </w:rPr>
        <w:t xml:space="preserve"> which is abG</w:t>
      </w:r>
      <w:r w:rsidRPr="00CE74C6">
        <w:rPr>
          <w:rFonts w:ascii="Times New Roman" w:hAnsi="Times New Roman" w:cs="Times New Roman"/>
        </w:rPr>
        <w:t>. ECDH generally provides comparable security with significantly smaller keys (</w:t>
      </w:r>
      <w:r w:rsidR="00051BFA">
        <w:rPr>
          <w:rFonts w:ascii="Times New Roman" w:hAnsi="Times New Roman" w:cs="Times New Roman"/>
        </w:rPr>
        <w:t>Barker et al.</w:t>
      </w:r>
      <w:r w:rsidRPr="00CE74C6">
        <w:rPr>
          <w:rFonts w:ascii="Times New Roman" w:hAnsi="Times New Roman" w:cs="Times New Roman"/>
        </w:rPr>
        <w:t>, 2018).</w:t>
      </w:r>
    </w:p>
    <w:p w14:paraId="6CD573B3" w14:textId="5790AA06" w:rsidR="00872E4A" w:rsidRDefault="00872E4A" w:rsidP="00872E4A">
      <w:pPr>
        <w:ind w:firstLine="720"/>
        <w:rPr>
          <w:rFonts w:ascii="Times New Roman" w:hAnsi="Times New Roman" w:cs="Times New Roman"/>
        </w:rPr>
      </w:pPr>
      <w:r>
        <w:rPr>
          <w:rFonts w:ascii="Times New Roman" w:hAnsi="Times New Roman" w:cs="Times New Roman"/>
        </w:rPr>
        <w:t>The implementation in this project</w:t>
      </w:r>
      <w:r w:rsidR="00CE74C6" w:rsidRPr="00CE74C6">
        <w:rPr>
          <w:rFonts w:ascii="Times New Roman" w:hAnsi="Times New Roman" w:cs="Times New Roman"/>
        </w:rPr>
        <w:t xml:space="preserve"> uses 16–32-bit prime numbers because they make calculations manageable</w:t>
      </w:r>
      <w:r w:rsidR="00EA6B4A">
        <w:rPr>
          <w:rFonts w:ascii="Times New Roman" w:hAnsi="Times New Roman" w:cs="Times New Roman"/>
        </w:rPr>
        <w:t xml:space="preserve"> </w:t>
      </w:r>
      <w:r w:rsidR="00CE74C6" w:rsidRPr="00CE74C6">
        <w:rPr>
          <w:rFonts w:ascii="Times New Roman" w:hAnsi="Times New Roman" w:cs="Times New Roman"/>
        </w:rPr>
        <w:t xml:space="preserve">and make testing and debugging practical. However, </w:t>
      </w:r>
      <w:r>
        <w:rPr>
          <w:rFonts w:ascii="Times New Roman" w:hAnsi="Times New Roman" w:cs="Times New Roman"/>
        </w:rPr>
        <w:t>due to their</w:t>
      </w:r>
      <w:r w:rsidR="00CE74C6" w:rsidRPr="00CE74C6">
        <w:rPr>
          <w:rFonts w:ascii="Times New Roman" w:hAnsi="Times New Roman" w:cs="Times New Roman"/>
        </w:rPr>
        <w:t xml:space="preserve"> small size </w:t>
      </w:r>
      <w:r>
        <w:rPr>
          <w:rFonts w:ascii="Times New Roman" w:hAnsi="Times New Roman" w:cs="Times New Roman"/>
        </w:rPr>
        <w:t>these values make it</w:t>
      </w:r>
      <w:r w:rsidR="00CE74C6" w:rsidRPr="00CE74C6">
        <w:rPr>
          <w:rFonts w:ascii="Times New Roman" w:hAnsi="Times New Roman" w:cs="Times New Roman"/>
        </w:rPr>
        <w:t xml:space="preserve"> possible for an attacker to enumerate possible private keys or solve the discrete logarithm problem using relatively simple computational methods</w:t>
      </w:r>
      <w:r>
        <w:rPr>
          <w:rFonts w:ascii="Times New Roman" w:hAnsi="Times New Roman" w:cs="Times New Roman"/>
        </w:rPr>
        <w:t xml:space="preserve"> or brute force.</w:t>
      </w:r>
    </w:p>
    <w:p w14:paraId="092EE734" w14:textId="3344AC36" w:rsidR="00CE74C6" w:rsidRDefault="00CE74C6" w:rsidP="00872E4A">
      <w:pPr>
        <w:ind w:firstLine="720"/>
        <w:rPr>
          <w:rFonts w:ascii="Times New Roman" w:hAnsi="Times New Roman" w:cs="Times New Roman"/>
        </w:rPr>
      </w:pPr>
      <w:r w:rsidRPr="00CE74C6">
        <w:rPr>
          <w:rFonts w:ascii="Times New Roman" w:hAnsi="Times New Roman" w:cs="Times New Roman"/>
        </w:rPr>
        <w:t xml:space="preserve">Ephemeral ECDH (ECDHE) means that each participant generates temporary private and public key pairs for an individual session. These temporary keys are discarded after the exchange. Generating fresh session keys </w:t>
      </w:r>
      <w:r w:rsidR="00872E4A">
        <w:rPr>
          <w:rFonts w:ascii="Times New Roman" w:hAnsi="Times New Roman" w:cs="Times New Roman"/>
        </w:rPr>
        <w:t xml:space="preserve">for each session </w:t>
      </w:r>
      <w:r w:rsidRPr="00CE74C6">
        <w:rPr>
          <w:rFonts w:ascii="Times New Roman" w:hAnsi="Times New Roman" w:cs="Times New Roman"/>
        </w:rPr>
        <w:t xml:space="preserve">helps </w:t>
      </w:r>
      <w:r w:rsidR="00872E4A">
        <w:rPr>
          <w:rFonts w:ascii="Times New Roman" w:hAnsi="Times New Roman" w:cs="Times New Roman"/>
        </w:rPr>
        <w:t xml:space="preserve">to </w:t>
      </w:r>
      <w:r w:rsidRPr="00CE74C6">
        <w:rPr>
          <w:rFonts w:ascii="Times New Roman" w:hAnsi="Times New Roman" w:cs="Times New Roman"/>
        </w:rPr>
        <w:t xml:space="preserve">provide </w:t>
      </w:r>
      <w:r w:rsidRPr="00872E4A">
        <w:rPr>
          <w:rFonts w:ascii="Times New Roman" w:hAnsi="Times New Roman" w:cs="Times New Roman"/>
        </w:rPr>
        <w:t>forward secrecy</w:t>
      </w:r>
      <w:r w:rsidRPr="00CE74C6">
        <w:rPr>
          <w:rFonts w:ascii="Times New Roman" w:hAnsi="Times New Roman" w:cs="Times New Roman"/>
        </w:rPr>
        <w:t xml:space="preserve">, meaning that compromise of a long-term authentication private key does not automatically </w:t>
      </w:r>
      <w:r w:rsidR="00872E4A">
        <w:rPr>
          <w:rFonts w:ascii="Times New Roman" w:hAnsi="Times New Roman" w:cs="Times New Roman"/>
        </w:rPr>
        <w:t>breach confidentiality of previous sessions, and prevents old, leaked keys from being exploited.</w:t>
      </w:r>
    </w:p>
    <w:p w14:paraId="67687281" w14:textId="1052C5E2" w:rsidR="00CE74C6" w:rsidRPr="00CE74C6" w:rsidRDefault="009D1F73" w:rsidP="00872E4A">
      <w:pPr>
        <w:ind w:firstLine="720"/>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Finite-Field DH, ECDH is susceptible to possible exploitation if messages are not authenticated using trusted authentication keys. One of the main attacks that is often performed on unauthenticated public key exchanges is a man-in-the-middle attack (MIMA). During this type of attack, a </w:t>
      </w:r>
      <w:proofErr w:type="gramStart"/>
      <w:r>
        <w:rPr>
          <w:rFonts w:ascii="Times New Roman" w:hAnsi="Times New Roman" w:cs="Times New Roman"/>
        </w:rPr>
        <w:t>third party</w:t>
      </w:r>
      <w:proofErr w:type="gramEnd"/>
      <w:r>
        <w:rPr>
          <w:rFonts w:ascii="Times New Roman" w:hAnsi="Times New Roman" w:cs="Times New Roman"/>
        </w:rPr>
        <w:t xml:space="preserve"> intercepts traffic intended to be exchanged between the two </w:t>
      </w:r>
      <w:proofErr w:type="gramStart"/>
      <w:r>
        <w:rPr>
          <w:rFonts w:ascii="Times New Roman" w:hAnsi="Times New Roman" w:cs="Times New Roman"/>
        </w:rPr>
        <w:t>parties, and</w:t>
      </w:r>
      <w:proofErr w:type="gramEnd"/>
      <w:r>
        <w:rPr>
          <w:rFonts w:ascii="Times New Roman" w:hAnsi="Times New Roman" w:cs="Times New Roman"/>
        </w:rPr>
        <w:t xml:space="preserve"> impersonates the participants to establish separate shared keys with each of them. In the case that a MIMA is successful, the two original parties will not share the same secret key, and messages will be compromised.</w:t>
      </w:r>
    </w:p>
    <w:p w14:paraId="2CFDBD0B" w14:textId="0D0BDD97" w:rsidR="00CE74C6" w:rsidRDefault="009D1F73" w:rsidP="009D1F73">
      <w:pPr>
        <w:ind w:firstLine="720"/>
        <w:rPr>
          <w:rFonts w:ascii="Times New Roman" w:hAnsi="Times New Roman" w:cs="Times New Roman"/>
        </w:rPr>
      </w:pPr>
      <w:r>
        <w:rPr>
          <w:rFonts w:ascii="Times New Roman" w:hAnsi="Times New Roman" w:cs="Times New Roman"/>
        </w:rPr>
        <w:t>To prevent attacks like MIMA, production applications</w:t>
      </w:r>
      <w:r w:rsidR="00CE74C6" w:rsidRPr="00CE74C6">
        <w:rPr>
          <w:rFonts w:ascii="Times New Roman" w:hAnsi="Times New Roman" w:cs="Times New Roman"/>
        </w:rPr>
        <w:t xml:space="preserve"> use established protocols such as TLS 1.3, validated cryptographic parameters, and trusted cryptographic libraries</w:t>
      </w:r>
      <w:r>
        <w:rPr>
          <w:rFonts w:ascii="Times New Roman" w:hAnsi="Times New Roman" w:cs="Times New Roman"/>
        </w:rPr>
        <w:t xml:space="preserve"> like ‘secrets’ and ‘os’. </w:t>
      </w:r>
      <w:r w:rsidR="00CE74C6" w:rsidRPr="00CE74C6">
        <w:rPr>
          <w:rFonts w:ascii="Times New Roman" w:hAnsi="Times New Roman" w:cs="Times New Roman"/>
        </w:rPr>
        <w:t xml:space="preserve">These provide standardized key exchange, authentication, key derivation, and </w:t>
      </w:r>
      <w:proofErr w:type="gramStart"/>
      <w:r w:rsidR="00CE74C6" w:rsidRPr="00CE74C6">
        <w:rPr>
          <w:rFonts w:ascii="Times New Roman" w:hAnsi="Times New Roman" w:cs="Times New Roman"/>
        </w:rPr>
        <w:t>protections</w:t>
      </w:r>
      <w:proofErr w:type="gramEnd"/>
      <w:r w:rsidR="00CE74C6" w:rsidRPr="00CE74C6">
        <w:rPr>
          <w:rFonts w:ascii="Times New Roman" w:hAnsi="Times New Roman" w:cs="Times New Roman"/>
        </w:rPr>
        <w:t xml:space="preserve"> against implementation errors (</w:t>
      </w:r>
      <w:r w:rsidR="00051BFA">
        <w:rPr>
          <w:rFonts w:ascii="Times New Roman" w:hAnsi="Times New Roman" w:cs="Times New Roman"/>
        </w:rPr>
        <w:t>DSS</w:t>
      </w:r>
      <w:r w:rsidR="00CE74C6" w:rsidRPr="00CE74C6">
        <w:rPr>
          <w:rFonts w:ascii="Times New Roman" w:hAnsi="Times New Roman" w:cs="Times New Roman"/>
        </w:rPr>
        <w:t>, 20</w:t>
      </w:r>
      <w:r w:rsidR="00051BFA">
        <w:rPr>
          <w:rFonts w:ascii="Times New Roman" w:hAnsi="Times New Roman" w:cs="Times New Roman"/>
        </w:rPr>
        <w:t>23</w:t>
      </w:r>
      <w:r w:rsidR="00CE74C6" w:rsidRPr="00CE74C6">
        <w:rPr>
          <w:rFonts w:ascii="Times New Roman" w:hAnsi="Times New Roman" w:cs="Times New Roman"/>
        </w:rPr>
        <w:t>).</w:t>
      </w:r>
    </w:p>
    <w:p w14:paraId="607B0AC4" w14:textId="77777777" w:rsidR="00EA6B4A" w:rsidRDefault="00EA6B4A" w:rsidP="009D1F73">
      <w:pPr>
        <w:ind w:firstLine="720"/>
        <w:rPr>
          <w:rFonts w:ascii="Times New Roman" w:hAnsi="Times New Roman" w:cs="Times New Roman"/>
        </w:rPr>
      </w:pPr>
    </w:p>
    <w:p w14:paraId="0D079891" w14:textId="77777777" w:rsidR="00EA6B4A" w:rsidRDefault="00EA6B4A" w:rsidP="009D1F73">
      <w:pPr>
        <w:ind w:firstLine="720"/>
        <w:rPr>
          <w:rFonts w:ascii="Times New Roman" w:hAnsi="Times New Roman" w:cs="Times New Roman"/>
        </w:rPr>
      </w:pPr>
    </w:p>
    <w:p w14:paraId="5322204D" w14:textId="77777777" w:rsidR="00EA6B4A" w:rsidRPr="00CE74C6" w:rsidRDefault="00EA6B4A" w:rsidP="009D1F73">
      <w:pPr>
        <w:ind w:firstLine="720"/>
        <w:rPr>
          <w:rFonts w:ascii="Times New Roman" w:hAnsi="Times New Roman" w:cs="Times New Roman"/>
        </w:rPr>
      </w:pPr>
    </w:p>
    <w:p w14:paraId="7A74615E" w14:textId="6204FA49" w:rsidR="00C464F5" w:rsidRDefault="009D1F73" w:rsidP="009D1F73">
      <w:pPr>
        <w:jc w:val="center"/>
        <w:rPr>
          <w:rFonts w:ascii="Times New Roman" w:hAnsi="Times New Roman" w:cs="Times New Roman"/>
        </w:rPr>
      </w:pPr>
      <w:r>
        <w:rPr>
          <w:rFonts w:ascii="Times New Roman" w:hAnsi="Times New Roman" w:cs="Times New Roman"/>
        </w:rPr>
        <w:lastRenderedPageBreak/>
        <w:t>References</w:t>
      </w:r>
    </w:p>
    <w:p w14:paraId="7A42FE76" w14:textId="16E91709" w:rsidR="00051BFA" w:rsidRPr="00051BFA" w:rsidRDefault="00051BFA" w:rsidP="00051BFA">
      <w:pPr>
        <w:ind w:left="720" w:hanging="720"/>
        <w:rPr>
          <w:rFonts w:ascii="Times New Roman" w:hAnsi="Times New Roman" w:cs="Times New Roman"/>
        </w:rPr>
      </w:pPr>
      <w:r w:rsidRPr="00051BFA">
        <w:rPr>
          <w:rFonts w:ascii="Times New Roman" w:hAnsi="Times New Roman" w:cs="Times New Roman"/>
        </w:rPr>
        <w:t xml:space="preserve">Barker, E., Chen, L., Roginsky, A., Vassilev, A., &amp; Davis, R. (2018). Recommendation for pair-wise key-establishment schemes using discrete logarithm cryptography. </w:t>
      </w:r>
      <w:r w:rsidRPr="00051BFA">
        <w:rPr>
          <w:rFonts w:ascii="Times New Roman" w:hAnsi="Times New Roman" w:cs="Times New Roman"/>
          <w:i/>
          <w:iCs/>
        </w:rPr>
        <w:t>NIST Special Publication 800-56A</w:t>
      </w:r>
      <w:r w:rsidRPr="00051BFA">
        <w:rPr>
          <w:rFonts w:ascii="Times New Roman" w:hAnsi="Times New Roman" w:cs="Times New Roman"/>
        </w:rPr>
        <w:t xml:space="preserve">, </w:t>
      </w:r>
      <w:r w:rsidRPr="00051BFA">
        <w:rPr>
          <w:rFonts w:ascii="Times New Roman" w:hAnsi="Times New Roman" w:cs="Times New Roman"/>
          <w:i/>
          <w:iCs/>
        </w:rPr>
        <w:t>Revision 3</w:t>
      </w:r>
      <w:r w:rsidRPr="00051BFA">
        <w:rPr>
          <w:rFonts w:ascii="Times New Roman" w:hAnsi="Times New Roman" w:cs="Times New Roman"/>
        </w:rPr>
        <w:t xml:space="preserve">. </w:t>
      </w:r>
      <w:hyperlink r:id="rId6" w:history="1">
        <w:r w:rsidRPr="00D53F81">
          <w:rPr>
            <w:rStyle w:val="Hyperlink"/>
            <w:rFonts w:ascii="Times New Roman" w:hAnsi="Times New Roman" w:cs="Times New Roman"/>
          </w:rPr>
          <w:t>https://doi.org/10.6028/nist.sp.800-56ar3</w:t>
        </w:r>
      </w:hyperlink>
      <w:r>
        <w:rPr>
          <w:rFonts w:ascii="Times New Roman" w:hAnsi="Times New Roman" w:cs="Times New Roman"/>
        </w:rPr>
        <w:t xml:space="preserve"> </w:t>
      </w:r>
    </w:p>
    <w:p w14:paraId="293A48AA" w14:textId="1EC06A62" w:rsidR="00051BFA" w:rsidRPr="00051BFA" w:rsidRDefault="00051BFA" w:rsidP="00051BFA">
      <w:pPr>
        <w:ind w:left="720" w:hanging="720"/>
        <w:rPr>
          <w:rFonts w:ascii="Times New Roman" w:hAnsi="Times New Roman" w:cs="Times New Roman"/>
        </w:rPr>
      </w:pPr>
      <w:r w:rsidRPr="00051BFA">
        <w:rPr>
          <w:rFonts w:ascii="Times New Roman" w:hAnsi="Times New Roman" w:cs="Times New Roman"/>
        </w:rPr>
        <w:t xml:space="preserve">Digital Signature Standard (DSS). (2023). </w:t>
      </w:r>
      <w:r w:rsidRPr="00051BFA">
        <w:rPr>
          <w:rFonts w:ascii="Times New Roman" w:hAnsi="Times New Roman" w:cs="Times New Roman"/>
          <w:i/>
          <w:iCs/>
        </w:rPr>
        <w:t>FIPS</w:t>
      </w:r>
      <w:r w:rsidRPr="00051BFA">
        <w:rPr>
          <w:rFonts w:ascii="Times New Roman" w:hAnsi="Times New Roman" w:cs="Times New Roman"/>
        </w:rPr>
        <w:t xml:space="preserve">, </w:t>
      </w:r>
      <w:r w:rsidRPr="00051BFA">
        <w:rPr>
          <w:rFonts w:ascii="Times New Roman" w:hAnsi="Times New Roman" w:cs="Times New Roman"/>
          <w:i/>
          <w:iCs/>
        </w:rPr>
        <w:t>186–5</w:t>
      </w:r>
      <w:r w:rsidRPr="00051BFA">
        <w:rPr>
          <w:rFonts w:ascii="Times New Roman" w:hAnsi="Times New Roman" w:cs="Times New Roman"/>
        </w:rPr>
        <w:t xml:space="preserve">. </w:t>
      </w:r>
      <w:hyperlink r:id="rId7" w:history="1">
        <w:r w:rsidRPr="00D53F81">
          <w:rPr>
            <w:rStyle w:val="Hyperlink"/>
            <w:rFonts w:ascii="Times New Roman" w:hAnsi="Times New Roman" w:cs="Times New Roman"/>
          </w:rPr>
          <w:t>https://doi.org/10.6028/nist.fips.186-5</w:t>
        </w:r>
      </w:hyperlink>
      <w:r>
        <w:rPr>
          <w:rFonts w:ascii="Times New Roman" w:hAnsi="Times New Roman" w:cs="Times New Roman"/>
        </w:rPr>
        <w:t xml:space="preserve"> </w:t>
      </w:r>
    </w:p>
    <w:p w14:paraId="249E1E15" w14:textId="77777777" w:rsidR="009D1F73" w:rsidRPr="00C464F5" w:rsidRDefault="009D1F73" w:rsidP="00EA6B4A">
      <w:pPr>
        <w:rPr>
          <w:rFonts w:ascii="Times New Roman" w:hAnsi="Times New Roman" w:cs="Times New Roman"/>
        </w:rPr>
      </w:pPr>
    </w:p>
    <w:sectPr w:rsidR="009D1F73" w:rsidRPr="00C464F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51FC" w14:textId="77777777" w:rsidR="0028189D" w:rsidRDefault="0028189D" w:rsidP="00C464F5">
      <w:pPr>
        <w:spacing w:after="0" w:line="240" w:lineRule="auto"/>
      </w:pPr>
      <w:r>
        <w:separator/>
      </w:r>
    </w:p>
  </w:endnote>
  <w:endnote w:type="continuationSeparator" w:id="0">
    <w:p w14:paraId="47F27F7E" w14:textId="77777777" w:rsidR="0028189D" w:rsidRDefault="0028189D" w:rsidP="00C46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2FB9" w14:textId="77777777" w:rsidR="0028189D" w:rsidRDefault="0028189D" w:rsidP="00C464F5">
      <w:pPr>
        <w:spacing w:after="0" w:line="240" w:lineRule="auto"/>
      </w:pPr>
      <w:r>
        <w:separator/>
      </w:r>
    </w:p>
  </w:footnote>
  <w:footnote w:type="continuationSeparator" w:id="0">
    <w:p w14:paraId="599B3DC4" w14:textId="77777777" w:rsidR="0028189D" w:rsidRDefault="0028189D" w:rsidP="00C46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9C49" w14:textId="602206D1" w:rsidR="00C464F5" w:rsidRPr="00C464F5" w:rsidRDefault="00C464F5">
    <w:pPr>
      <w:pStyle w:val="Header"/>
      <w:jc w:val="right"/>
      <w:rPr>
        <w:rFonts w:ascii="Times New Roman" w:hAnsi="Times New Roman" w:cs="Times New Roman"/>
      </w:rPr>
    </w:pPr>
    <w:r w:rsidRPr="00C464F5">
      <w:rPr>
        <w:rFonts w:ascii="Times New Roman" w:hAnsi="Times New Roman" w:cs="Times New Roman"/>
      </w:rPr>
      <w:t xml:space="preserve">Olinger </w:t>
    </w:r>
    <w:sdt>
      <w:sdtPr>
        <w:rPr>
          <w:rFonts w:ascii="Times New Roman" w:hAnsi="Times New Roman" w:cs="Times New Roman"/>
        </w:rPr>
        <w:id w:val="-2045509133"/>
        <w:docPartObj>
          <w:docPartGallery w:val="Page Numbers (Top of Page)"/>
          <w:docPartUnique/>
        </w:docPartObj>
      </w:sdtPr>
      <w:sdtEndPr>
        <w:rPr>
          <w:noProof/>
        </w:rPr>
      </w:sdtEndPr>
      <w:sdtContent>
        <w:r w:rsidRPr="00C464F5">
          <w:rPr>
            <w:rFonts w:ascii="Times New Roman" w:hAnsi="Times New Roman" w:cs="Times New Roman"/>
          </w:rPr>
          <w:fldChar w:fldCharType="begin"/>
        </w:r>
        <w:r w:rsidRPr="00C464F5">
          <w:rPr>
            <w:rFonts w:ascii="Times New Roman" w:hAnsi="Times New Roman" w:cs="Times New Roman"/>
          </w:rPr>
          <w:instrText xml:space="preserve"> PAGE   \* MERGEFORMAT </w:instrText>
        </w:r>
        <w:r w:rsidRPr="00C464F5">
          <w:rPr>
            <w:rFonts w:ascii="Times New Roman" w:hAnsi="Times New Roman" w:cs="Times New Roman"/>
          </w:rPr>
          <w:fldChar w:fldCharType="separate"/>
        </w:r>
        <w:r w:rsidRPr="00C464F5">
          <w:rPr>
            <w:rFonts w:ascii="Times New Roman" w:hAnsi="Times New Roman" w:cs="Times New Roman"/>
            <w:noProof/>
          </w:rPr>
          <w:t>2</w:t>
        </w:r>
        <w:r w:rsidRPr="00C464F5">
          <w:rPr>
            <w:rFonts w:ascii="Times New Roman" w:hAnsi="Times New Roman" w:cs="Times New Roman"/>
            <w:noProof/>
          </w:rPr>
          <w:fldChar w:fldCharType="end"/>
        </w:r>
      </w:sdtContent>
    </w:sdt>
  </w:p>
  <w:p w14:paraId="7F3DF844" w14:textId="77777777" w:rsidR="00C464F5" w:rsidRPr="00C464F5" w:rsidRDefault="00C464F5">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F5"/>
    <w:rsid w:val="00051BFA"/>
    <w:rsid w:val="002512D0"/>
    <w:rsid w:val="0028189D"/>
    <w:rsid w:val="007D27A5"/>
    <w:rsid w:val="00872E4A"/>
    <w:rsid w:val="00910E27"/>
    <w:rsid w:val="009D1F73"/>
    <w:rsid w:val="00A06A4A"/>
    <w:rsid w:val="00C464F5"/>
    <w:rsid w:val="00CE74C6"/>
    <w:rsid w:val="00EA6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1169"/>
  <w15:chartTrackingRefBased/>
  <w15:docId w15:val="{A1449EC7-DD32-4111-918D-A66E44C4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F5"/>
  </w:style>
  <w:style w:type="paragraph" w:styleId="Heading1">
    <w:name w:val="heading 1"/>
    <w:basedOn w:val="Normal"/>
    <w:next w:val="Normal"/>
    <w:link w:val="Heading1Char"/>
    <w:uiPriority w:val="9"/>
    <w:qFormat/>
    <w:rsid w:val="00C46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4F5"/>
    <w:rPr>
      <w:rFonts w:eastAsiaTheme="majorEastAsia" w:cstheme="majorBidi"/>
      <w:color w:val="272727" w:themeColor="text1" w:themeTint="D8"/>
    </w:rPr>
  </w:style>
  <w:style w:type="paragraph" w:styleId="Title">
    <w:name w:val="Title"/>
    <w:basedOn w:val="Normal"/>
    <w:next w:val="Normal"/>
    <w:link w:val="TitleChar"/>
    <w:uiPriority w:val="10"/>
    <w:qFormat/>
    <w:rsid w:val="00C46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4F5"/>
    <w:pPr>
      <w:spacing w:before="160"/>
      <w:jc w:val="center"/>
    </w:pPr>
    <w:rPr>
      <w:i/>
      <w:iCs/>
      <w:color w:val="404040" w:themeColor="text1" w:themeTint="BF"/>
    </w:rPr>
  </w:style>
  <w:style w:type="character" w:customStyle="1" w:styleId="QuoteChar">
    <w:name w:val="Quote Char"/>
    <w:basedOn w:val="DefaultParagraphFont"/>
    <w:link w:val="Quote"/>
    <w:uiPriority w:val="29"/>
    <w:rsid w:val="00C464F5"/>
    <w:rPr>
      <w:i/>
      <w:iCs/>
      <w:color w:val="404040" w:themeColor="text1" w:themeTint="BF"/>
    </w:rPr>
  </w:style>
  <w:style w:type="paragraph" w:styleId="ListParagraph">
    <w:name w:val="List Paragraph"/>
    <w:basedOn w:val="Normal"/>
    <w:uiPriority w:val="34"/>
    <w:qFormat/>
    <w:rsid w:val="00C464F5"/>
    <w:pPr>
      <w:ind w:left="720"/>
      <w:contextualSpacing/>
    </w:pPr>
  </w:style>
  <w:style w:type="character" w:styleId="IntenseEmphasis">
    <w:name w:val="Intense Emphasis"/>
    <w:basedOn w:val="DefaultParagraphFont"/>
    <w:uiPriority w:val="21"/>
    <w:qFormat/>
    <w:rsid w:val="00C464F5"/>
    <w:rPr>
      <w:i/>
      <w:iCs/>
      <w:color w:val="0F4761" w:themeColor="accent1" w:themeShade="BF"/>
    </w:rPr>
  </w:style>
  <w:style w:type="paragraph" w:styleId="IntenseQuote">
    <w:name w:val="Intense Quote"/>
    <w:basedOn w:val="Normal"/>
    <w:next w:val="Normal"/>
    <w:link w:val="IntenseQuoteChar"/>
    <w:uiPriority w:val="30"/>
    <w:qFormat/>
    <w:rsid w:val="00C46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4F5"/>
    <w:rPr>
      <w:i/>
      <w:iCs/>
      <w:color w:val="0F4761" w:themeColor="accent1" w:themeShade="BF"/>
    </w:rPr>
  </w:style>
  <w:style w:type="character" w:styleId="IntenseReference">
    <w:name w:val="Intense Reference"/>
    <w:basedOn w:val="DefaultParagraphFont"/>
    <w:uiPriority w:val="32"/>
    <w:qFormat/>
    <w:rsid w:val="00C464F5"/>
    <w:rPr>
      <w:b/>
      <w:bCs/>
      <w:smallCaps/>
      <w:color w:val="0F4761" w:themeColor="accent1" w:themeShade="BF"/>
      <w:spacing w:val="5"/>
    </w:rPr>
  </w:style>
  <w:style w:type="paragraph" w:styleId="Header">
    <w:name w:val="header"/>
    <w:basedOn w:val="Normal"/>
    <w:link w:val="HeaderChar"/>
    <w:uiPriority w:val="99"/>
    <w:unhideWhenUsed/>
    <w:rsid w:val="00C464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4F5"/>
  </w:style>
  <w:style w:type="paragraph" w:styleId="Footer">
    <w:name w:val="footer"/>
    <w:basedOn w:val="Normal"/>
    <w:link w:val="FooterChar"/>
    <w:uiPriority w:val="99"/>
    <w:unhideWhenUsed/>
    <w:rsid w:val="00C46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4F5"/>
  </w:style>
  <w:style w:type="character" w:styleId="PlaceholderText">
    <w:name w:val="Placeholder Text"/>
    <w:basedOn w:val="DefaultParagraphFont"/>
    <w:uiPriority w:val="99"/>
    <w:semiHidden/>
    <w:rsid w:val="00CE74C6"/>
    <w:rPr>
      <w:color w:val="666666"/>
    </w:rPr>
  </w:style>
  <w:style w:type="character" w:styleId="Hyperlink">
    <w:name w:val="Hyperlink"/>
    <w:basedOn w:val="DefaultParagraphFont"/>
    <w:uiPriority w:val="99"/>
    <w:unhideWhenUsed/>
    <w:rsid w:val="00051BFA"/>
    <w:rPr>
      <w:color w:val="467886" w:themeColor="hyperlink"/>
      <w:u w:val="single"/>
    </w:rPr>
  </w:style>
  <w:style w:type="character" w:styleId="UnresolvedMention">
    <w:name w:val="Unresolved Mention"/>
    <w:basedOn w:val="DefaultParagraphFont"/>
    <w:uiPriority w:val="99"/>
    <w:semiHidden/>
    <w:unhideWhenUsed/>
    <w:rsid w:val="00051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6028/nist.fips.186-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028/nist.sp.800-56ar3"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 Olinger</dc:creator>
  <cp:keywords/>
  <dc:description/>
  <cp:lastModifiedBy>Colton Olinger</cp:lastModifiedBy>
  <cp:revision>2</cp:revision>
  <dcterms:created xsi:type="dcterms:W3CDTF">2026-10-30T22:53:00Z</dcterms:created>
  <dcterms:modified xsi:type="dcterms:W3CDTF">2026-10-31T00:00:00Z</dcterms:modified>
</cp:coreProperties>
</file>