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MetFragWeb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http://msbi.ipb-halle.de/MetFragWeb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MassBank EU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www.massbank.eu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MassBank of North America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http://mona.fiehnlab.ucdavis.edu/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enviPat</w:t>
      </w:r>
      <w:r w:rsidDel="00000000" w:rsidR="00000000" w:rsidRPr="00000000">
        <w:rPr>
          <w:sz w:val="24"/>
          <w:szCs w:val="24"/>
          <w:rtl w:val="0"/>
        </w:rPr>
        <w:t xml:space="preserve">: isotope pattern calculator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http://www.envipat.eawag.ch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sbi.ipb-halle.de/MetFragWeb" TargetMode="External"/><Relationship Id="rId6" Type="http://schemas.openxmlformats.org/officeDocument/2006/relationships/hyperlink" Target="http://www.massbank.eu" TargetMode="External"/><Relationship Id="rId7" Type="http://schemas.openxmlformats.org/officeDocument/2006/relationships/hyperlink" Target="http://mona.fiehnlab.ucdavis.edu/" TargetMode="External"/><Relationship Id="rId8" Type="http://schemas.openxmlformats.org/officeDocument/2006/relationships/hyperlink" Target="http://www.envipat.eawag.ch" TargetMode="External"/></Relationships>
</file>